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28498" w14:textId="77777777" w:rsidR="00B55D4B" w:rsidRPr="0095000A" w:rsidRDefault="005F5DB9" w:rsidP="00DC4668">
      <w:pPr>
        <w:spacing w:after="240"/>
        <w:jc w:val="center"/>
        <w:rPr>
          <w:sz w:val="28"/>
          <w:szCs w:val="28"/>
        </w:rPr>
      </w:pPr>
      <w:r w:rsidRPr="0095000A">
        <w:rPr>
          <w:sz w:val="28"/>
          <w:szCs w:val="28"/>
        </w:rPr>
        <w:t>LATVIJAS REPUBLIKAS PROKURATŪRA</w:t>
      </w:r>
    </w:p>
    <w:p w14:paraId="54958852" w14:textId="77777777" w:rsidR="00432DAD" w:rsidRPr="00B52963" w:rsidRDefault="005F5DB9" w:rsidP="00432DAD">
      <w:pPr>
        <w:spacing w:before="240"/>
        <w:jc w:val="center"/>
        <w:rPr>
          <w:b/>
          <w:caps/>
          <w:sz w:val="28"/>
          <w:szCs w:val="28"/>
        </w:rPr>
      </w:pPr>
      <w:r w:rsidRPr="00B52963">
        <w:rPr>
          <w:b/>
          <w:caps/>
          <w:sz w:val="28"/>
          <w:szCs w:val="28"/>
        </w:rPr>
        <w:t xml:space="preserve">Prokuroru </w:t>
      </w:r>
      <w:r>
        <w:rPr>
          <w:b/>
          <w:caps/>
          <w:sz w:val="28"/>
          <w:szCs w:val="28"/>
        </w:rPr>
        <w:t>ATESTĀCIJAS</w:t>
      </w:r>
      <w:r w:rsidRPr="00B52963">
        <w:rPr>
          <w:b/>
          <w:caps/>
          <w:sz w:val="28"/>
          <w:szCs w:val="28"/>
        </w:rPr>
        <w:t xml:space="preserve"> komisija</w:t>
      </w:r>
    </w:p>
    <w:p w14:paraId="079B881C" w14:textId="77777777" w:rsidR="00CD6926" w:rsidRPr="0095000A" w:rsidRDefault="005F5DB9" w:rsidP="00432DAD">
      <w:pPr>
        <w:spacing w:before="240" w:line="276" w:lineRule="auto"/>
        <w:jc w:val="center"/>
        <w:rPr>
          <w:b/>
          <w:spacing w:val="44"/>
          <w:sz w:val="28"/>
          <w:szCs w:val="28"/>
        </w:rPr>
      </w:pPr>
      <w:r w:rsidRPr="0095000A">
        <w:rPr>
          <w:b/>
          <w:spacing w:val="44"/>
          <w:sz w:val="28"/>
          <w:szCs w:val="28"/>
        </w:rPr>
        <w:t>LĒMUM</w:t>
      </w:r>
      <w:r>
        <w:rPr>
          <w:b/>
          <w:spacing w:val="44"/>
          <w:sz w:val="28"/>
          <w:szCs w:val="28"/>
        </w:rPr>
        <w:t>S</w:t>
      </w:r>
    </w:p>
    <w:p w14:paraId="74C1573C" w14:textId="77777777" w:rsidR="003F1500" w:rsidRPr="00B55D4B" w:rsidRDefault="005F5DB9" w:rsidP="00346D55">
      <w:pPr>
        <w:spacing w:before="240" w:after="240"/>
        <w:jc w:val="center"/>
      </w:pPr>
      <w:r>
        <w:t>Rīgā</w:t>
      </w:r>
    </w:p>
    <w:tbl>
      <w:tblPr>
        <w:tblW w:w="9464" w:type="dxa"/>
        <w:tblInd w:w="-108" w:type="dxa"/>
        <w:tblLayout w:type="fixed"/>
        <w:tblLook w:val="04A0" w:firstRow="1" w:lastRow="0" w:firstColumn="1" w:lastColumn="0" w:noHBand="0" w:noVBand="1"/>
      </w:tblPr>
      <w:tblGrid>
        <w:gridCol w:w="4361"/>
        <w:gridCol w:w="1843"/>
        <w:gridCol w:w="3260"/>
      </w:tblGrid>
      <w:tr w:rsidR="00EF59D2" w14:paraId="7D1B003B" w14:textId="77777777" w:rsidTr="00486774">
        <w:trPr>
          <w:trHeight w:val="394"/>
        </w:trPr>
        <w:tc>
          <w:tcPr>
            <w:tcW w:w="4361" w:type="dxa"/>
            <w:tcBorders>
              <w:top w:val="nil"/>
              <w:left w:val="nil"/>
              <w:right w:val="nil"/>
            </w:tcBorders>
            <w:vAlign w:val="bottom"/>
          </w:tcPr>
          <w:p w14:paraId="383C9A6C" w14:textId="77777777" w:rsidR="00820230" w:rsidRPr="003F1500" w:rsidRDefault="005F5DB9" w:rsidP="00486774">
            <w:pPr>
              <w:jc w:val="left"/>
            </w:pPr>
            <w:r>
              <w:fldChar w:fldCharType="begin"/>
            </w:r>
            <w:r>
              <w:instrText xml:space="preserve"> DOCPROPERTY  #DOC_DAT#  \* MERGEFORMAT </w:instrText>
            </w:r>
            <w:r>
              <w:fldChar w:fldCharType="separate"/>
            </w:r>
            <w:r>
              <w:t>23.03.2021.</w:t>
            </w:r>
            <w:r>
              <w:fldChar w:fldCharType="end"/>
            </w:r>
          </w:p>
        </w:tc>
        <w:tc>
          <w:tcPr>
            <w:tcW w:w="1843" w:type="dxa"/>
            <w:tcBorders>
              <w:top w:val="nil"/>
              <w:left w:val="nil"/>
              <w:bottom w:val="nil"/>
              <w:right w:val="nil"/>
            </w:tcBorders>
            <w:vAlign w:val="bottom"/>
          </w:tcPr>
          <w:p w14:paraId="07FD045E" w14:textId="77777777" w:rsidR="00820230" w:rsidRPr="003F1500" w:rsidRDefault="005F5DB9" w:rsidP="00486774">
            <w:pPr>
              <w:tabs>
                <w:tab w:val="left" w:pos="360"/>
                <w:tab w:val="left" w:pos="3960"/>
              </w:tabs>
              <w:jc w:val="right"/>
            </w:pPr>
            <w:r w:rsidRPr="003F1500">
              <w:t>Nr.</w:t>
            </w:r>
          </w:p>
        </w:tc>
        <w:tc>
          <w:tcPr>
            <w:tcW w:w="3260" w:type="dxa"/>
            <w:tcBorders>
              <w:top w:val="nil"/>
              <w:left w:val="nil"/>
              <w:right w:val="nil"/>
            </w:tcBorders>
            <w:vAlign w:val="bottom"/>
          </w:tcPr>
          <w:p w14:paraId="109D498A" w14:textId="77777777" w:rsidR="00820230" w:rsidRPr="003F1500" w:rsidRDefault="005F5DB9" w:rsidP="00486774">
            <w:pPr>
              <w:jc w:val="left"/>
            </w:pPr>
            <w:r>
              <w:fldChar w:fldCharType="begin"/>
            </w:r>
            <w:r>
              <w:instrText xml:space="preserve"> DOCPROPERTY  #DOC_NR#  \* MERGEFORMAT </w:instrText>
            </w:r>
            <w:r>
              <w:fldChar w:fldCharType="separate"/>
            </w:r>
            <w:r>
              <w:t>P-104-670-2021-00056</w:t>
            </w:r>
            <w:r>
              <w:fldChar w:fldCharType="end"/>
            </w:r>
          </w:p>
        </w:tc>
      </w:tr>
    </w:tbl>
    <w:p w14:paraId="0FE4D41E" w14:textId="77777777" w:rsidR="00AA71EE" w:rsidRPr="004F468A" w:rsidRDefault="005F5DB9" w:rsidP="00AA71EE">
      <w:pPr>
        <w:spacing w:before="240" w:line="276" w:lineRule="auto"/>
        <w:ind w:firstLine="720"/>
      </w:pPr>
      <w:r w:rsidRPr="004F468A">
        <w:t xml:space="preserve">Latvijas Republikas Prokuratūras Prokuroru </w:t>
      </w:r>
      <w:r w:rsidRPr="004F468A">
        <w:t>atestācijas komisija</w:t>
      </w:r>
      <w:r>
        <w:t xml:space="preserve"> (turpmāk – Komisija)</w:t>
      </w:r>
      <w:r w:rsidRPr="004F468A">
        <w:t xml:space="preserve"> šādā sastāvā:</w:t>
      </w:r>
    </w:p>
    <w:tbl>
      <w:tblPr>
        <w:tblW w:w="7625" w:type="dxa"/>
        <w:tblInd w:w="1555" w:type="dxa"/>
        <w:tblLayout w:type="fixed"/>
        <w:tblLook w:val="04A0" w:firstRow="1" w:lastRow="0" w:firstColumn="1" w:lastColumn="0" w:noHBand="0" w:noVBand="1"/>
      </w:tblPr>
      <w:tblGrid>
        <w:gridCol w:w="2239"/>
        <w:gridCol w:w="5386"/>
      </w:tblGrid>
      <w:tr w:rsidR="00EF59D2" w14:paraId="32731041" w14:textId="77777777" w:rsidTr="00BE01C8">
        <w:trPr>
          <w:trHeight w:val="369"/>
        </w:trPr>
        <w:tc>
          <w:tcPr>
            <w:tcW w:w="2239" w:type="dxa"/>
          </w:tcPr>
          <w:p w14:paraId="58AA3FF7" w14:textId="77777777" w:rsidR="00AA71EE" w:rsidRPr="00BF14F7" w:rsidRDefault="005F5DB9" w:rsidP="00BE01C8">
            <w:pPr>
              <w:spacing w:line="276" w:lineRule="auto"/>
              <w:jc w:val="right"/>
            </w:pPr>
            <w:bookmarkStart w:id="0" w:name="_Hlk24712438"/>
            <w:r w:rsidRPr="00BF14F7">
              <w:t>līdzpriekšsēdētājs:</w:t>
            </w:r>
          </w:p>
        </w:tc>
        <w:tc>
          <w:tcPr>
            <w:tcW w:w="5386" w:type="dxa"/>
          </w:tcPr>
          <w:p w14:paraId="1664C1FF" w14:textId="77777777" w:rsidR="00AA71EE" w:rsidRPr="00BF14F7" w:rsidRDefault="005F5DB9" w:rsidP="00BE01C8">
            <w:pPr>
              <w:spacing w:line="276" w:lineRule="auto"/>
            </w:pPr>
            <w:r>
              <w:t xml:space="preserve">Aivars </w:t>
            </w:r>
            <w:proofErr w:type="spellStart"/>
            <w:r>
              <w:t>Ostapko</w:t>
            </w:r>
            <w:proofErr w:type="spellEnd"/>
            <w:r w:rsidRPr="00BF14F7">
              <w:t xml:space="preserve"> (sēdes vadītājs),</w:t>
            </w:r>
          </w:p>
        </w:tc>
      </w:tr>
      <w:tr w:rsidR="00EF59D2" w14:paraId="7B403FE7" w14:textId="77777777" w:rsidTr="00BE01C8">
        <w:trPr>
          <w:trHeight w:val="369"/>
        </w:trPr>
        <w:tc>
          <w:tcPr>
            <w:tcW w:w="2239" w:type="dxa"/>
          </w:tcPr>
          <w:p w14:paraId="0343656F" w14:textId="77777777" w:rsidR="00AA71EE" w:rsidRPr="00BF14F7" w:rsidRDefault="005F5DB9" w:rsidP="00BE01C8">
            <w:pPr>
              <w:spacing w:line="276" w:lineRule="auto"/>
              <w:jc w:val="right"/>
            </w:pPr>
            <w:r w:rsidRPr="00BF14F7">
              <w:t>līdzpriekšsēdētājs:</w:t>
            </w:r>
          </w:p>
        </w:tc>
        <w:tc>
          <w:tcPr>
            <w:tcW w:w="5386" w:type="dxa"/>
          </w:tcPr>
          <w:p w14:paraId="4B97024E" w14:textId="77777777" w:rsidR="00AA71EE" w:rsidRPr="00BF14F7" w:rsidRDefault="005F5DB9" w:rsidP="00BE01C8">
            <w:pPr>
              <w:spacing w:line="276" w:lineRule="auto"/>
            </w:pPr>
            <w:r>
              <w:t>Inga Miķelsone-Indāne</w:t>
            </w:r>
            <w:r w:rsidRPr="00BF14F7">
              <w:t>,</w:t>
            </w:r>
          </w:p>
        </w:tc>
      </w:tr>
      <w:tr w:rsidR="00EF59D2" w14:paraId="433BD96E" w14:textId="77777777" w:rsidTr="00BE01C8">
        <w:trPr>
          <w:trHeight w:val="369"/>
        </w:trPr>
        <w:tc>
          <w:tcPr>
            <w:tcW w:w="2239" w:type="dxa"/>
          </w:tcPr>
          <w:p w14:paraId="6AE08264" w14:textId="77777777" w:rsidR="00AA71EE" w:rsidRPr="001F57D4" w:rsidRDefault="005F5DB9" w:rsidP="00BE01C8">
            <w:pPr>
              <w:spacing w:line="276" w:lineRule="auto"/>
              <w:jc w:val="right"/>
            </w:pPr>
            <w:r w:rsidRPr="001F57D4">
              <w:t>komisijas locekļi:</w:t>
            </w:r>
          </w:p>
        </w:tc>
        <w:tc>
          <w:tcPr>
            <w:tcW w:w="5386" w:type="dxa"/>
          </w:tcPr>
          <w:p w14:paraId="41F731BC" w14:textId="77777777" w:rsidR="00AA71EE" w:rsidRPr="001F57D4" w:rsidRDefault="005F5DB9" w:rsidP="00BE01C8">
            <w:pPr>
              <w:spacing w:line="276" w:lineRule="auto"/>
            </w:pPr>
            <w:r w:rsidRPr="001F57D4">
              <w:t>A</w:t>
            </w:r>
            <w:r>
              <w:t xml:space="preserve">rmīns </w:t>
            </w:r>
            <w:proofErr w:type="spellStart"/>
            <w:r w:rsidRPr="001F57D4">
              <w:t>Meisters</w:t>
            </w:r>
            <w:proofErr w:type="spellEnd"/>
            <w:r w:rsidRPr="001F57D4">
              <w:t xml:space="preserve">, </w:t>
            </w:r>
            <w:r>
              <w:t xml:space="preserve">Ligita </w:t>
            </w:r>
            <w:proofErr w:type="spellStart"/>
            <w:r>
              <w:t>Vehi</w:t>
            </w:r>
            <w:proofErr w:type="spellEnd"/>
            <w:r>
              <w:t xml:space="preserve">, Ivonna Ašmane, Aigars </w:t>
            </w:r>
            <w:proofErr w:type="spellStart"/>
            <w:r>
              <w:t>Bičušs</w:t>
            </w:r>
            <w:proofErr w:type="spellEnd"/>
            <w:r>
              <w:t xml:space="preserve">, </w:t>
            </w:r>
            <w:r w:rsidRPr="001F57D4">
              <w:t>A</w:t>
            </w:r>
            <w:r>
              <w:t xml:space="preserve">ndris </w:t>
            </w:r>
            <w:proofErr w:type="spellStart"/>
            <w:r w:rsidRPr="001F57D4">
              <w:t>Gusarovs</w:t>
            </w:r>
            <w:proofErr w:type="spellEnd"/>
            <w:r w:rsidRPr="001F57D4">
              <w:t>,</w:t>
            </w:r>
          </w:p>
        </w:tc>
      </w:tr>
      <w:tr w:rsidR="00EF59D2" w14:paraId="222F0451" w14:textId="77777777" w:rsidTr="00BE01C8">
        <w:trPr>
          <w:trHeight w:val="369"/>
        </w:trPr>
        <w:tc>
          <w:tcPr>
            <w:tcW w:w="2239" w:type="dxa"/>
          </w:tcPr>
          <w:p w14:paraId="6A112C85" w14:textId="77777777" w:rsidR="00AA71EE" w:rsidRPr="001F57D4" w:rsidRDefault="005F5DB9" w:rsidP="00BE01C8">
            <w:pPr>
              <w:spacing w:line="276" w:lineRule="auto"/>
              <w:jc w:val="right"/>
            </w:pPr>
            <w:r w:rsidRPr="001F57D4">
              <w:t>komisijas sekretāre:</w:t>
            </w:r>
          </w:p>
        </w:tc>
        <w:tc>
          <w:tcPr>
            <w:tcW w:w="5386" w:type="dxa"/>
          </w:tcPr>
          <w:p w14:paraId="2FE5E92C" w14:textId="77777777" w:rsidR="00AA71EE" w:rsidRPr="001F57D4" w:rsidRDefault="005F5DB9" w:rsidP="00BE01C8">
            <w:pPr>
              <w:spacing w:line="276" w:lineRule="auto"/>
            </w:pPr>
            <w:r w:rsidRPr="001F57D4">
              <w:t>L</w:t>
            </w:r>
            <w:r>
              <w:t xml:space="preserve">ita </w:t>
            </w:r>
            <w:r w:rsidRPr="001F57D4">
              <w:t>Sakoviča,</w:t>
            </w:r>
          </w:p>
        </w:tc>
      </w:tr>
      <w:bookmarkEnd w:id="0"/>
      <w:tr w:rsidR="00EF59D2" w14:paraId="503523A3" w14:textId="77777777" w:rsidTr="00BE01C8">
        <w:trPr>
          <w:trHeight w:val="322"/>
        </w:trPr>
        <w:tc>
          <w:tcPr>
            <w:tcW w:w="2239" w:type="dxa"/>
          </w:tcPr>
          <w:p w14:paraId="00C56E46" w14:textId="77777777" w:rsidR="00AA71EE" w:rsidRPr="00BF14F7" w:rsidRDefault="005F5DB9" w:rsidP="00BE01C8">
            <w:pPr>
              <w:spacing w:line="276" w:lineRule="auto"/>
              <w:jc w:val="right"/>
            </w:pPr>
            <w:r w:rsidRPr="00BF14F7">
              <w:t>piedaloties:</w:t>
            </w:r>
          </w:p>
        </w:tc>
        <w:tc>
          <w:tcPr>
            <w:tcW w:w="5386" w:type="dxa"/>
          </w:tcPr>
          <w:p w14:paraId="3124148D" w14:textId="77777777" w:rsidR="00AA71EE" w:rsidRPr="00BF14F7" w:rsidRDefault="005F5DB9" w:rsidP="00BE01C8">
            <w:pPr>
              <w:spacing w:after="360" w:line="276" w:lineRule="auto"/>
            </w:pPr>
            <w:r>
              <w:t xml:space="preserve">Uldim </w:t>
            </w:r>
            <w:proofErr w:type="spellStart"/>
            <w:r>
              <w:t>Cinkmanim</w:t>
            </w:r>
            <w:proofErr w:type="spellEnd"/>
            <w:r w:rsidRPr="00BF14F7">
              <w:t>,</w:t>
            </w:r>
          </w:p>
        </w:tc>
      </w:tr>
    </w:tbl>
    <w:p w14:paraId="21A51552" w14:textId="77777777" w:rsidR="00AA71EE" w:rsidRPr="00662F94" w:rsidRDefault="005F5DB9" w:rsidP="00AA71EE">
      <w:pPr>
        <w:spacing w:line="276" w:lineRule="auto"/>
        <w:rPr>
          <w:bCs/>
          <w:lang w:eastAsia="lv-LV"/>
        </w:rPr>
      </w:pPr>
      <w:r w:rsidRPr="00662F94">
        <w:rPr>
          <w:lang w:eastAsia="lv-LV"/>
        </w:rPr>
        <w:t>202</w:t>
      </w:r>
      <w:r>
        <w:rPr>
          <w:lang w:eastAsia="lv-LV"/>
        </w:rPr>
        <w:t>1</w:t>
      </w:r>
      <w:r w:rsidRPr="00662F94">
        <w:rPr>
          <w:lang w:eastAsia="lv-LV"/>
        </w:rPr>
        <w:t xml:space="preserve">.gada </w:t>
      </w:r>
      <w:r>
        <w:rPr>
          <w:lang w:eastAsia="lv-LV"/>
        </w:rPr>
        <w:t>11.martā,</w:t>
      </w:r>
      <w:r w:rsidRPr="00662F94">
        <w:rPr>
          <w:lang w:eastAsia="lv-LV"/>
        </w:rPr>
        <w:t xml:space="preserve"> izskatījusi Komisijas sēdē jautājumu par </w:t>
      </w:r>
      <w:bookmarkStart w:id="1" w:name="_Hlk60532088"/>
      <w:bookmarkStart w:id="2" w:name="_Hlk60533199"/>
      <w:r>
        <w:rPr>
          <w:lang w:eastAsia="lv-LV"/>
        </w:rPr>
        <w:t xml:space="preserve">Organizētās noziedzības un citu nozaru specializētās </w:t>
      </w:r>
      <w:r w:rsidRPr="00662F94">
        <w:rPr>
          <w:lang w:eastAsia="lv-LV"/>
        </w:rPr>
        <w:t>prokuratūras prokuror</w:t>
      </w:r>
      <w:r>
        <w:rPr>
          <w:lang w:eastAsia="lv-LV"/>
        </w:rPr>
        <w:t>a</w:t>
      </w:r>
      <w:r w:rsidRPr="00662F94">
        <w:rPr>
          <w:lang w:eastAsia="lv-LV"/>
        </w:rPr>
        <w:t xml:space="preserve"> </w:t>
      </w:r>
      <w:bookmarkEnd w:id="1"/>
      <w:r>
        <w:rPr>
          <w:b/>
          <w:i/>
          <w:lang w:eastAsia="lv-LV"/>
        </w:rPr>
        <w:t xml:space="preserve">Ulda </w:t>
      </w:r>
      <w:proofErr w:type="spellStart"/>
      <w:r>
        <w:rPr>
          <w:b/>
          <w:i/>
          <w:lang w:eastAsia="lv-LV"/>
        </w:rPr>
        <w:t>Cinkmaņa</w:t>
      </w:r>
      <w:proofErr w:type="spellEnd"/>
      <w:r w:rsidRPr="00662F94">
        <w:rPr>
          <w:b/>
          <w:i/>
          <w:lang w:eastAsia="lv-LV"/>
        </w:rPr>
        <w:t xml:space="preserve"> </w:t>
      </w:r>
      <w:r>
        <w:rPr>
          <w:bCs/>
          <w:iCs/>
          <w:lang w:eastAsia="lv-LV"/>
        </w:rPr>
        <w:t xml:space="preserve">iespējami </w:t>
      </w:r>
      <w:r>
        <w:rPr>
          <w:bCs/>
          <w:iCs/>
          <w:lang w:eastAsia="lv-LV"/>
        </w:rPr>
        <w:t>pieļautajiem Latvijas Prokuroru ētikas kodeksa (turpmāk arī – Prokuroru ētikas kodekss) normu pārkāpumiem</w:t>
      </w:r>
      <w:bookmarkEnd w:id="2"/>
      <w:r w:rsidRPr="00662F94">
        <w:rPr>
          <w:bCs/>
          <w:lang w:eastAsia="lv-LV"/>
        </w:rPr>
        <w:t>,</w:t>
      </w:r>
    </w:p>
    <w:p w14:paraId="552FB890" w14:textId="77777777" w:rsidR="00AA71EE" w:rsidRPr="0082767E" w:rsidRDefault="005F5DB9" w:rsidP="00AA71EE">
      <w:pPr>
        <w:spacing w:line="276" w:lineRule="auto"/>
        <w:jc w:val="center"/>
        <w:rPr>
          <w:b/>
          <w:i/>
          <w:color w:val="000000"/>
          <w:lang w:eastAsia="lv-LV"/>
        </w:rPr>
      </w:pPr>
      <w:r w:rsidRPr="0082767E">
        <w:rPr>
          <w:b/>
          <w:i/>
          <w:color w:val="000000"/>
          <w:lang w:eastAsia="lv-LV"/>
        </w:rPr>
        <w:t xml:space="preserve">konstatēja </w:t>
      </w:r>
    </w:p>
    <w:p w14:paraId="22C85AFC" w14:textId="77777777" w:rsidR="00AA71EE" w:rsidRDefault="005F5DB9" w:rsidP="00AA71EE">
      <w:pPr>
        <w:spacing w:line="276" w:lineRule="auto"/>
        <w:ind w:firstLine="720"/>
      </w:pPr>
      <w:r>
        <w:t>Par</w:t>
      </w:r>
      <w:r w:rsidRPr="00640F90">
        <w:t xml:space="preserve"> </w:t>
      </w:r>
      <w:r w:rsidRPr="00640F90">
        <w:rPr>
          <w:iCs/>
        </w:rPr>
        <w:t>Organizētās noziedzības un citu nozaru specializētās prokuratūras prokurora U</w:t>
      </w:r>
      <w:r>
        <w:rPr>
          <w:iCs/>
        </w:rPr>
        <w:t xml:space="preserve">lda </w:t>
      </w:r>
      <w:proofErr w:type="spellStart"/>
      <w:r w:rsidRPr="00640F90">
        <w:rPr>
          <w:iCs/>
        </w:rPr>
        <w:t>Cinkma</w:t>
      </w:r>
      <w:r>
        <w:rPr>
          <w:iCs/>
        </w:rPr>
        <w:t>ņa</w:t>
      </w:r>
      <w:proofErr w:type="spellEnd"/>
      <w:r>
        <w:rPr>
          <w:iCs/>
        </w:rPr>
        <w:t xml:space="preserve"> iespējams pieļautiem Prokuroru ētikas kodek</w:t>
      </w:r>
      <w:r>
        <w:rPr>
          <w:iCs/>
        </w:rPr>
        <w:t>sa normu pārkāpumiem attiecībā uz</w:t>
      </w:r>
      <w:r w:rsidRPr="00640F90">
        <w:t xml:space="preserve"> rīcību, kas atspoguļota 2021.gada 2.februāra rakstā “Prokurors </w:t>
      </w:r>
      <w:proofErr w:type="spellStart"/>
      <w:r w:rsidRPr="00640F90">
        <w:t>Cinkmanis</w:t>
      </w:r>
      <w:proofErr w:type="spellEnd"/>
      <w:r w:rsidRPr="00640F90">
        <w:t xml:space="preserve">: “Visapkārt </w:t>
      </w:r>
      <w:proofErr w:type="spellStart"/>
      <w:r w:rsidRPr="00640F90">
        <w:t>pida</w:t>
      </w:r>
      <w:proofErr w:type="spellEnd"/>
      <w:r w:rsidRPr="00640F90">
        <w:t>**</w:t>
      </w:r>
      <w:proofErr w:type="spellStart"/>
      <w:r w:rsidRPr="00640F90">
        <w:t>si</w:t>
      </w:r>
      <w:proofErr w:type="spellEnd"/>
      <w:r w:rsidRPr="00640F90">
        <w:t>!” ar video (</w:t>
      </w:r>
      <w:hyperlink r:id="rId8" w:history="1">
        <w:r w:rsidRPr="00640F90">
          <w:rPr>
            <w:rStyle w:val="Hyperlink"/>
            <w:color w:val="auto"/>
            <w:u w:val="none"/>
          </w:rPr>
          <w:t>https://puaro.lv/tiesiskums/prokurors</w:t>
        </w:r>
        <w:r w:rsidRPr="00640F90">
          <w:rPr>
            <w:rStyle w:val="Hyperlink"/>
            <w:color w:val="auto"/>
            <w:u w:val="none"/>
          </w:rPr>
          <w:t>-cinkmanis-visapkart-pidasi/</w:t>
        </w:r>
      </w:hyperlink>
      <w:r w:rsidRPr="00640F90">
        <w:rPr>
          <w:rStyle w:val="Hyperlink"/>
          <w:color w:val="auto"/>
          <w:u w:val="none"/>
        </w:rPr>
        <w:t xml:space="preserve">) un 2021.gada 12.februārī rakstā </w:t>
      </w:r>
      <w:r w:rsidRPr="00640F90">
        <w:t>“</w:t>
      </w:r>
      <w:proofErr w:type="spellStart"/>
      <w:r w:rsidRPr="00640F90">
        <w:rPr>
          <w:kern w:val="36"/>
        </w:rPr>
        <w:t>Borovkovs</w:t>
      </w:r>
      <w:proofErr w:type="spellEnd"/>
      <w:r w:rsidRPr="00640F90">
        <w:rPr>
          <w:kern w:val="36"/>
        </w:rPr>
        <w:t xml:space="preserve">: Tiesu varu diskreditē prokurors – deģenerāts” ar </w:t>
      </w:r>
      <w:r w:rsidRPr="00640F90">
        <w:rPr>
          <w:rStyle w:val="Hyperlink"/>
          <w:color w:val="auto"/>
          <w:u w:val="none"/>
        </w:rPr>
        <w:t xml:space="preserve">atsauci uz </w:t>
      </w:r>
      <w:r w:rsidRPr="00640F90">
        <w:rPr>
          <w:rStyle w:val="Strong"/>
        </w:rPr>
        <w:t xml:space="preserve"> </w:t>
      </w:r>
      <w:r w:rsidRPr="00CB1E04">
        <w:rPr>
          <w:rStyle w:val="Strong"/>
          <w:b w:val="0"/>
          <w:bCs w:val="0"/>
        </w:rPr>
        <w:t>“</w:t>
      </w:r>
      <w:proofErr w:type="spellStart"/>
      <w:r w:rsidRPr="00CB1E04">
        <w:rPr>
          <w:rStyle w:val="Strong"/>
          <w:b w:val="0"/>
          <w:bCs w:val="0"/>
        </w:rPr>
        <w:t>RīgaTV</w:t>
      </w:r>
      <w:proofErr w:type="spellEnd"/>
      <w:r w:rsidRPr="00CB1E04">
        <w:rPr>
          <w:rStyle w:val="Strong"/>
          <w:b w:val="0"/>
          <w:bCs w:val="0"/>
        </w:rPr>
        <w:t xml:space="preserve"> 24”</w:t>
      </w:r>
      <w:r w:rsidRPr="00640F90">
        <w:t xml:space="preserve"> raidījumu </w:t>
      </w:r>
      <w:r w:rsidRPr="00640F90">
        <w:rPr>
          <w:kern w:val="36"/>
        </w:rPr>
        <w:t>(</w:t>
      </w:r>
      <w:hyperlink r:id="rId9" w:history="1">
        <w:r w:rsidRPr="00640F90">
          <w:rPr>
            <w:rStyle w:val="Hyperlink"/>
            <w:color w:val="auto"/>
            <w:u w:val="none"/>
          </w:rPr>
          <w:t>https://www.la.lv/1641577-2</w:t>
        </w:r>
      </w:hyperlink>
      <w:r w:rsidRPr="00640F90">
        <w:t>)</w:t>
      </w:r>
      <w:r>
        <w:t xml:space="preserve">, </w:t>
      </w:r>
      <w:r>
        <w:t>prokuratūrā veikta pārbaude</w:t>
      </w:r>
      <w:r w:rsidRPr="00640F90">
        <w:t>.</w:t>
      </w:r>
    </w:p>
    <w:p w14:paraId="7B5733E2" w14:textId="77777777" w:rsidR="00AA71EE" w:rsidRDefault="005F5DB9" w:rsidP="00AA71EE">
      <w:pPr>
        <w:spacing w:line="276" w:lineRule="auto"/>
        <w:ind w:firstLine="720"/>
      </w:pPr>
      <w:r w:rsidRPr="00167C0F">
        <w:t>202</w:t>
      </w:r>
      <w:r>
        <w:t>1</w:t>
      </w:r>
      <w:r w:rsidRPr="00167C0F">
        <w:t>.</w:t>
      </w:r>
      <w:r>
        <w:t>gada 24.februārī</w:t>
      </w:r>
      <w:r w:rsidRPr="00167C0F">
        <w:t xml:space="preserve"> </w:t>
      </w:r>
      <w:r>
        <w:t>pārbaudes materiāli kopā ar atzinumu norādīto apstākļu izvērtēšanai saņemti Komisijā.</w:t>
      </w:r>
    </w:p>
    <w:p w14:paraId="5B6E6A19" w14:textId="77777777" w:rsidR="00AA71EE" w:rsidRDefault="005F5DB9" w:rsidP="00AA71EE">
      <w:pPr>
        <w:spacing w:line="276" w:lineRule="auto"/>
        <w:ind w:firstLine="720"/>
        <w:rPr>
          <w:rStyle w:val="Hyperlink"/>
          <w:color w:val="auto"/>
          <w:u w:val="none"/>
        </w:rPr>
      </w:pPr>
      <w:r>
        <w:rPr>
          <w:rStyle w:val="Hyperlink"/>
          <w:color w:val="auto"/>
          <w:u w:val="none"/>
        </w:rPr>
        <w:t xml:space="preserve">No materiāliem izriet, ka </w:t>
      </w:r>
      <w:r w:rsidRPr="00640F90">
        <w:t xml:space="preserve">prokuratūrā jau tika veikta pārbaude par </w:t>
      </w:r>
      <w:r w:rsidRPr="00640F90">
        <w:rPr>
          <w:iCs/>
        </w:rPr>
        <w:t xml:space="preserve">prokurora </w:t>
      </w:r>
      <w:proofErr w:type="spellStart"/>
      <w:r w:rsidRPr="00640F90">
        <w:rPr>
          <w:iCs/>
        </w:rPr>
        <w:t>U.Cinkmaņa</w:t>
      </w:r>
      <w:proofErr w:type="spellEnd"/>
      <w:r w:rsidRPr="00640F90">
        <w:rPr>
          <w:iCs/>
        </w:rPr>
        <w:t xml:space="preserve"> </w:t>
      </w:r>
      <w:r>
        <w:rPr>
          <w:iCs/>
        </w:rPr>
        <w:t xml:space="preserve">uzvedību </w:t>
      </w:r>
      <w:r w:rsidRPr="00640F90">
        <w:rPr>
          <w:iCs/>
        </w:rPr>
        <w:t xml:space="preserve">2020.gada </w:t>
      </w:r>
      <w:r w:rsidRPr="00640F90">
        <w:rPr>
          <w:kern w:val="36"/>
        </w:rPr>
        <w:t>17.oktobra</w:t>
      </w:r>
      <w:r w:rsidRPr="00640F90">
        <w:t xml:space="preserve"> l</w:t>
      </w:r>
      <w:r w:rsidRPr="00640F90">
        <w:t>atviešu metāla grupas “</w:t>
      </w:r>
      <w:proofErr w:type="spellStart"/>
      <w:r w:rsidRPr="00640F90">
        <w:t>Skyforger</w:t>
      </w:r>
      <w:proofErr w:type="spellEnd"/>
      <w:r w:rsidRPr="00640F90">
        <w:t>” koncerta</w:t>
      </w:r>
      <w:r w:rsidRPr="00640F90">
        <w:rPr>
          <w:iCs/>
        </w:rPr>
        <w:t xml:space="preserve"> apmeklējum</w:t>
      </w:r>
      <w:r>
        <w:rPr>
          <w:iCs/>
        </w:rPr>
        <w:t>a laikā</w:t>
      </w:r>
      <w:r w:rsidRPr="00640F90">
        <w:rPr>
          <w:iCs/>
        </w:rPr>
        <w:t xml:space="preserve"> </w:t>
      </w:r>
      <w:r w:rsidRPr="00640F90">
        <w:t>Latgales vēstniecībā “</w:t>
      </w:r>
      <w:proofErr w:type="spellStart"/>
      <w:r w:rsidRPr="00640F90">
        <w:t>Gors</w:t>
      </w:r>
      <w:proofErr w:type="spellEnd"/>
      <w:r w:rsidRPr="00640F90">
        <w:t xml:space="preserve">” Rēzeknē atbilstoši tai informācijai un video, kas bija pieejami </w:t>
      </w:r>
      <w:r>
        <w:t>interneta vietnē</w:t>
      </w:r>
      <w:r w:rsidRPr="00640F90">
        <w:t xml:space="preserve"> </w:t>
      </w:r>
      <w:hyperlink r:id="rId10" w:history="1">
        <w:r w:rsidRPr="00640F90">
          <w:rPr>
            <w:rStyle w:val="Hyperlink"/>
            <w:color w:val="auto"/>
            <w:u w:val="none"/>
          </w:rPr>
          <w:t>https://puaro.lv</w:t>
        </w:r>
      </w:hyperlink>
      <w:r>
        <w:rPr>
          <w:rStyle w:val="Hyperlink"/>
          <w:color w:val="auto"/>
          <w:u w:val="none"/>
        </w:rPr>
        <w:t xml:space="preserve"> publicētajā </w:t>
      </w:r>
      <w:r w:rsidRPr="00640F90">
        <w:t>2020.gada 5.novembra</w:t>
      </w:r>
      <w:r>
        <w:t xml:space="preserve"> rak</w:t>
      </w:r>
      <w:r>
        <w:t>stā</w:t>
      </w:r>
      <w:r w:rsidRPr="00640F90">
        <w:t xml:space="preserve"> “</w:t>
      </w:r>
      <w:r w:rsidRPr="00640F90">
        <w:rPr>
          <w:kern w:val="36"/>
        </w:rPr>
        <w:t xml:space="preserve">“Paņemsim </w:t>
      </w:r>
      <w:proofErr w:type="spellStart"/>
      <w:r w:rsidRPr="00640F90">
        <w:rPr>
          <w:kern w:val="36"/>
        </w:rPr>
        <w:t>šļuškas</w:t>
      </w:r>
      <w:proofErr w:type="spellEnd"/>
      <w:r w:rsidRPr="00640F90">
        <w:rPr>
          <w:kern w:val="36"/>
        </w:rPr>
        <w:t xml:space="preserve"> un vienkārši…” – prokurors Uldis </w:t>
      </w:r>
      <w:proofErr w:type="spellStart"/>
      <w:r w:rsidRPr="00640F90">
        <w:rPr>
          <w:kern w:val="36"/>
        </w:rPr>
        <w:t>Cinkmanis</w:t>
      </w:r>
      <w:proofErr w:type="spellEnd"/>
      <w:r w:rsidRPr="00640F90">
        <w:rPr>
          <w:kern w:val="36"/>
        </w:rPr>
        <w:t xml:space="preserve"> rupji izrunājas un ālējas publiskā vietā” (</w:t>
      </w:r>
      <w:hyperlink r:id="rId11" w:history="1">
        <w:r w:rsidRPr="00640F90">
          <w:rPr>
            <w:rStyle w:val="Hyperlink"/>
            <w:color w:val="auto"/>
            <w:u w:val="none"/>
          </w:rPr>
          <w:t>https://</w:t>
        </w:r>
        <w:r w:rsidRPr="00640F90">
          <w:rPr>
            <w:rStyle w:val="Hyperlink"/>
            <w:color w:val="auto"/>
            <w:u w:val="none"/>
          </w:rPr>
          <w:t>puaro.lv/tiesiskums/panemsim-sluskas-un-vienkarsi-prokurors-uldis-cinkmanis-rupji-izrunajas-un-alejas-publiska-vieta/</w:t>
        </w:r>
      </w:hyperlink>
      <w:r w:rsidRPr="00640F90">
        <w:t>) un</w:t>
      </w:r>
      <w:r>
        <w:t xml:space="preserve"> interneta vietnē </w:t>
      </w:r>
      <w:r w:rsidRPr="000344D1">
        <w:t>https://jauns.lv</w:t>
      </w:r>
      <w:r w:rsidRPr="00640F90">
        <w:t xml:space="preserve"> </w:t>
      </w:r>
      <w:r w:rsidRPr="00640F90">
        <w:rPr>
          <w:rStyle w:val="meta-infopublish-date-mimnimal"/>
        </w:rPr>
        <w:t>2020.gada 3.novembra rakstā</w:t>
      </w:r>
      <w:r>
        <w:rPr>
          <w:rStyle w:val="meta-infopublish-date-mimnimal"/>
        </w:rPr>
        <w:t xml:space="preserve"> –</w:t>
      </w:r>
      <w:r w:rsidRPr="00640F90">
        <w:rPr>
          <w:rStyle w:val="meta-infopublish-date-mimnimal"/>
        </w:rPr>
        <w:t xml:space="preserve"> </w:t>
      </w:r>
      <w:hyperlink r:id="rId12" w:history="1">
        <w:r w:rsidRPr="00640F90">
          <w:rPr>
            <w:rStyle w:val="Hyperlink"/>
            <w:color w:val="auto"/>
            <w:u w:val="none"/>
          </w:rPr>
          <w:t xml:space="preserve">https://jauns.lv/raksts/zinas/411930-video-panemsim-sluskas-un-vienkarsi-prokurors-uldis </w:t>
        </w:r>
        <w:proofErr w:type="spellStart"/>
        <w:r w:rsidRPr="00640F90">
          <w:rPr>
            <w:rStyle w:val="Hyperlink"/>
            <w:color w:val="auto"/>
            <w:u w:val="none"/>
          </w:rPr>
          <w:t>cinkmanis</w:t>
        </w:r>
        <w:proofErr w:type="spellEnd"/>
        <w:r w:rsidRPr="00640F90">
          <w:rPr>
            <w:rStyle w:val="Hyperlink"/>
            <w:color w:val="auto"/>
            <w:u w:val="none"/>
          </w:rPr>
          <w:t>-</w:t>
        </w:r>
        <w:proofErr w:type="spellStart"/>
        <w:r w:rsidRPr="00640F90">
          <w:rPr>
            <w:rStyle w:val="Hyperlink"/>
            <w:color w:val="auto"/>
            <w:u w:val="none"/>
          </w:rPr>
          <w:t>nofilmets</w:t>
        </w:r>
        <w:proofErr w:type="spellEnd"/>
        <w:r w:rsidRPr="00640F90">
          <w:rPr>
            <w:rStyle w:val="Hyperlink"/>
            <w:color w:val="auto"/>
            <w:u w:val="none"/>
          </w:rPr>
          <w:t>-rupji-</w:t>
        </w:r>
        <w:proofErr w:type="spellStart"/>
        <w:r w:rsidRPr="00640F90">
          <w:rPr>
            <w:rStyle w:val="Hyperlink"/>
            <w:color w:val="auto"/>
            <w:u w:val="none"/>
          </w:rPr>
          <w:t>alejamies</w:t>
        </w:r>
        <w:proofErr w:type="spellEnd"/>
        <w:r w:rsidRPr="00640F90">
          <w:rPr>
            <w:rStyle w:val="Hyperlink"/>
            <w:color w:val="auto"/>
            <w:u w:val="none"/>
          </w:rPr>
          <w:t>-publiska-vieta</w:t>
        </w:r>
      </w:hyperlink>
      <w:r w:rsidRPr="00640F90">
        <w:t>.</w:t>
      </w:r>
      <w:r>
        <w:rPr>
          <w:rStyle w:val="Hyperlink"/>
          <w:color w:val="auto"/>
          <w:u w:val="none"/>
        </w:rPr>
        <w:t xml:space="preserve"> </w:t>
      </w:r>
    </w:p>
    <w:p w14:paraId="35E92ACF" w14:textId="77777777" w:rsidR="00AA71EE" w:rsidRDefault="005F5DB9" w:rsidP="00AA71EE">
      <w:pPr>
        <w:spacing w:line="276" w:lineRule="auto"/>
        <w:ind w:firstLine="720"/>
        <w:rPr>
          <w:rStyle w:val="Hyperlink"/>
          <w:color w:val="auto"/>
          <w:u w:val="none"/>
        </w:rPr>
      </w:pPr>
      <w:r>
        <w:rPr>
          <w:rStyle w:val="Hyperlink"/>
          <w:color w:val="auto"/>
          <w:u w:val="none"/>
        </w:rPr>
        <w:t>2020.gada 16.decembrī K</w:t>
      </w:r>
      <w:r>
        <w:rPr>
          <w:rStyle w:val="Hyperlink"/>
          <w:color w:val="auto"/>
          <w:u w:val="none"/>
        </w:rPr>
        <w:t xml:space="preserve">omisija, izvērtējot tobrīd publiskajā telpā pieejamo informāciju un videomateriālus, nolēma, ka </w:t>
      </w:r>
      <w:r w:rsidRPr="003C1041">
        <w:rPr>
          <w:lang w:eastAsia="lv-LV"/>
        </w:rPr>
        <w:t xml:space="preserve">prokurora </w:t>
      </w:r>
      <w:proofErr w:type="spellStart"/>
      <w:r w:rsidRPr="003C1041">
        <w:rPr>
          <w:lang w:eastAsia="lv-LV"/>
        </w:rPr>
        <w:t>U</w:t>
      </w:r>
      <w:r>
        <w:rPr>
          <w:lang w:eastAsia="lv-LV"/>
        </w:rPr>
        <w:t>.</w:t>
      </w:r>
      <w:r w:rsidRPr="003C1041">
        <w:rPr>
          <w:lang w:eastAsia="lv-LV"/>
        </w:rPr>
        <w:t>Cinkmaņa</w:t>
      </w:r>
      <w:proofErr w:type="spellEnd"/>
      <w:r w:rsidRPr="00662F94">
        <w:rPr>
          <w:b/>
          <w:i/>
          <w:lang w:eastAsia="lv-LV"/>
        </w:rPr>
        <w:t xml:space="preserve"> </w:t>
      </w:r>
      <w:r>
        <w:rPr>
          <w:bCs/>
          <w:iCs/>
          <w:lang w:eastAsia="lv-LV"/>
        </w:rPr>
        <w:t>rīcībā nav saskatāmi Prokuroru ētikas kodeksa normu pārkāpumi.</w:t>
      </w:r>
    </w:p>
    <w:p w14:paraId="4D1C05FD" w14:textId="77777777" w:rsidR="00AA71EE" w:rsidRDefault="005F5DB9" w:rsidP="00AA71EE">
      <w:pPr>
        <w:spacing w:line="276" w:lineRule="auto"/>
        <w:ind w:firstLine="720"/>
        <w:rPr>
          <w:rStyle w:val="Hyperlink"/>
          <w:color w:val="auto"/>
          <w:u w:val="none"/>
        </w:rPr>
      </w:pPr>
      <w:r>
        <w:rPr>
          <w:rStyle w:val="Hyperlink"/>
          <w:color w:val="auto"/>
          <w:u w:val="none"/>
        </w:rPr>
        <w:t xml:space="preserve">Ņemot vērā norādīto, Komisija nevērtē materiālus un prokurora </w:t>
      </w:r>
      <w:proofErr w:type="spellStart"/>
      <w:r>
        <w:rPr>
          <w:rStyle w:val="Hyperlink"/>
          <w:color w:val="auto"/>
          <w:u w:val="none"/>
        </w:rPr>
        <w:t>U.Cinkmaņa</w:t>
      </w:r>
      <w:proofErr w:type="spellEnd"/>
      <w:r>
        <w:rPr>
          <w:rStyle w:val="Hyperlink"/>
          <w:color w:val="auto"/>
          <w:u w:val="none"/>
        </w:rPr>
        <w:t xml:space="preserve"> rīcību tajā daļā, kas jau izvērtētā 2020.gada 16.decembra Komisijas sēdē, bet vērtē to papildu informāciju, kas kļuvusi zināma pēc 2020.gada 16.decembra Komisijas lēmuma pieņemšanas.</w:t>
      </w:r>
    </w:p>
    <w:p w14:paraId="471E9CFE" w14:textId="77777777" w:rsidR="00AA71EE" w:rsidRDefault="005F5DB9" w:rsidP="00AA71EE">
      <w:pPr>
        <w:spacing w:line="276" w:lineRule="auto"/>
        <w:ind w:firstLine="720"/>
        <w:rPr>
          <w:rStyle w:val="Hyperlink"/>
          <w:color w:val="auto"/>
          <w:u w:val="none"/>
        </w:rPr>
      </w:pPr>
    </w:p>
    <w:p w14:paraId="7C798D31" w14:textId="77777777" w:rsidR="00AA71EE" w:rsidRDefault="005F5DB9" w:rsidP="00AA71EE">
      <w:pPr>
        <w:spacing w:line="276" w:lineRule="auto"/>
        <w:ind w:firstLine="720"/>
        <w:rPr>
          <w:iCs/>
        </w:rPr>
      </w:pPr>
      <w:proofErr w:type="spellStart"/>
      <w:r>
        <w:rPr>
          <w:rStyle w:val="Hyperlink"/>
          <w:color w:val="auto"/>
          <w:u w:val="none"/>
        </w:rPr>
        <w:t>U.Cinkmanis</w:t>
      </w:r>
      <w:proofErr w:type="spellEnd"/>
      <w:r>
        <w:rPr>
          <w:rStyle w:val="Hyperlink"/>
          <w:color w:val="auto"/>
          <w:u w:val="none"/>
        </w:rPr>
        <w:t xml:space="preserve"> </w:t>
      </w:r>
      <w:r w:rsidRPr="00070435">
        <w:rPr>
          <w:kern w:val="36"/>
        </w:rPr>
        <w:t xml:space="preserve">2020.gada 17.oktobrī </w:t>
      </w:r>
      <w:r w:rsidRPr="00070435">
        <w:t>Latgales vēstniecībā “</w:t>
      </w:r>
      <w:proofErr w:type="spellStart"/>
      <w:r w:rsidRPr="00070435">
        <w:t>Gors</w:t>
      </w:r>
      <w:proofErr w:type="spellEnd"/>
      <w:r w:rsidRPr="00070435">
        <w:t xml:space="preserve">” </w:t>
      </w:r>
      <w:r w:rsidRPr="00070435">
        <w:t>Rēzeknē grupas “</w:t>
      </w:r>
      <w:proofErr w:type="spellStart"/>
      <w:r w:rsidRPr="00070435">
        <w:t>Skyforger</w:t>
      </w:r>
      <w:proofErr w:type="spellEnd"/>
      <w:r w:rsidRPr="00070435">
        <w:t>” koncertā atradies bez augšējās daļas apģērba līdz viduklim</w:t>
      </w:r>
      <w:r>
        <w:t xml:space="preserve">, kas nofilmēts, kā arī nofilmēta  </w:t>
      </w:r>
      <w:proofErr w:type="spellStart"/>
      <w:r>
        <w:t>U.Cinkmaņa</w:t>
      </w:r>
      <w:proofErr w:type="spellEnd"/>
      <w:r>
        <w:t xml:space="preserve"> saruna kafejnīcā. </w:t>
      </w:r>
      <w:r w:rsidRPr="00640F90">
        <w:t>Salīdzinot</w:t>
      </w:r>
      <w:r>
        <w:t xml:space="preserve"> Komisijas iepriekš vērtētos video un šobrīd</w:t>
      </w:r>
      <w:r w:rsidRPr="00640F90">
        <w:t xml:space="preserve"> publi</w:t>
      </w:r>
      <w:r>
        <w:t>cēto</w:t>
      </w:r>
      <w:r w:rsidRPr="00640F90">
        <w:t xml:space="preserve"> video, secināms, ka </w:t>
      </w:r>
      <w:r>
        <w:t xml:space="preserve">visi </w:t>
      </w:r>
      <w:r w:rsidRPr="00640F90">
        <w:t>šie video atspogu</w:t>
      </w:r>
      <w:r w:rsidRPr="00640F90">
        <w:t xml:space="preserve">ļo </w:t>
      </w:r>
      <w:r w:rsidRPr="00640F90">
        <w:rPr>
          <w:iCs/>
        </w:rPr>
        <w:t xml:space="preserve">prokurora </w:t>
      </w:r>
      <w:proofErr w:type="spellStart"/>
      <w:r w:rsidRPr="00640F90">
        <w:rPr>
          <w:iCs/>
        </w:rPr>
        <w:t>U.Cinkmaņa</w:t>
      </w:r>
      <w:proofErr w:type="spellEnd"/>
      <w:r w:rsidRPr="00640F90">
        <w:rPr>
          <w:iCs/>
        </w:rPr>
        <w:t xml:space="preserve"> 2020.gada </w:t>
      </w:r>
      <w:r w:rsidRPr="00640F90">
        <w:rPr>
          <w:kern w:val="36"/>
        </w:rPr>
        <w:t xml:space="preserve">17.oktobra </w:t>
      </w:r>
      <w:r w:rsidRPr="00640F90">
        <w:t>latviešu metāla grupas “</w:t>
      </w:r>
      <w:proofErr w:type="spellStart"/>
      <w:r w:rsidRPr="00640F90">
        <w:t>Skyforger</w:t>
      </w:r>
      <w:proofErr w:type="spellEnd"/>
      <w:r w:rsidRPr="00640F90">
        <w:t xml:space="preserve">” </w:t>
      </w:r>
      <w:r w:rsidRPr="00640F90">
        <w:rPr>
          <w:kern w:val="36"/>
        </w:rPr>
        <w:t xml:space="preserve">koncerta </w:t>
      </w:r>
      <w:r w:rsidRPr="00640F90">
        <w:rPr>
          <w:iCs/>
        </w:rPr>
        <w:t xml:space="preserve">apmeklējumu </w:t>
      </w:r>
      <w:r w:rsidRPr="00640F90">
        <w:t>Latgales vēstniecībā “</w:t>
      </w:r>
      <w:proofErr w:type="spellStart"/>
      <w:r w:rsidRPr="00640F90">
        <w:t>Gors</w:t>
      </w:r>
      <w:proofErr w:type="spellEnd"/>
      <w:r w:rsidRPr="00640F90">
        <w:t>” Rēzeknē. Atšķirība ir tā, ka 2021.gada februār</w:t>
      </w:r>
      <w:r>
        <w:t>ī publicētais</w:t>
      </w:r>
      <w:r w:rsidRPr="00640F90">
        <w:t xml:space="preserve"> video ir plašāks, kas parāda </w:t>
      </w:r>
      <w:r w:rsidRPr="00640F90">
        <w:rPr>
          <w:iCs/>
        </w:rPr>
        <w:t xml:space="preserve">prokurora </w:t>
      </w:r>
      <w:proofErr w:type="spellStart"/>
      <w:r w:rsidRPr="00640F90">
        <w:rPr>
          <w:iCs/>
        </w:rPr>
        <w:t>U.Cinkmaņa</w:t>
      </w:r>
      <w:proofErr w:type="spellEnd"/>
      <w:r w:rsidRPr="00640F90">
        <w:rPr>
          <w:iCs/>
        </w:rPr>
        <w:t xml:space="preserve"> uzvedības rakstur</w:t>
      </w:r>
      <w:r w:rsidRPr="00640F90">
        <w:rPr>
          <w:iCs/>
        </w:rPr>
        <w:t xml:space="preserve">u un </w:t>
      </w:r>
      <w:r>
        <w:rPr>
          <w:iCs/>
        </w:rPr>
        <w:t xml:space="preserve">citu </w:t>
      </w:r>
      <w:r w:rsidRPr="00640F90">
        <w:rPr>
          <w:iCs/>
        </w:rPr>
        <w:t>apkārtējo</w:t>
      </w:r>
      <w:r>
        <w:rPr>
          <w:iCs/>
        </w:rPr>
        <w:t xml:space="preserve"> personu reakcijas</w:t>
      </w:r>
      <w:r w:rsidRPr="00640F90">
        <w:rPr>
          <w:iCs/>
        </w:rPr>
        <w:t xml:space="preserve"> uz tiem.</w:t>
      </w:r>
    </w:p>
    <w:p w14:paraId="5E2A9798" w14:textId="77777777" w:rsidR="00AA71EE" w:rsidRPr="002E31D8" w:rsidRDefault="005F5DB9" w:rsidP="00AA71EE">
      <w:pPr>
        <w:spacing w:line="276" w:lineRule="auto"/>
        <w:ind w:firstLine="720"/>
        <w:rPr>
          <w:bCs/>
        </w:rPr>
      </w:pPr>
      <w:r>
        <w:t xml:space="preserve">No </w:t>
      </w:r>
      <w:r w:rsidRPr="00640F90">
        <w:t xml:space="preserve">2021.gada februāra video </w:t>
      </w:r>
      <w:r>
        <w:rPr>
          <w:bCs/>
        </w:rPr>
        <w:t>redzams</w:t>
      </w:r>
      <w:r w:rsidRPr="00640F90">
        <w:rPr>
          <w:bCs/>
        </w:rPr>
        <w:t xml:space="preserve">, ka </w:t>
      </w:r>
      <w:r w:rsidRPr="00640F90">
        <w:rPr>
          <w:iCs/>
        </w:rPr>
        <w:t xml:space="preserve">prokurora </w:t>
      </w:r>
      <w:proofErr w:type="spellStart"/>
      <w:r w:rsidRPr="00640F90">
        <w:rPr>
          <w:iCs/>
        </w:rPr>
        <w:t>U.Cinkmaņa</w:t>
      </w:r>
      <w:proofErr w:type="spellEnd"/>
      <w:r w:rsidRPr="00640F90">
        <w:rPr>
          <w:iCs/>
        </w:rPr>
        <w:t xml:space="preserve"> uzvedība ir</w:t>
      </w:r>
      <w:r>
        <w:rPr>
          <w:iCs/>
        </w:rPr>
        <w:t xml:space="preserve"> </w:t>
      </w:r>
      <w:r w:rsidRPr="00640F90">
        <w:rPr>
          <w:iCs/>
        </w:rPr>
        <w:t>skaļa,</w:t>
      </w:r>
      <w:r>
        <w:rPr>
          <w:iCs/>
        </w:rPr>
        <w:t xml:space="preserve"> tiek lietoti rupji, necenzēti izsaucieni,</w:t>
      </w:r>
      <w:r w:rsidRPr="00640F90">
        <w:rPr>
          <w:iCs/>
        </w:rPr>
        <w:t xml:space="preserve"> kas piesaista blakus galdiņa sēdētāju uzmanību</w:t>
      </w:r>
      <w:r>
        <w:rPr>
          <w:iCs/>
        </w:rPr>
        <w:t xml:space="preserve">. Minētais </w:t>
      </w:r>
      <w:r w:rsidRPr="00640F90">
        <w:rPr>
          <w:iCs/>
        </w:rPr>
        <w:t xml:space="preserve"> redzams video  </w:t>
      </w:r>
      <w:hyperlink r:id="rId13" w:history="1">
        <w:r w:rsidRPr="00640F90">
          <w:rPr>
            <w:rStyle w:val="Hyperlink"/>
            <w:iCs/>
            <w:color w:val="auto"/>
            <w:u w:val="none"/>
          </w:rPr>
          <w:t>https://puaro.lv/tiesiskums/prokurors-cinkmanis-visapkart-pidasi/</w:t>
        </w:r>
      </w:hyperlink>
      <w:r w:rsidRPr="00640F90">
        <w:rPr>
          <w:iCs/>
        </w:rPr>
        <w:t xml:space="preserve">, </w:t>
      </w:r>
      <w:r>
        <w:rPr>
          <w:iCs/>
        </w:rPr>
        <w:t xml:space="preserve">ieraksta </w:t>
      </w:r>
      <w:r w:rsidRPr="00640F90">
        <w:rPr>
          <w:iCs/>
        </w:rPr>
        <w:t xml:space="preserve">laiks no 00:57 līdz 01:01. </w:t>
      </w:r>
      <w:r>
        <w:rPr>
          <w:iCs/>
        </w:rPr>
        <w:t xml:space="preserve">Tāpat šajā video, ieraksta </w:t>
      </w:r>
      <w:r w:rsidRPr="00640F90">
        <w:rPr>
          <w:iCs/>
        </w:rPr>
        <w:t>lai</w:t>
      </w:r>
      <w:r>
        <w:rPr>
          <w:iCs/>
        </w:rPr>
        <w:t>kā</w:t>
      </w:r>
      <w:r w:rsidRPr="00640F90">
        <w:rPr>
          <w:iCs/>
        </w:rPr>
        <w:t xml:space="preserve"> no 00:</w:t>
      </w:r>
      <w:r>
        <w:rPr>
          <w:iCs/>
        </w:rPr>
        <w:t>3</w:t>
      </w:r>
      <w:r w:rsidRPr="00640F90">
        <w:rPr>
          <w:iCs/>
        </w:rPr>
        <w:t>5 līdz 0</w:t>
      </w:r>
      <w:r>
        <w:rPr>
          <w:iCs/>
        </w:rPr>
        <w:t>0</w:t>
      </w:r>
      <w:r w:rsidRPr="00640F90">
        <w:rPr>
          <w:iCs/>
        </w:rPr>
        <w:t>:</w:t>
      </w:r>
      <w:r>
        <w:rPr>
          <w:iCs/>
        </w:rPr>
        <w:t xml:space="preserve">42 dzirdams kā </w:t>
      </w:r>
      <w:proofErr w:type="spellStart"/>
      <w:r>
        <w:rPr>
          <w:iCs/>
        </w:rPr>
        <w:t>U.Cinkmanis</w:t>
      </w:r>
      <w:proofErr w:type="spellEnd"/>
      <w:r>
        <w:rPr>
          <w:iCs/>
        </w:rPr>
        <w:t xml:space="preserve">  lieto v</w:t>
      </w:r>
      <w:r>
        <w:rPr>
          <w:iCs/>
        </w:rPr>
        <w:t>ārdus – “</w:t>
      </w:r>
      <w:proofErr w:type="spellStart"/>
      <w:r w:rsidRPr="00FF0E7A">
        <w:rPr>
          <w:i/>
        </w:rPr>
        <w:t>ga</w:t>
      </w:r>
      <w:r>
        <w:rPr>
          <w:i/>
        </w:rPr>
        <w:t>y</w:t>
      </w:r>
      <w:proofErr w:type="spellEnd"/>
      <w:r>
        <w:rPr>
          <w:i/>
        </w:rPr>
        <w:t>”</w:t>
      </w:r>
      <w:r>
        <w:rPr>
          <w:iCs/>
        </w:rPr>
        <w:t xml:space="preserve"> un</w:t>
      </w:r>
      <w:r w:rsidRPr="00FF0E7A">
        <w:rPr>
          <w:i/>
        </w:rPr>
        <w:t xml:space="preserve"> </w:t>
      </w:r>
      <w:r>
        <w:rPr>
          <w:i/>
        </w:rPr>
        <w:t>“</w:t>
      </w:r>
      <w:r w:rsidRPr="00FF0E7A">
        <w:rPr>
          <w:i/>
        </w:rPr>
        <w:t>pidarasi</w:t>
      </w:r>
      <w:r>
        <w:rPr>
          <w:i/>
        </w:rPr>
        <w:t>”</w:t>
      </w:r>
      <w:r>
        <w:rPr>
          <w:iCs/>
        </w:rPr>
        <w:t>.</w:t>
      </w:r>
    </w:p>
    <w:p w14:paraId="230699BB" w14:textId="77777777" w:rsidR="00AA71EE" w:rsidRPr="002E31D8" w:rsidRDefault="005F5DB9" w:rsidP="00AA71EE">
      <w:pPr>
        <w:spacing w:line="276" w:lineRule="auto"/>
        <w:ind w:firstLine="720"/>
      </w:pPr>
      <w:r w:rsidRPr="002E31D8">
        <w:rPr>
          <w:kern w:val="36"/>
        </w:rPr>
        <w:t>Komisijā saņemtajā atzinumā pārbaudes veicējs norādījis, ka</w:t>
      </w:r>
      <w:r w:rsidRPr="002E31D8">
        <w:t xml:space="preserve"> prokuroram kā vienam no svarīgākajām tiesu varas amatpersonām ir jāapzinās, ka </w:t>
      </w:r>
      <w:r>
        <w:t xml:space="preserve">viņam </w:t>
      </w:r>
      <w:r w:rsidRPr="002E31D8">
        <w:t>ir paaugstinātas uzvedības prasības arī privātajā dzīvē,</w:t>
      </w:r>
      <w:r w:rsidRPr="000E4279">
        <w:t xml:space="preserve"> </w:t>
      </w:r>
      <w:r>
        <w:t xml:space="preserve">tādēļ </w:t>
      </w:r>
      <w:r w:rsidRPr="00431F56">
        <w:t xml:space="preserve">prokurora </w:t>
      </w:r>
      <w:proofErr w:type="spellStart"/>
      <w:r w:rsidRPr="00431F56">
        <w:t>U.Cinkmaņa</w:t>
      </w:r>
      <w:proofErr w:type="spellEnd"/>
      <w:r w:rsidRPr="00431F56">
        <w:t xml:space="preserve"> iespējami izdarītie  Prokuroru Ētikas kodeksa normu pārkāpumi skatāmi</w:t>
      </w:r>
      <w:r>
        <w:t xml:space="preserve"> Komisijā. Tāpat pārbaudes veicējs norādījis, ka </w:t>
      </w:r>
      <w:r>
        <w:rPr>
          <w:iCs/>
        </w:rPr>
        <w:t>š</w:t>
      </w:r>
      <w:r w:rsidRPr="00BB61CB">
        <w:rPr>
          <w:iCs/>
        </w:rPr>
        <w:t>īs sarunas, lietojot necenzētus vārdus, ir notikušas publiskā vietā, tamdēļ, prokuroram</w:t>
      </w:r>
      <w:r w:rsidRPr="00061497">
        <w:rPr>
          <w:iCs/>
        </w:rPr>
        <w:t xml:space="preserve"> </w:t>
      </w:r>
      <w:r w:rsidRPr="00BB61CB">
        <w:rPr>
          <w:iCs/>
        </w:rPr>
        <w:t>it sevišķi, bija jāapzinās, ka kāds va</w:t>
      </w:r>
      <w:r w:rsidRPr="00BB61CB">
        <w:rPr>
          <w:iCs/>
        </w:rPr>
        <w:t xml:space="preserve">rētu </w:t>
      </w:r>
      <w:r>
        <w:rPr>
          <w:iCs/>
        </w:rPr>
        <w:t xml:space="preserve">tās </w:t>
      </w:r>
      <w:r w:rsidRPr="00BB61CB">
        <w:rPr>
          <w:iCs/>
        </w:rPr>
        <w:t>dzirdēt</w:t>
      </w:r>
      <w:r>
        <w:rPr>
          <w:iCs/>
        </w:rPr>
        <w:t>.</w:t>
      </w:r>
      <w:r w:rsidRPr="00BB61CB">
        <w:rPr>
          <w:iCs/>
        </w:rPr>
        <w:t xml:space="preserve"> </w:t>
      </w:r>
      <w:r>
        <w:rPr>
          <w:iCs/>
        </w:rPr>
        <w:t>K</w:t>
      </w:r>
      <w:r w:rsidRPr="00BB61CB">
        <w:rPr>
          <w:iCs/>
        </w:rPr>
        <w:t>onkrētajā situācijā tās ir arī publiski pieejamas, kas var radīt kļūdainu priekštatu par prokuror</w:t>
      </w:r>
      <w:r>
        <w:rPr>
          <w:iCs/>
        </w:rPr>
        <w:t>a</w:t>
      </w:r>
      <w:r w:rsidRPr="00BB61CB">
        <w:rPr>
          <w:iCs/>
        </w:rPr>
        <w:t xml:space="preserve"> objektivitāti. </w:t>
      </w:r>
      <w:r>
        <w:rPr>
          <w:iCs/>
        </w:rPr>
        <w:t xml:space="preserve">Tādēļ </w:t>
      </w:r>
      <w:r>
        <w:t>K</w:t>
      </w:r>
      <w:r w:rsidRPr="00BB61CB">
        <w:t xml:space="preserve">omisijā būtu </w:t>
      </w:r>
      <w:r>
        <w:t xml:space="preserve">arī </w:t>
      </w:r>
      <w:r w:rsidRPr="00BB61CB">
        <w:t xml:space="preserve">jāvērtē </w:t>
      </w:r>
      <w:r w:rsidRPr="00704964">
        <w:rPr>
          <w:iCs/>
        </w:rPr>
        <w:t>prokuror</w:t>
      </w:r>
      <w:r>
        <w:rPr>
          <w:iCs/>
        </w:rPr>
        <w:t>a</w:t>
      </w:r>
      <w:r w:rsidRPr="00704964">
        <w:rPr>
          <w:iCs/>
        </w:rPr>
        <w:t xml:space="preserve"> </w:t>
      </w:r>
      <w:proofErr w:type="spellStart"/>
      <w:r w:rsidRPr="00704964">
        <w:rPr>
          <w:iCs/>
        </w:rPr>
        <w:t>U.Cinkma</w:t>
      </w:r>
      <w:r>
        <w:rPr>
          <w:iCs/>
        </w:rPr>
        <w:t>ņa</w:t>
      </w:r>
      <w:proofErr w:type="spellEnd"/>
      <w:r>
        <w:rPr>
          <w:iCs/>
        </w:rPr>
        <w:t xml:space="preserve"> uzvedības atbilstība</w:t>
      </w:r>
      <w:r w:rsidRPr="00BB61CB">
        <w:t xml:space="preserve"> Prokuroru ētikas kodeksa 2.punkta</w:t>
      </w:r>
      <w:r>
        <w:t>m, kas nosaka, k</w:t>
      </w:r>
      <w:r>
        <w:t xml:space="preserve">a prokurors nedrīkst ar vārdiem vai rīcību radīt kļūdainu priekštatu par savu neobjektivitāti vai </w:t>
      </w:r>
      <w:proofErr w:type="spellStart"/>
      <w:r>
        <w:t>aizspriedumainību</w:t>
      </w:r>
      <w:proofErr w:type="spellEnd"/>
      <w:r>
        <w:t>, kas vērsti uz seksuālo orientāciju.</w:t>
      </w:r>
    </w:p>
    <w:p w14:paraId="4F4469E8" w14:textId="77777777" w:rsidR="00AA71EE" w:rsidRDefault="005F5DB9" w:rsidP="00AA71EE">
      <w:pPr>
        <w:spacing w:line="276" w:lineRule="auto"/>
        <w:ind w:firstLine="720"/>
      </w:pPr>
      <w:r>
        <w:rPr>
          <w:lang w:eastAsia="lv-LV"/>
        </w:rPr>
        <w:t xml:space="preserve">Organizētās noziedzības un citu nozaru specializētās </w:t>
      </w:r>
      <w:r w:rsidRPr="00662F94">
        <w:rPr>
          <w:lang w:eastAsia="lv-LV"/>
        </w:rPr>
        <w:t>prokuratūras prokuror</w:t>
      </w:r>
      <w:r>
        <w:rPr>
          <w:lang w:eastAsia="lv-LV"/>
        </w:rPr>
        <w:t xml:space="preserve">s </w:t>
      </w:r>
      <w:proofErr w:type="spellStart"/>
      <w:r>
        <w:rPr>
          <w:lang w:eastAsia="lv-LV"/>
        </w:rPr>
        <w:t>U.Cinkmanis</w:t>
      </w:r>
      <w:proofErr w:type="spellEnd"/>
      <w:r>
        <w:rPr>
          <w:lang w:eastAsia="lv-LV"/>
        </w:rPr>
        <w:t xml:space="preserve"> </w:t>
      </w:r>
      <w:r>
        <w:t xml:space="preserve">ir </w:t>
      </w:r>
      <w:r w:rsidRPr="008277B1">
        <w:t>snie</w:t>
      </w:r>
      <w:r>
        <w:t>dzis</w:t>
      </w:r>
      <w:r w:rsidRPr="008277B1">
        <w:t xml:space="preserve"> rak</w:t>
      </w:r>
      <w:r w:rsidRPr="008277B1">
        <w:t>stisku</w:t>
      </w:r>
      <w:r>
        <w:t>s</w:t>
      </w:r>
      <w:r w:rsidRPr="008277B1">
        <w:t xml:space="preserve"> paskaidrojumu</w:t>
      </w:r>
      <w:r>
        <w:t xml:space="preserve">s par minētajiem apstākļiem. Attiecībā par uzvedību </w:t>
      </w:r>
      <w:r w:rsidRPr="006A3CB6">
        <w:rPr>
          <w:kern w:val="36"/>
        </w:rPr>
        <w:t xml:space="preserve">2020.gada 17.oktobrī </w:t>
      </w:r>
      <w:r w:rsidRPr="006A3CB6">
        <w:t>Latgales vēstniecībā “</w:t>
      </w:r>
      <w:proofErr w:type="spellStart"/>
      <w:r w:rsidRPr="006A3CB6">
        <w:t>Gors</w:t>
      </w:r>
      <w:proofErr w:type="spellEnd"/>
      <w:r w:rsidRPr="006A3CB6">
        <w:t>” Rēzeknē</w:t>
      </w:r>
      <w:r>
        <w:t>,</w:t>
      </w:r>
      <w:r w:rsidRPr="006A3CB6">
        <w:t xml:space="preserve"> </w:t>
      </w:r>
      <w:r w:rsidRPr="00A228E0">
        <w:t>apmeklējot grupas “</w:t>
      </w:r>
      <w:proofErr w:type="spellStart"/>
      <w:r w:rsidRPr="00A228E0">
        <w:t>Skyforger</w:t>
      </w:r>
      <w:proofErr w:type="spellEnd"/>
      <w:r w:rsidRPr="00A228E0">
        <w:t xml:space="preserve">” koncertu, </w:t>
      </w:r>
      <w:proofErr w:type="spellStart"/>
      <w:r w:rsidRPr="00A228E0">
        <w:t>U.Cinkmanis</w:t>
      </w:r>
      <w:proofErr w:type="spellEnd"/>
      <w:r w:rsidRPr="00A228E0">
        <w:t xml:space="preserve"> paskaidrojis,</w:t>
      </w:r>
      <w:r>
        <w:t xml:space="preserve"> ka</w:t>
      </w:r>
      <w:r w:rsidRPr="00A228E0">
        <w:t xml:space="preserve"> </w:t>
      </w:r>
      <w:r w:rsidRPr="00581F8E">
        <w:rPr>
          <w:i/>
          <w:iCs/>
        </w:rPr>
        <w:t xml:space="preserve">“[..] </w:t>
      </w:r>
      <w:r w:rsidRPr="00704964">
        <w:rPr>
          <w:i/>
        </w:rPr>
        <w:t>Attiecībā par necenzētu vārdu lietošanu, atkārtoti</w:t>
      </w:r>
      <w:r w:rsidRPr="00704964">
        <w:rPr>
          <w:i/>
        </w:rPr>
        <w:t xml:space="preserve"> vēlos norādīt, ka minētajos rakstos pievienotajā video, redzamā saruna ir personiska rakstura ar saviem bijušajiem kolēģiem [..] Ņemot vērā, ka ar pie galda sēdošajām personām esmu pazīstams jau vairāk kā četrus gadus, tad sarunā tika izmantotas mums trim</w:t>
      </w:r>
      <w:r w:rsidRPr="00704964">
        <w:rPr>
          <w:i/>
        </w:rPr>
        <w:t xml:space="preserve"> saprotams frāzes, tostarp norādu, ka ar vārdu “pidarasi” mūsu savstarpējā komunikācijā netiek apzīmēti LQTB komūnai piederīgas personas, bet vienkārši personas, kuras kādam no mums ir nepatīkams …”.</w:t>
      </w:r>
    </w:p>
    <w:p w14:paraId="0E9FD45B" w14:textId="77777777" w:rsidR="00AA71EE" w:rsidRDefault="005F5DB9" w:rsidP="00AA71EE">
      <w:pPr>
        <w:spacing w:line="276" w:lineRule="auto"/>
        <w:ind w:firstLine="720"/>
      </w:pPr>
      <w:r>
        <w:t xml:space="preserve">Arī Komisijas sēdē </w:t>
      </w:r>
      <w:proofErr w:type="spellStart"/>
      <w:r>
        <w:t>U.Cinkmanis</w:t>
      </w:r>
      <w:proofErr w:type="spellEnd"/>
      <w:r>
        <w:t xml:space="preserve"> uzturēja sniegtos paskaid</w:t>
      </w:r>
      <w:r>
        <w:t>rojumus, norādot, ka turpmāk nepieļaus rīcību, kura var tikt vērtēta neviennozīmīgi.</w:t>
      </w:r>
    </w:p>
    <w:p w14:paraId="24A27031" w14:textId="77777777" w:rsidR="00AA71EE" w:rsidRDefault="005F5DB9" w:rsidP="00AA71EE">
      <w:pPr>
        <w:spacing w:line="276" w:lineRule="auto"/>
        <w:ind w:firstLine="720"/>
      </w:pPr>
      <w:r>
        <w:t>Prokuratūras likuma 5.panta otrajā daļā noteikts, ka Prokurors ievēro  Prokuroru ētikas kodeksa normas.</w:t>
      </w:r>
    </w:p>
    <w:p w14:paraId="06B6C612" w14:textId="77777777" w:rsidR="00AA71EE" w:rsidRDefault="005F5DB9" w:rsidP="00AA71EE">
      <w:pPr>
        <w:spacing w:line="276" w:lineRule="auto"/>
        <w:ind w:firstLine="720"/>
      </w:pPr>
      <w:r>
        <w:t xml:space="preserve">Prokuroru ētikas kodeksa sadaļas “Godīgums, objektivitāte, taisnīgums” 2.punktā noteikts, ka “Prokurors nedrīkst ar vārdiem vai rīcību radīt kļūdainu priekšstatu par savu neobjektivitāti vai </w:t>
      </w:r>
      <w:proofErr w:type="spellStart"/>
      <w:r>
        <w:t>aizspriedumainību</w:t>
      </w:r>
      <w:proofErr w:type="spellEnd"/>
      <w:r>
        <w:t>, paust vai atbalstīt uzskatus, kas vērsti uz ra</w:t>
      </w:r>
      <w:r>
        <w:t xml:space="preserve">ses, dzimuma, reliģijas, nacionalitātes, invaliditātes, vecuma, seksuālās orientācijas, mantisko vai sociālo statusu ierobežojumu vai aizskārumu”. Lai gan </w:t>
      </w:r>
      <w:proofErr w:type="spellStart"/>
      <w:r>
        <w:t>U.Cinkmanis</w:t>
      </w:r>
      <w:proofErr w:type="spellEnd"/>
      <w:r>
        <w:t xml:space="preserve"> norāda, ka saruna, kuras laikā šie vārdi lietoti, bijusi privāta rakstura un lietotie vār</w:t>
      </w:r>
      <w:r>
        <w:t xml:space="preserve">di </w:t>
      </w:r>
      <w:r w:rsidRPr="00D2009B">
        <w:rPr>
          <w:i/>
          <w:iCs/>
        </w:rPr>
        <w:t>“</w:t>
      </w:r>
      <w:proofErr w:type="spellStart"/>
      <w:r w:rsidRPr="00D2009B">
        <w:rPr>
          <w:i/>
          <w:iCs/>
        </w:rPr>
        <w:t>gay</w:t>
      </w:r>
      <w:proofErr w:type="spellEnd"/>
      <w:r w:rsidRPr="00D2009B">
        <w:rPr>
          <w:i/>
          <w:iCs/>
        </w:rPr>
        <w:t>”</w:t>
      </w:r>
      <w:r w:rsidRPr="007250D0">
        <w:t xml:space="preserve"> un</w:t>
      </w:r>
      <w:r w:rsidRPr="00D2009B">
        <w:rPr>
          <w:i/>
          <w:iCs/>
        </w:rPr>
        <w:t xml:space="preserve"> “pidarasi”</w:t>
      </w:r>
      <w:r>
        <w:t xml:space="preserve"> nav attiecināti uz seksuālo </w:t>
      </w:r>
      <w:r w:rsidRPr="007820FC">
        <w:rPr>
          <w:color w:val="000000" w:themeColor="text1"/>
        </w:rPr>
        <w:t xml:space="preserve">orientāciju, bet gan šādi apzīmētas personas, kuras kādam no sarunas biedriem ir nepatīkamas, Komisija ieskatā  šādu vārdu lietošana saprātīgam vērotājam var radīt kļūdainu priekšstatu par </w:t>
      </w:r>
      <w:proofErr w:type="spellStart"/>
      <w:r w:rsidRPr="007820FC">
        <w:rPr>
          <w:color w:val="000000" w:themeColor="text1"/>
        </w:rPr>
        <w:t>U.Cinkmaņa</w:t>
      </w:r>
      <w:proofErr w:type="spellEnd"/>
      <w:r w:rsidRPr="007820FC">
        <w:rPr>
          <w:color w:val="000000" w:themeColor="text1"/>
        </w:rPr>
        <w:t xml:space="preserve"> neobj</w:t>
      </w:r>
      <w:r w:rsidRPr="007820FC">
        <w:rPr>
          <w:color w:val="000000" w:themeColor="text1"/>
        </w:rPr>
        <w:t xml:space="preserve">ektivitāti vai </w:t>
      </w:r>
      <w:proofErr w:type="spellStart"/>
      <w:r w:rsidRPr="007820FC">
        <w:rPr>
          <w:color w:val="000000" w:themeColor="text1"/>
        </w:rPr>
        <w:t>aizspriedumainību</w:t>
      </w:r>
      <w:proofErr w:type="spellEnd"/>
      <w:r w:rsidRPr="007820FC">
        <w:rPr>
          <w:color w:val="000000" w:themeColor="text1"/>
        </w:rPr>
        <w:t>.</w:t>
      </w:r>
    </w:p>
    <w:p w14:paraId="2CD951D8" w14:textId="77777777" w:rsidR="00AA71EE" w:rsidRDefault="005F5DB9" w:rsidP="00AA71EE">
      <w:pPr>
        <w:spacing w:line="276" w:lineRule="auto"/>
        <w:ind w:firstLine="720"/>
      </w:pPr>
      <w:proofErr w:type="spellStart"/>
      <w:r>
        <w:lastRenderedPageBreak/>
        <w:t>U.Cinkmaņa</w:t>
      </w:r>
      <w:proofErr w:type="spellEnd"/>
      <w:r>
        <w:t xml:space="preserve"> norādīto, ka minētā saruna bijusi privāta rakstura, kā arī koncerta apmeklējums noticis ārpus darba laika, Komisija vērtē kopsakarā ar Prokuroru ētikas kodeksa sadaļas “Ārpusdarba attiecības” 1.punktā noteikto, </w:t>
      </w:r>
      <w:r>
        <w:t>ka “Prokuroram jāveido sava ārpusdarba uzvedība tā, lai tā neapkaunotu prokurora vārdu, neradītu šaubas par prokurora objektīvu un godīgu pienākumu pildīšanu”. Vārdu, kas var tikt attiecināti uz seksuālajām minoritātēm tās nievājošā formā, kā arī video dzi</w:t>
      </w:r>
      <w:r>
        <w:t>rdamo necenzēto, rupjo izsaucienu angļu valodā lietošana  publiskā vietā, kas pievērš apkārtējo uzmanību, ir atzīstama par tādu, kas var radīt šaubas par prokurora objektīvu pienākumu pildīšanu, kā arī apkauno prokurora vārdu. Ar minētajām darbībām prokuro</w:t>
      </w:r>
      <w:r>
        <w:t xml:space="preserve">rs </w:t>
      </w:r>
      <w:proofErr w:type="spellStart"/>
      <w:r>
        <w:t>U.Cinkmanis</w:t>
      </w:r>
      <w:proofErr w:type="spellEnd"/>
      <w:r>
        <w:t xml:space="preserve"> ir arī pārkāpis Prokuroru ētikas kodeksa sadaļas “Prokuroru savstarpējās attiecības un uzvedības pamatprincipi” 3.punktā noteikto, ka “Prokurors nedrīkst lietot valodu, žestus un izdarīt darbības, kas var aizskart citas personas cieņu un god</w:t>
      </w:r>
      <w:r>
        <w:t>u”.</w:t>
      </w:r>
    </w:p>
    <w:p w14:paraId="282592E1" w14:textId="77777777" w:rsidR="00AA71EE" w:rsidRDefault="005F5DB9" w:rsidP="00AA71EE">
      <w:pPr>
        <w:spacing w:line="276" w:lineRule="auto"/>
        <w:ind w:firstLine="720"/>
      </w:pPr>
      <w:bookmarkStart w:id="3" w:name="_Hlk34994022"/>
      <w:r w:rsidRPr="009B0ED5">
        <w:rPr>
          <w:lang w:eastAsia="lv-LV"/>
        </w:rPr>
        <w:t xml:space="preserve">Komisija, izvērtējot </w:t>
      </w:r>
      <w:r>
        <w:rPr>
          <w:lang w:eastAsia="lv-LV"/>
        </w:rPr>
        <w:t>tās</w:t>
      </w:r>
      <w:r w:rsidRPr="009B0ED5">
        <w:rPr>
          <w:lang w:eastAsia="lv-LV"/>
        </w:rPr>
        <w:t xml:space="preserve"> rīcībā esošos materiālus, tajā skaitā videoierakstus, </w:t>
      </w:r>
      <w:r>
        <w:rPr>
          <w:lang w:eastAsia="lv-LV"/>
        </w:rPr>
        <w:t xml:space="preserve">pārbaudes veicēja sniegtos atzinumus un prokurora </w:t>
      </w:r>
      <w:proofErr w:type="spellStart"/>
      <w:r>
        <w:rPr>
          <w:lang w:eastAsia="lv-LV"/>
        </w:rPr>
        <w:t>U.Cinkmaņa</w:t>
      </w:r>
      <w:proofErr w:type="spellEnd"/>
      <w:r>
        <w:rPr>
          <w:lang w:eastAsia="lv-LV"/>
        </w:rPr>
        <w:t xml:space="preserve"> sniegtos paskaidrojumus, </w:t>
      </w:r>
      <w:r w:rsidRPr="008277B1">
        <w:rPr>
          <w:lang w:eastAsia="lv-LV"/>
        </w:rPr>
        <w:t>secināja</w:t>
      </w:r>
      <w:r>
        <w:rPr>
          <w:lang w:eastAsia="lv-LV"/>
        </w:rPr>
        <w:t xml:space="preserve">, </w:t>
      </w:r>
      <w:r w:rsidRPr="008277B1">
        <w:rPr>
          <w:lang w:eastAsia="lv-LV"/>
        </w:rPr>
        <w:t xml:space="preserve">ka </w:t>
      </w:r>
      <w:proofErr w:type="spellStart"/>
      <w:r>
        <w:rPr>
          <w:lang w:eastAsia="lv-LV"/>
        </w:rPr>
        <w:t>U.Cinkmanis</w:t>
      </w:r>
      <w:proofErr w:type="spellEnd"/>
      <w:r>
        <w:rPr>
          <w:lang w:eastAsia="lv-LV"/>
        </w:rPr>
        <w:t xml:space="preserve"> ir pieļāvis </w:t>
      </w:r>
      <w:r>
        <w:t>Prokuroru ētikas kodeksa sadaļas “Godīgums, objekt</w:t>
      </w:r>
      <w:r>
        <w:t>ivitāte, taisnīgums” 2.punkta, Prokuroru ētikas kodeksa sadaļas “Ārpusdarba attiecības” 1.punkta un Prokuroru ētikas kodeksa sadaļas “Prokuroru savstarpējās attiecības un uzvedības pamatprincipi” 3.punkta pārkāpumu.</w:t>
      </w:r>
    </w:p>
    <w:p w14:paraId="4480792F" w14:textId="77777777" w:rsidR="00AA71EE" w:rsidRPr="007820FC" w:rsidRDefault="005F5DB9" w:rsidP="00AA71EE">
      <w:pPr>
        <w:spacing w:line="276" w:lineRule="auto"/>
        <w:ind w:firstLine="720"/>
        <w:rPr>
          <w:iCs/>
          <w:color w:val="000000" w:themeColor="text1"/>
        </w:rPr>
      </w:pPr>
      <w:r w:rsidRPr="007820FC">
        <w:rPr>
          <w:color w:val="000000" w:themeColor="text1"/>
        </w:rPr>
        <w:t>Lemjot jautājumu par sodu, kāds būtu pie</w:t>
      </w:r>
      <w:r w:rsidRPr="007820FC">
        <w:rPr>
          <w:color w:val="000000" w:themeColor="text1"/>
        </w:rPr>
        <w:t xml:space="preserve">mērojams prokuroram </w:t>
      </w:r>
      <w:proofErr w:type="spellStart"/>
      <w:r w:rsidRPr="007820FC">
        <w:rPr>
          <w:color w:val="000000" w:themeColor="text1"/>
        </w:rPr>
        <w:t>U.Cinkmanim</w:t>
      </w:r>
      <w:proofErr w:type="spellEnd"/>
      <w:r w:rsidRPr="007820FC">
        <w:rPr>
          <w:color w:val="000000" w:themeColor="text1"/>
        </w:rPr>
        <w:t xml:space="preserve">, Komisija vērtē </w:t>
      </w:r>
      <w:proofErr w:type="spellStart"/>
      <w:r w:rsidRPr="007820FC">
        <w:rPr>
          <w:color w:val="000000" w:themeColor="text1"/>
        </w:rPr>
        <w:t>U.Cinkmaņa</w:t>
      </w:r>
      <w:proofErr w:type="spellEnd"/>
      <w:r w:rsidRPr="007820FC">
        <w:rPr>
          <w:color w:val="000000" w:themeColor="text1"/>
        </w:rPr>
        <w:t xml:space="preserve"> attieksmi, to, ka </w:t>
      </w:r>
      <w:proofErr w:type="spellStart"/>
      <w:r w:rsidRPr="007820FC">
        <w:rPr>
          <w:color w:val="000000" w:themeColor="text1"/>
        </w:rPr>
        <w:t>U.Cinkmanis</w:t>
      </w:r>
      <w:proofErr w:type="spellEnd"/>
      <w:r w:rsidRPr="007820FC">
        <w:rPr>
          <w:color w:val="000000" w:themeColor="text1"/>
        </w:rPr>
        <w:t xml:space="preserve"> savu vainu ir atzinis, izvērtējis savu rīcību un apņēmies turpmāk pārkāpumus nepieļaut, kā arī </w:t>
      </w:r>
      <w:r w:rsidRPr="007820FC">
        <w:rPr>
          <w:iCs/>
          <w:color w:val="000000" w:themeColor="text1"/>
        </w:rPr>
        <w:t xml:space="preserve">prokuroram </w:t>
      </w:r>
      <w:proofErr w:type="spellStart"/>
      <w:r w:rsidRPr="007820FC">
        <w:rPr>
          <w:iCs/>
          <w:color w:val="000000" w:themeColor="text1"/>
        </w:rPr>
        <w:t>U.Cinkmanim</w:t>
      </w:r>
      <w:proofErr w:type="spellEnd"/>
      <w:r w:rsidRPr="007820FC">
        <w:rPr>
          <w:iCs/>
          <w:color w:val="000000" w:themeColor="text1"/>
        </w:rPr>
        <w:t xml:space="preserve"> nav spēkā esošu disciplinārsodu.</w:t>
      </w:r>
      <w:r w:rsidRPr="007820FC">
        <w:rPr>
          <w:color w:val="000000" w:themeColor="text1"/>
        </w:rPr>
        <w:t xml:space="preserve"> Tāpat ņemams vēr</w:t>
      </w:r>
      <w:r w:rsidRPr="007820FC">
        <w:rPr>
          <w:color w:val="000000" w:themeColor="text1"/>
        </w:rPr>
        <w:t xml:space="preserve">ā, ka </w:t>
      </w:r>
      <w:proofErr w:type="spellStart"/>
      <w:r w:rsidRPr="007820FC">
        <w:rPr>
          <w:color w:val="000000" w:themeColor="text1"/>
        </w:rPr>
        <w:t>U.Cinkmaņa</w:t>
      </w:r>
      <w:proofErr w:type="spellEnd"/>
      <w:r w:rsidRPr="007820FC">
        <w:rPr>
          <w:color w:val="000000" w:themeColor="text1"/>
        </w:rPr>
        <w:t xml:space="preserve"> uzvedība </w:t>
      </w:r>
      <w:r w:rsidRPr="007820FC">
        <w:rPr>
          <w:iCs/>
          <w:color w:val="000000" w:themeColor="text1"/>
        </w:rPr>
        <w:t xml:space="preserve">2020.gada </w:t>
      </w:r>
      <w:r w:rsidRPr="007820FC">
        <w:rPr>
          <w:color w:val="000000" w:themeColor="text1"/>
          <w:kern w:val="36"/>
        </w:rPr>
        <w:t>17.oktobra</w:t>
      </w:r>
      <w:r w:rsidRPr="007820FC">
        <w:rPr>
          <w:color w:val="000000" w:themeColor="text1"/>
        </w:rPr>
        <w:t xml:space="preserve"> latviešu metāla grupas “</w:t>
      </w:r>
      <w:proofErr w:type="spellStart"/>
      <w:r w:rsidRPr="007820FC">
        <w:rPr>
          <w:color w:val="000000" w:themeColor="text1"/>
        </w:rPr>
        <w:t>Skyforger</w:t>
      </w:r>
      <w:proofErr w:type="spellEnd"/>
      <w:r w:rsidRPr="007820FC">
        <w:rPr>
          <w:color w:val="000000" w:themeColor="text1"/>
        </w:rPr>
        <w:t>” koncerta</w:t>
      </w:r>
      <w:r w:rsidRPr="007820FC">
        <w:rPr>
          <w:iCs/>
          <w:color w:val="000000" w:themeColor="text1"/>
        </w:rPr>
        <w:t xml:space="preserve"> apmeklējuma laikā jau vairākkārt apspriesta Komisijā un savos paskaidrojumos </w:t>
      </w:r>
      <w:proofErr w:type="spellStart"/>
      <w:r w:rsidRPr="007820FC">
        <w:rPr>
          <w:iCs/>
          <w:color w:val="000000" w:themeColor="text1"/>
        </w:rPr>
        <w:t>U.Cinkmanis</w:t>
      </w:r>
      <w:proofErr w:type="spellEnd"/>
      <w:r w:rsidRPr="007820FC">
        <w:rPr>
          <w:iCs/>
          <w:color w:val="000000" w:themeColor="text1"/>
        </w:rPr>
        <w:t xml:space="preserve"> nožēlojis izdarīto un turpmāk solījis pārkāpumus nepieļaut. Tādēļ Komisijas </w:t>
      </w:r>
      <w:r w:rsidRPr="007820FC">
        <w:rPr>
          <w:iCs/>
          <w:color w:val="000000" w:themeColor="text1"/>
        </w:rPr>
        <w:t xml:space="preserve">ieskatā iespējams prokuroram </w:t>
      </w:r>
      <w:proofErr w:type="spellStart"/>
      <w:r w:rsidRPr="007820FC">
        <w:rPr>
          <w:iCs/>
          <w:color w:val="000000" w:themeColor="text1"/>
        </w:rPr>
        <w:t>U.Cinkmanim</w:t>
      </w:r>
      <w:proofErr w:type="spellEnd"/>
      <w:r w:rsidRPr="007820FC">
        <w:rPr>
          <w:iCs/>
          <w:color w:val="000000" w:themeColor="text1"/>
        </w:rPr>
        <w:t xml:space="preserve"> disciplinārsodu nepiemērot.</w:t>
      </w:r>
    </w:p>
    <w:p w14:paraId="0FB5E9CD" w14:textId="77777777" w:rsidR="00AA71EE" w:rsidRDefault="005F5DB9" w:rsidP="00AA71EE">
      <w:pPr>
        <w:spacing w:line="276" w:lineRule="auto"/>
        <w:ind w:firstLine="720"/>
      </w:pPr>
      <w:r w:rsidRPr="007820FC">
        <w:rPr>
          <w:iCs/>
        </w:rPr>
        <w:t>Tajā pašā laikā</w:t>
      </w:r>
      <w:r>
        <w:rPr>
          <w:iCs/>
        </w:rPr>
        <w:t xml:space="preserve"> pārkāpumu raksturs un apstākļi, kādos pārkāpumi pieļauti, negatīvi ietekmē prokurora amata un iestādes prestižu kopumā. Tādēļ Komisija atzīst par atbilstošu piemērot Proku</w:t>
      </w:r>
      <w:r>
        <w:rPr>
          <w:iCs/>
        </w:rPr>
        <w:t xml:space="preserve">roru ētikas kodeksā paredzēto morālo sankciju – </w:t>
      </w:r>
      <w:bookmarkStart w:id="4" w:name="_Hlk67305192"/>
      <w:r>
        <w:t>p</w:t>
      </w:r>
      <w:r w:rsidRPr="009E3E7B">
        <w:t>ublisk</w:t>
      </w:r>
      <w:r>
        <w:t>u</w:t>
      </w:r>
      <w:r w:rsidRPr="009E3E7B">
        <w:t xml:space="preserve"> atvainošan</w:t>
      </w:r>
      <w:r>
        <w:t>o</w:t>
      </w:r>
      <w:r w:rsidRPr="009E3E7B">
        <w:t xml:space="preserve">s par ētikas pamatprincipu neievērošanu </w:t>
      </w:r>
      <w:bookmarkEnd w:id="4"/>
      <w:r>
        <w:t>K</w:t>
      </w:r>
      <w:r w:rsidRPr="009E3E7B">
        <w:t>omisijas noteiktā veidā</w:t>
      </w:r>
      <w:r>
        <w:t>,</w:t>
      </w:r>
      <w:r w:rsidRPr="009E3E7B">
        <w:t xml:space="preserve"> kuras neizpildīšana var būt par pamatu disciplinārsoda piemērošanai</w:t>
      </w:r>
      <w:r>
        <w:t xml:space="preserve">. Ievērojot to, ka pārkāpumi pieļauti publiskās vietās </w:t>
      </w:r>
      <w:r>
        <w:t xml:space="preserve">un šie pārkāpumi fiksēti publiski pieejamos interneta resursos video formātā,  tad prokuroram </w:t>
      </w:r>
      <w:proofErr w:type="spellStart"/>
      <w:r>
        <w:t>U.Cinkamnim</w:t>
      </w:r>
      <w:proofErr w:type="spellEnd"/>
      <w:r>
        <w:t xml:space="preserve"> kā atbilstošākā morālā sankcija būtu piemērojama publiska atvainošanās, kas noformējama video formātā, iekļaujot tajā informāciju par Komisijas pieņem</w:t>
      </w:r>
      <w:r>
        <w:t>to lēmumu, situācijas raksturojumu, savas uzvedības novērtējumu un atvainošanos.</w:t>
      </w:r>
    </w:p>
    <w:p w14:paraId="50D71C43" w14:textId="77777777" w:rsidR="00AA71EE" w:rsidRPr="008277B1" w:rsidRDefault="005F5DB9" w:rsidP="00AA71EE">
      <w:pPr>
        <w:spacing w:line="276" w:lineRule="auto"/>
        <w:ind w:firstLine="720"/>
        <w:rPr>
          <w:lang w:eastAsia="lv-LV"/>
        </w:rPr>
      </w:pPr>
      <w:r>
        <w:t>Ņemot vērā norādīto</w:t>
      </w:r>
      <w:bookmarkEnd w:id="3"/>
      <w:r w:rsidRPr="008277B1">
        <w:rPr>
          <w:lang w:eastAsia="lv-LV"/>
        </w:rPr>
        <w:t>, Komisija</w:t>
      </w:r>
    </w:p>
    <w:p w14:paraId="6764186B" w14:textId="77777777" w:rsidR="00AA71EE" w:rsidRPr="008277B1" w:rsidRDefault="005F5DB9" w:rsidP="00AA71EE">
      <w:pPr>
        <w:spacing w:line="276" w:lineRule="auto"/>
        <w:jc w:val="center"/>
        <w:rPr>
          <w:b/>
          <w:i/>
          <w:lang w:eastAsia="lv-LV"/>
        </w:rPr>
      </w:pPr>
      <w:r w:rsidRPr="008277B1">
        <w:rPr>
          <w:b/>
          <w:i/>
          <w:lang w:eastAsia="lv-LV"/>
        </w:rPr>
        <w:t xml:space="preserve"> </w:t>
      </w:r>
      <w:r>
        <w:rPr>
          <w:b/>
          <w:i/>
          <w:lang w:eastAsia="lv-LV"/>
        </w:rPr>
        <w:t>n</w:t>
      </w:r>
      <w:r w:rsidRPr="008277B1">
        <w:rPr>
          <w:b/>
          <w:i/>
          <w:lang w:eastAsia="lv-LV"/>
        </w:rPr>
        <w:t>olēma</w:t>
      </w:r>
    </w:p>
    <w:p w14:paraId="0609B829" w14:textId="77777777" w:rsidR="00AA71EE" w:rsidRDefault="005F5DB9" w:rsidP="00AA71EE">
      <w:pPr>
        <w:pStyle w:val="ListParagraph"/>
        <w:numPr>
          <w:ilvl w:val="0"/>
          <w:numId w:val="11"/>
        </w:numPr>
        <w:spacing w:line="276" w:lineRule="auto"/>
      </w:pPr>
      <w:r>
        <w:t xml:space="preserve">Atzīt, ka Organizētās noziedzības un citu nozaru specializētās </w:t>
      </w:r>
      <w:r w:rsidRPr="00662F94">
        <w:t xml:space="preserve">prokuratūras </w:t>
      </w:r>
      <w:r w:rsidRPr="003C1041">
        <w:t>prokuror</w:t>
      </w:r>
      <w:r>
        <w:t>s</w:t>
      </w:r>
      <w:r w:rsidRPr="003C1041">
        <w:t xml:space="preserve"> Uld</w:t>
      </w:r>
      <w:r>
        <w:t>is</w:t>
      </w:r>
      <w:r w:rsidRPr="003C1041">
        <w:t xml:space="preserve"> </w:t>
      </w:r>
      <w:proofErr w:type="spellStart"/>
      <w:r w:rsidRPr="003C1041">
        <w:t>Cinkma</w:t>
      </w:r>
      <w:r>
        <w:t>nis</w:t>
      </w:r>
      <w:proofErr w:type="spellEnd"/>
      <w:r>
        <w:t xml:space="preserve"> ir pieļāvis Prokuroru ētikas </w:t>
      </w:r>
      <w:r>
        <w:t>kodeksa sadaļas “Godīgums, objektivitāte, taisnīgums” 2.punktā; Prokuroru ētikas kodeksa sadaļas “Ārpusdarba attiecības” 1.punktā un Prokuroru ētikas kodeksa sadaļas “Prokuroru savstarpējās attiecības un uzvedības pamatprincipi” 3.punktā noteikto uzvedības</w:t>
      </w:r>
      <w:r>
        <w:t xml:space="preserve"> pamatprincipu pārkāpumus;</w:t>
      </w:r>
    </w:p>
    <w:p w14:paraId="3DEAB6F7" w14:textId="77777777" w:rsidR="00AA71EE" w:rsidRDefault="005F5DB9" w:rsidP="00AA71EE">
      <w:pPr>
        <w:pStyle w:val="ListParagraph"/>
        <w:numPr>
          <w:ilvl w:val="0"/>
          <w:numId w:val="11"/>
        </w:numPr>
        <w:spacing w:line="276" w:lineRule="auto"/>
      </w:pPr>
      <w:r>
        <w:t xml:space="preserve">Organizētās noziedzības un citu nozaru specializētās </w:t>
      </w:r>
      <w:r w:rsidRPr="00662F94">
        <w:t xml:space="preserve">prokuratūras </w:t>
      </w:r>
      <w:r w:rsidRPr="003C1041">
        <w:t>prokuror</w:t>
      </w:r>
      <w:r>
        <w:t>am</w:t>
      </w:r>
      <w:r w:rsidRPr="003C1041">
        <w:t xml:space="preserve"> Uld</w:t>
      </w:r>
      <w:r>
        <w:t>im</w:t>
      </w:r>
      <w:r w:rsidRPr="003C1041">
        <w:t xml:space="preserve"> </w:t>
      </w:r>
      <w:proofErr w:type="spellStart"/>
      <w:r w:rsidRPr="003C1041">
        <w:t>Cinkma</w:t>
      </w:r>
      <w:r>
        <w:t>nim</w:t>
      </w:r>
      <w:proofErr w:type="spellEnd"/>
      <w:r>
        <w:t xml:space="preserve"> par pieļautajiem  Prokuroru ētikas kodeksa normu pārkāpumiem piemērot morālo sankciju – p</w:t>
      </w:r>
      <w:r w:rsidRPr="009E3E7B">
        <w:rPr>
          <w:szCs w:val="24"/>
        </w:rPr>
        <w:t>ublisk</w:t>
      </w:r>
      <w:r>
        <w:rPr>
          <w:szCs w:val="24"/>
        </w:rPr>
        <w:t>u</w:t>
      </w:r>
      <w:r w:rsidRPr="009E3E7B">
        <w:rPr>
          <w:szCs w:val="24"/>
        </w:rPr>
        <w:t xml:space="preserve"> atvainošan</w:t>
      </w:r>
      <w:r>
        <w:rPr>
          <w:szCs w:val="24"/>
        </w:rPr>
        <w:t>os</w:t>
      </w:r>
      <w:r w:rsidRPr="009E3E7B">
        <w:rPr>
          <w:szCs w:val="24"/>
        </w:rPr>
        <w:t xml:space="preserve"> par ētikas pamatprincipu n</w:t>
      </w:r>
      <w:r w:rsidRPr="009E3E7B">
        <w:rPr>
          <w:szCs w:val="24"/>
        </w:rPr>
        <w:t>eievērošanu</w:t>
      </w:r>
      <w:r>
        <w:rPr>
          <w:szCs w:val="24"/>
        </w:rPr>
        <w:t>, kas noformējama</w:t>
      </w:r>
      <w:r>
        <w:t xml:space="preserve"> video formātā, iekļaujot tajā informāciju par Komisijas pieņemto lēmumu, </w:t>
      </w:r>
      <w:r>
        <w:lastRenderedPageBreak/>
        <w:t>situācijas raksturojumu, savas uzvedības novērtējumu un atvainošanos. Sagatavotā atvainošanās iesniedzama Komisijai līdz 2021.gada 22.martam.</w:t>
      </w:r>
    </w:p>
    <w:p w14:paraId="7079F2CD" w14:textId="77777777" w:rsidR="009239FA" w:rsidRPr="005F7B04" w:rsidRDefault="005F5DB9" w:rsidP="00AA71EE">
      <w:pPr>
        <w:spacing w:before="360" w:after="480" w:line="276" w:lineRule="auto"/>
        <w:ind w:firstLine="360"/>
        <w:rPr>
          <w:iCs/>
          <w:color w:val="FF0000"/>
        </w:rPr>
      </w:pPr>
      <w:r>
        <w:t>Prokuroru a</w:t>
      </w:r>
      <w:r w:rsidRPr="00861A63">
        <w:t>t</w:t>
      </w:r>
      <w:r w:rsidRPr="00861A63">
        <w:t>estācijas komisijas lēmums par morālo sankciju piemērošanu ir galīgs un nav pārsūdzams.</w:t>
      </w:r>
    </w:p>
    <w:tbl>
      <w:tblPr>
        <w:tblW w:w="0" w:type="auto"/>
        <w:tblLook w:val="04A0" w:firstRow="1" w:lastRow="0" w:firstColumn="1" w:lastColumn="0" w:noHBand="0" w:noVBand="1"/>
      </w:tblPr>
      <w:tblGrid>
        <w:gridCol w:w="6629"/>
        <w:gridCol w:w="2704"/>
      </w:tblGrid>
      <w:tr w:rsidR="00EF59D2" w14:paraId="04916D9A" w14:textId="77777777" w:rsidTr="003E2961">
        <w:tc>
          <w:tcPr>
            <w:tcW w:w="6629" w:type="dxa"/>
            <w:tcBorders>
              <w:top w:val="nil"/>
              <w:left w:val="nil"/>
              <w:bottom w:val="nil"/>
              <w:right w:val="nil"/>
            </w:tcBorders>
          </w:tcPr>
          <w:p w14:paraId="116490D8" w14:textId="77777777" w:rsidR="007B2890" w:rsidRPr="003F1500" w:rsidRDefault="005F5DB9" w:rsidP="00AA71EE">
            <w:pPr>
              <w:ind w:left="-109"/>
              <w:jc w:val="left"/>
            </w:pPr>
            <w:r>
              <w:fldChar w:fldCharType="begin"/>
            </w:r>
            <w:r>
              <w:instrText xml:space="preserve"> DOCPROPERTY  #PARAKST_AMATS#  \* MERGEFORMAT </w:instrText>
            </w:r>
            <w:r>
              <w:fldChar w:fldCharType="separate"/>
            </w:r>
            <w:r>
              <w:t>Prokuroru atestācijas komisijas līdzpriekšsēdētājs</w:t>
            </w:r>
            <w:r>
              <w:fldChar w:fldCharType="end"/>
            </w:r>
          </w:p>
        </w:tc>
        <w:tc>
          <w:tcPr>
            <w:tcW w:w="2704" w:type="dxa"/>
            <w:tcBorders>
              <w:top w:val="nil"/>
              <w:left w:val="nil"/>
              <w:bottom w:val="nil"/>
              <w:right w:val="nil"/>
            </w:tcBorders>
          </w:tcPr>
          <w:p w14:paraId="5A15775F" w14:textId="77777777" w:rsidR="007B2890" w:rsidRPr="003F1500" w:rsidRDefault="005F5DB9" w:rsidP="005F7B04">
            <w:pPr>
              <w:jc w:val="right"/>
            </w:pPr>
            <w:r>
              <w:fldChar w:fldCharType="begin"/>
            </w:r>
            <w:r>
              <w:instrText xml:space="preserve"> DOCPROPERTY  #PARAKST_V_UZV#  \* MERGEFORMAT </w:instrText>
            </w:r>
            <w:r>
              <w:fldChar w:fldCharType="separate"/>
            </w:r>
            <w:proofErr w:type="spellStart"/>
            <w:r>
              <w:t>A.Ostapko</w:t>
            </w:r>
            <w:proofErr w:type="spellEnd"/>
            <w:r>
              <w:fldChar w:fldCharType="end"/>
            </w:r>
          </w:p>
        </w:tc>
      </w:tr>
    </w:tbl>
    <w:p w14:paraId="5A266A9C" w14:textId="77777777" w:rsidR="002B75CB" w:rsidRDefault="005F5DB9" w:rsidP="005F7B04">
      <w:pPr>
        <w:spacing w:before="480"/>
        <w:jc w:val="center"/>
        <w:rPr>
          <w:sz w:val="26"/>
          <w:szCs w:val="26"/>
        </w:rPr>
      </w:pPr>
      <w:r>
        <w:rPr>
          <w:sz w:val="26"/>
          <w:szCs w:val="26"/>
        </w:rPr>
        <w:t>DOKUMENT</w:t>
      </w:r>
      <w:r>
        <w:rPr>
          <w:sz w:val="26"/>
          <w:szCs w:val="26"/>
        </w:rPr>
        <w:t>S IR PARAKSTĪTS AR DROŠU ELEKTRONISK</w:t>
      </w:r>
      <w:bookmarkStart w:id="5" w:name="_Hlk486401985"/>
      <w:r>
        <w:rPr>
          <w:sz w:val="26"/>
          <w:szCs w:val="26"/>
        </w:rPr>
        <w:t>O PARAKSTU</w:t>
      </w:r>
    </w:p>
    <w:p w14:paraId="0ED4CF52" w14:textId="77777777" w:rsidR="00EE17F9" w:rsidRDefault="005F5DB9" w:rsidP="005F7B04">
      <w:pPr>
        <w:jc w:val="center"/>
        <w:rPr>
          <w:sz w:val="26"/>
          <w:szCs w:val="26"/>
        </w:rPr>
      </w:pPr>
      <w:r>
        <w:rPr>
          <w:sz w:val="26"/>
          <w:szCs w:val="26"/>
        </w:rPr>
        <w:t>UN SATUR LAIKA ZĪMO</w:t>
      </w:r>
      <w:bookmarkEnd w:id="5"/>
      <w:r>
        <w:rPr>
          <w:sz w:val="26"/>
          <w:szCs w:val="26"/>
        </w:rPr>
        <w:t>GU</w:t>
      </w:r>
    </w:p>
    <w:sectPr w:rsidR="00EE17F9" w:rsidSect="0031630D">
      <w:footerReference w:type="default" r:id="rId14"/>
      <w:footerReference w:type="first" r:id="rId15"/>
      <w:pgSz w:w="11906" w:h="16838"/>
      <w:pgMar w:top="1134" w:right="851" w:bottom="1134" w:left="170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95AAE" w14:textId="77777777" w:rsidR="005F5DB9" w:rsidRDefault="005F5DB9">
      <w:r>
        <w:separator/>
      </w:r>
    </w:p>
  </w:endnote>
  <w:endnote w:type="continuationSeparator" w:id="0">
    <w:p w14:paraId="3D33B3F1" w14:textId="77777777" w:rsidR="005F5DB9" w:rsidRDefault="005F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AF42D" w14:textId="77777777" w:rsidR="006C6F57" w:rsidRPr="00AC756C" w:rsidRDefault="005F5DB9" w:rsidP="00AC756C">
    <w:pPr>
      <w:pStyle w:val="Footer"/>
      <w:jc w:val="center"/>
    </w:pPr>
    <w:r>
      <w:fldChar w:fldCharType="begin"/>
    </w:r>
    <w:r>
      <w:instrText xml:space="preserve"> PAGE   \* MERGEFORMAT </w:instrText>
    </w:r>
    <w:r>
      <w:fldChar w:fldCharType="separate"/>
    </w:r>
    <w:r>
      <w:rPr>
        <w:noProof/>
      </w:rPr>
      <w:t>1</w:t>
    </w:r>
    <w:r>
      <w:rPr>
        <w:noProof/>
      </w:rPr>
      <w:fldChar w:fldCharType="end"/>
    </w:r>
  </w:p>
  <w:p w14:paraId="699611A0" w14:textId="77777777" w:rsidR="00EF59D2" w:rsidRDefault="005F5DB9">
    <w:r>
      <w:t>Elektroniski parakstītā dokumenta Nr.: 002196AY0827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E4CAA" w14:textId="77777777" w:rsidR="00EF59D2" w:rsidRDefault="005F5DB9">
    <w:r>
      <w:t>Elektroniski parakstītā dokumenta Nr.: 002196AY0827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A0C30" w14:textId="77777777" w:rsidR="005F5DB9" w:rsidRDefault="005F5DB9">
      <w:r>
        <w:separator/>
      </w:r>
    </w:p>
  </w:footnote>
  <w:footnote w:type="continuationSeparator" w:id="0">
    <w:p w14:paraId="7D1F4A38" w14:textId="77777777" w:rsidR="005F5DB9" w:rsidRDefault="005F5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C2895"/>
    <w:multiLevelType w:val="multilevel"/>
    <w:tmpl w:val="A80098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22D90E57"/>
    <w:multiLevelType w:val="hybridMultilevel"/>
    <w:tmpl w:val="0FCED0D2"/>
    <w:lvl w:ilvl="0" w:tplc="617AE5C8">
      <w:start w:val="1"/>
      <w:numFmt w:val="decimal"/>
      <w:lvlText w:val="%1."/>
      <w:lvlJc w:val="left"/>
      <w:pPr>
        <w:ind w:left="720" w:hanging="360"/>
      </w:pPr>
      <w:rPr>
        <w:rFonts w:hint="default"/>
      </w:rPr>
    </w:lvl>
    <w:lvl w:ilvl="1" w:tplc="A510F31A" w:tentative="1">
      <w:start w:val="1"/>
      <w:numFmt w:val="lowerLetter"/>
      <w:lvlText w:val="%2."/>
      <w:lvlJc w:val="left"/>
      <w:pPr>
        <w:ind w:left="1440" w:hanging="360"/>
      </w:pPr>
    </w:lvl>
    <w:lvl w:ilvl="2" w:tplc="E98C6098" w:tentative="1">
      <w:start w:val="1"/>
      <w:numFmt w:val="lowerRoman"/>
      <w:lvlText w:val="%3."/>
      <w:lvlJc w:val="right"/>
      <w:pPr>
        <w:ind w:left="2160" w:hanging="180"/>
      </w:pPr>
    </w:lvl>
    <w:lvl w:ilvl="3" w:tplc="3716BAFE" w:tentative="1">
      <w:start w:val="1"/>
      <w:numFmt w:val="decimal"/>
      <w:lvlText w:val="%4."/>
      <w:lvlJc w:val="left"/>
      <w:pPr>
        <w:ind w:left="2880" w:hanging="360"/>
      </w:pPr>
    </w:lvl>
    <w:lvl w:ilvl="4" w:tplc="27B6EBA8" w:tentative="1">
      <w:start w:val="1"/>
      <w:numFmt w:val="lowerLetter"/>
      <w:lvlText w:val="%5."/>
      <w:lvlJc w:val="left"/>
      <w:pPr>
        <w:ind w:left="3600" w:hanging="360"/>
      </w:pPr>
    </w:lvl>
    <w:lvl w:ilvl="5" w:tplc="4F5A9336" w:tentative="1">
      <w:start w:val="1"/>
      <w:numFmt w:val="lowerRoman"/>
      <w:lvlText w:val="%6."/>
      <w:lvlJc w:val="right"/>
      <w:pPr>
        <w:ind w:left="4320" w:hanging="180"/>
      </w:pPr>
    </w:lvl>
    <w:lvl w:ilvl="6" w:tplc="27CE57F6" w:tentative="1">
      <w:start w:val="1"/>
      <w:numFmt w:val="decimal"/>
      <w:lvlText w:val="%7."/>
      <w:lvlJc w:val="left"/>
      <w:pPr>
        <w:ind w:left="5040" w:hanging="360"/>
      </w:pPr>
    </w:lvl>
    <w:lvl w:ilvl="7" w:tplc="D974DD42" w:tentative="1">
      <w:start w:val="1"/>
      <w:numFmt w:val="lowerLetter"/>
      <w:lvlText w:val="%8."/>
      <w:lvlJc w:val="left"/>
      <w:pPr>
        <w:ind w:left="5760" w:hanging="360"/>
      </w:pPr>
    </w:lvl>
    <w:lvl w:ilvl="8" w:tplc="D958B840"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9D2"/>
    <w:rsid w:val="00587A94"/>
    <w:rsid w:val="005F5DB9"/>
    <w:rsid w:val="00B63AFB"/>
    <w:rsid w:val="00EF59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9133"/>
  <w15:docId w15:val="{F99A8529-FD9E-4028-A029-21EB38D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2FB5"/>
    <w:pPr>
      <w:jc w:val="both"/>
    </w:pPr>
    <w:rPr>
      <w:sz w:val="24"/>
      <w:szCs w:val="24"/>
      <w:lang w:eastAsia="en-US"/>
    </w:rPr>
  </w:style>
  <w:style w:type="paragraph" w:styleId="Heading1">
    <w:name w:val="heading 1"/>
    <w:aliases w:val="Heading 1 Char Char"/>
    <w:basedOn w:val="Normal"/>
    <w:next w:val="Normal"/>
    <w:link w:val="Heading1Char"/>
    <w:qFormat/>
    <w:rsid w:val="00C22FB5"/>
    <w:pPr>
      <w:keepNext/>
      <w:numPr>
        <w:numId w:val="10"/>
      </w:numPr>
      <w:spacing w:before="120" w:after="120"/>
      <w:outlineLvl w:val="0"/>
    </w:pPr>
    <w:rPr>
      <w:b/>
      <w:sz w:val="28"/>
      <w:szCs w:val="20"/>
      <w:lang w:eastAsia="lv-LV"/>
    </w:rPr>
  </w:style>
  <w:style w:type="paragraph" w:styleId="Heading2">
    <w:name w:val="heading 2"/>
    <w:basedOn w:val="Normal"/>
    <w:next w:val="Normal"/>
    <w:link w:val="Heading2Char"/>
    <w:unhideWhenUsed/>
    <w:qFormat/>
    <w:rsid w:val="00C22FB5"/>
    <w:pPr>
      <w:keepNext/>
      <w:numPr>
        <w:ilvl w:val="1"/>
        <w:numId w:val="10"/>
      </w:numPr>
      <w:spacing w:before="120"/>
      <w:outlineLvl w:val="1"/>
    </w:pPr>
    <w:rPr>
      <w:bCs/>
      <w:iCs/>
      <w:szCs w:val="28"/>
    </w:rPr>
  </w:style>
  <w:style w:type="paragraph" w:styleId="Heading3">
    <w:name w:val="heading 3"/>
    <w:basedOn w:val="Normal"/>
    <w:next w:val="Normal"/>
    <w:link w:val="Heading3Char"/>
    <w:unhideWhenUsed/>
    <w:qFormat/>
    <w:rsid w:val="00C22FB5"/>
    <w:pPr>
      <w:keepNext/>
      <w:numPr>
        <w:ilvl w:val="2"/>
        <w:numId w:val="10"/>
      </w:numPr>
      <w:outlineLvl w:val="2"/>
    </w:pPr>
    <w:rPr>
      <w:bCs/>
      <w:szCs w:val="26"/>
    </w:rPr>
  </w:style>
  <w:style w:type="paragraph" w:styleId="Heading4">
    <w:name w:val="heading 4"/>
    <w:basedOn w:val="Normal"/>
    <w:next w:val="Normal"/>
    <w:link w:val="Heading4Char"/>
    <w:qFormat/>
    <w:rsid w:val="00C22FB5"/>
    <w:pPr>
      <w:keepNext/>
      <w:numPr>
        <w:ilvl w:val="3"/>
        <w:numId w:val="10"/>
      </w:numPr>
      <w:tabs>
        <w:tab w:val="left" w:pos="1843"/>
      </w:tabs>
      <w:spacing w:before="100" w:beforeAutospacing="1" w:after="100" w:afterAutospacing="1"/>
      <w:outlineLvl w:val="3"/>
    </w:pPr>
    <w:rPr>
      <w:noProof/>
      <w:szCs w:val="20"/>
    </w:rPr>
  </w:style>
  <w:style w:type="paragraph" w:styleId="Heading5">
    <w:name w:val="heading 5"/>
    <w:basedOn w:val="Normal"/>
    <w:next w:val="Normal"/>
    <w:link w:val="Heading5Char"/>
    <w:qFormat/>
    <w:rsid w:val="00C22FB5"/>
    <w:pPr>
      <w:keepNext/>
      <w:numPr>
        <w:ilvl w:val="4"/>
        <w:numId w:val="10"/>
      </w:numPr>
      <w:spacing w:line="276" w:lineRule="auto"/>
      <w:jc w:val="center"/>
      <w:outlineLvl w:val="4"/>
    </w:pPr>
    <w:rPr>
      <w:i/>
      <w:iCs/>
      <w:sz w:val="28"/>
      <w:szCs w:val="20"/>
    </w:rPr>
  </w:style>
  <w:style w:type="paragraph" w:styleId="Heading6">
    <w:name w:val="heading 6"/>
    <w:basedOn w:val="Normal"/>
    <w:next w:val="Normal"/>
    <w:link w:val="Heading6Char"/>
    <w:qFormat/>
    <w:rsid w:val="00C22FB5"/>
    <w:pPr>
      <w:keepNext/>
      <w:numPr>
        <w:ilvl w:val="5"/>
        <w:numId w:val="10"/>
      </w:numPr>
      <w:spacing w:line="276" w:lineRule="auto"/>
      <w:jc w:val="center"/>
      <w:outlineLvl w:val="5"/>
    </w:pPr>
    <w:rPr>
      <w:sz w:val="40"/>
      <w:szCs w:val="20"/>
    </w:rPr>
  </w:style>
  <w:style w:type="paragraph" w:styleId="Heading7">
    <w:name w:val="heading 7"/>
    <w:basedOn w:val="Normal"/>
    <w:next w:val="Normal"/>
    <w:link w:val="Heading7Char"/>
    <w:qFormat/>
    <w:rsid w:val="00C22FB5"/>
    <w:pPr>
      <w:keepNext/>
      <w:numPr>
        <w:ilvl w:val="6"/>
        <w:numId w:val="10"/>
      </w:numPr>
      <w:spacing w:line="276" w:lineRule="auto"/>
      <w:jc w:val="center"/>
      <w:outlineLvl w:val="6"/>
    </w:pPr>
    <w:rPr>
      <w:b/>
      <w:bCs/>
      <w:sz w:val="44"/>
      <w:szCs w:val="20"/>
    </w:rPr>
  </w:style>
  <w:style w:type="paragraph" w:styleId="Heading8">
    <w:name w:val="heading 8"/>
    <w:basedOn w:val="Normal"/>
    <w:next w:val="Normal"/>
    <w:link w:val="Heading8Char"/>
    <w:qFormat/>
    <w:rsid w:val="00C22FB5"/>
    <w:pPr>
      <w:keepNext/>
      <w:numPr>
        <w:ilvl w:val="7"/>
        <w:numId w:val="10"/>
      </w:numPr>
      <w:spacing w:line="276" w:lineRule="auto"/>
      <w:jc w:val="center"/>
      <w:outlineLvl w:val="7"/>
    </w:pPr>
    <w:rPr>
      <w:sz w:val="32"/>
      <w:szCs w:val="20"/>
    </w:rPr>
  </w:style>
  <w:style w:type="paragraph" w:styleId="Heading9">
    <w:name w:val="heading 9"/>
    <w:basedOn w:val="Normal"/>
    <w:next w:val="Normal"/>
    <w:link w:val="Heading9Char"/>
    <w:qFormat/>
    <w:rsid w:val="00C22FB5"/>
    <w:pPr>
      <w:keepNext/>
      <w:numPr>
        <w:ilvl w:val="8"/>
        <w:numId w:val="10"/>
      </w:numPr>
      <w:spacing w:line="276" w:lineRule="auto"/>
      <w:jc w:val="center"/>
      <w:outlineLvl w:val="8"/>
    </w:pPr>
    <w:rPr>
      <w:i/>
      <w:i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22FB5"/>
    <w:pPr>
      <w:jc w:val="center"/>
    </w:pPr>
    <w:rPr>
      <w:sz w:val="40"/>
      <w:szCs w:val="40"/>
    </w:rPr>
  </w:style>
  <w:style w:type="paragraph" w:styleId="Header">
    <w:name w:val="header"/>
    <w:basedOn w:val="Normal"/>
    <w:rsid w:val="00C22FB5"/>
    <w:pPr>
      <w:tabs>
        <w:tab w:val="center" w:pos="4153"/>
        <w:tab w:val="right" w:pos="8306"/>
      </w:tabs>
    </w:pPr>
  </w:style>
  <w:style w:type="paragraph" w:styleId="Footer">
    <w:name w:val="footer"/>
    <w:basedOn w:val="Normal"/>
    <w:link w:val="FooterChar"/>
    <w:uiPriority w:val="99"/>
    <w:rsid w:val="00C22FB5"/>
    <w:pPr>
      <w:tabs>
        <w:tab w:val="center" w:pos="4153"/>
        <w:tab w:val="right" w:pos="8306"/>
      </w:tabs>
    </w:pPr>
  </w:style>
  <w:style w:type="character" w:styleId="PageNumber">
    <w:name w:val="page number"/>
    <w:rsid w:val="00C22FB5"/>
  </w:style>
  <w:style w:type="paragraph" w:styleId="BalloonText">
    <w:name w:val="Balloon Text"/>
    <w:basedOn w:val="Normal"/>
    <w:link w:val="BalloonTextChar"/>
    <w:semiHidden/>
    <w:rsid w:val="00C22FB5"/>
    <w:rPr>
      <w:rFonts w:ascii="Tahoma" w:hAnsi="Tahoma" w:cs="Tahoma"/>
      <w:sz w:val="16"/>
      <w:szCs w:val="16"/>
    </w:rPr>
  </w:style>
  <w:style w:type="table" w:styleId="TableGrid">
    <w:name w:val="Table Grid"/>
    <w:basedOn w:val="TableNormal"/>
    <w:rsid w:val="00C2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1 Char Char Char"/>
    <w:link w:val="Heading1"/>
    <w:rsid w:val="00C22FB5"/>
    <w:rPr>
      <w:b/>
      <w:sz w:val="28"/>
    </w:rPr>
  </w:style>
  <w:style w:type="character" w:customStyle="1" w:styleId="FooterChar">
    <w:name w:val="Footer Char"/>
    <w:link w:val="Footer"/>
    <w:uiPriority w:val="99"/>
    <w:rsid w:val="00C22FB5"/>
    <w:rPr>
      <w:sz w:val="24"/>
      <w:szCs w:val="24"/>
      <w:lang w:eastAsia="en-US"/>
    </w:rPr>
  </w:style>
  <w:style w:type="character" w:styleId="CommentReference">
    <w:name w:val="annotation reference"/>
    <w:semiHidden/>
    <w:unhideWhenUsed/>
    <w:rsid w:val="00C22FB5"/>
    <w:rPr>
      <w:sz w:val="16"/>
      <w:szCs w:val="16"/>
    </w:rPr>
  </w:style>
  <w:style w:type="paragraph" w:styleId="CommentText">
    <w:name w:val="annotation text"/>
    <w:basedOn w:val="Normal"/>
    <w:link w:val="CommentTextChar"/>
    <w:semiHidden/>
    <w:unhideWhenUsed/>
    <w:rsid w:val="00C22FB5"/>
    <w:rPr>
      <w:sz w:val="20"/>
      <w:szCs w:val="20"/>
    </w:rPr>
  </w:style>
  <w:style w:type="character" w:customStyle="1" w:styleId="CommentTextChar">
    <w:name w:val="Comment Text Char"/>
    <w:link w:val="CommentText"/>
    <w:semiHidden/>
    <w:rsid w:val="00C22FB5"/>
    <w:rPr>
      <w:lang w:eastAsia="en-US"/>
    </w:rPr>
  </w:style>
  <w:style w:type="paragraph" w:styleId="CommentSubject">
    <w:name w:val="annotation subject"/>
    <w:basedOn w:val="CommentText"/>
    <w:next w:val="CommentText"/>
    <w:link w:val="CommentSubjectChar"/>
    <w:semiHidden/>
    <w:unhideWhenUsed/>
    <w:rsid w:val="00C22FB5"/>
    <w:rPr>
      <w:b/>
      <w:bCs/>
    </w:rPr>
  </w:style>
  <w:style w:type="character" w:customStyle="1" w:styleId="CommentSubjectChar">
    <w:name w:val="Comment Subject Char"/>
    <w:link w:val="CommentSubject"/>
    <w:semiHidden/>
    <w:rsid w:val="00C22FB5"/>
    <w:rPr>
      <w:b/>
      <w:bCs/>
      <w:lang w:eastAsia="en-US"/>
    </w:rPr>
  </w:style>
  <w:style w:type="paragraph" w:customStyle="1" w:styleId="attlaNr">
    <w:name w:val="attēla Nr."/>
    <w:basedOn w:val="Normal"/>
    <w:link w:val="attlaNrChar"/>
    <w:qFormat/>
    <w:rsid w:val="00C22FB5"/>
    <w:pPr>
      <w:spacing w:before="120"/>
      <w:jc w:val="right"/>
    </w:pPr>
    <w:rPr>
      <w:i/>
      <w:noProof/>
    </w:rPr>
  </w:style>
  <w:style w:type="character" w:customStyle="1" w:styleId="attlaNrChar">
    <w:name w:val="attēla Nr. Char"/>
    <w:link w:val="attlaNr"/>
    <w:rsid w:val="00C22FB5"/>
    <w:rPr>
      <w:i/>
      <w:noProof/>
      <w:sz w:val="24"/>
      <w:szCs w:val="24"/>
      <w:lang w:eastAsia="en-US"/>
    </w:rPr>
  </w:style>
  <w:style w:type="paragraph" w:customStyle="1" w:styleId="attla">
    <w:name w:val="attēla"/>
    <w:basedOn w:val="attlaNr"/>
    <w:qFormat/>
    <w:rsid w:val="00C22FB5"/>
    <w:pPr>
      <w:spacing w:before="0" w:after="120"/>
    </w:pPr>
  </w:style>
  <w:style w:type="character" w:customStyle="1" w:styleId="BalloonTextChar">
    <w:name w:val="Balloon Text Char"/>
    <w:link w:val="BalloonText"/>
    <w:semiHidden/>
    <w:rsid w:val="00C22FB5"/>
    <w:rPr>
      <w:rFonts w:ascii="Tahoma" w:hAnsi="Tahoma" w:cs="Tahoma"/>
      <w:sz w:val="16"/>
      <w:szCs w:val="16"/>
      <w:lang w:eastAsia="en-US"/>
    </w:rPr>
  </w:style>
  <w:style w:type="paragraph" w:styleId="BodyTextIndent">
    <w:name w:val="Body Text Indent"/>
    <w:basedOn w:val="Normal"/>
    <w:link w:val="BodyTextIndentChar"/>
    <w:rsid w:val="00C22FB5"/>
    <w:pPr>
      <w:spacing w:line="276" w:lineRule="auto"/>
      <w:ind w:firstLine="680"/>
    </w:pPr>
    <w:rPr>
      <w:szCs w:val="20"/>
    </w:rPr>
  </w:style>
  <w:style w:type="character" w:customStyle="1" w:styleId="BodyTextIndentChar">
    <w:name w:val="Body Text Indent Char"/>
    <w:link w:val="BodyTextIndent"/>
    <w:rsid w:val="00C22FB5"/>
    <w:rPr>
      <w:sz w:val="24"/>
      <w:lang w:eastAsia="en-US"/>
    </w:rPr>
  </w:style>
  <w:style w:type="character" w:styleId="FollowedHyperlink">
    <w:name w:val="FollowedHyperlink"/>
    <w:semiHidden/>
    <w:unhideWhenUsed/>
    <w:rsid w:val="00C22FB5"/>
    <w:rPr>
      <w:color w:val="954F72"/>
      <w:u w:val="single"/>
    </w:rPr>
  </w:style>
  <w:style w:type="character" w:styleId="FootnoteReference">
    <w:name w:val="footnote reference"/>
    <w:uiPriority w:val="99"/>
    <w:semiHidden/>
    <w:unhideWhenUsed/>
    <w:rsid w:val="00C22FB5"/>
    <w:rPr>
      <w:vertAlign w:val="superscript"/>
    </w:rPr>
  </w:style>
  <w:style w:type="paragraph" w:styleId="FootnoteText">
    <w:name w:val="footnote text"/>
    <w:basedOn w:val="Normal"/>
    <w:link w:val="FootnoteTextChar"/>
    <w:uiPriority w:val="99"/>
    <w:semiHidden/>
    <w:unhideWhenUsed/>
    <w:rsid w:val="00C22FB5"/>
    <w:pPr>
      <w:jc w:val="left"/>
    </w:pPr>
    <w:rPr>
      <w:rFonts w:eastAsia="Calibri"/>
      <w:sz w:val="20"/>
      <w:szCs w:val="20"/>
    </w:rPr>
  </w:style>
  <w:style w:type="character" w:customStyle="1" w:styleId="FootnoteTextChar">
    <w:name w:val="Footnote Text Char"/>
    <w:link w:val="FootnoteText"/>
    <w:uiPriority w:val="99"/>
    <w:semiHidden/>
    <w:rsid w:val="00C22FB5"/>
    <w:rPr>
      <w:rFonts w:eastAsia="Calibri"/>
      <w:lang w:eastAsia="en-US"/>
    </w:rPr>
  </w:style>
  <w:style w:type="character" w:customStyle="1" w:styleId="Heading2Char">
    <w:name w:val="Heading 2 Char"/>
    <w:link w:val="Heading2"/>
    <w:rsid w:val="00C22FB5"/>
    <w:rPr>
      <w:bCs/>
      <w:iCs/>
      <w:sz w:val="24"/>
      <w:szCs w:val="28"/>
      <w:lang w:eastAsia="en-US"/>
    </w:rPr>
  </w:style>
  <w:style w:type="character" w:customStyle="1" w:styleId="Heading3Char">
    <w:name w:val="Heading 3 Char"/>
    <w:link w:val="Heading3"/>
    <w:rsid w:val="00C22FB5"/>
    <w:rPr>
      <w:bCs/>
      <w:sz w:val="24"/>
      <w:szCs w:val="26"/>
      <w:lang w:eastAsia="en-US"/>
    </w:rPr>
  </w:style>
  <w:style w:type="character" w:customStyle="1" w:styleId="Heading4Char">
    <w:name w:val="Heading 4 Char"/>
    <w:link w:val="Heading4"/>
    <w:rsid w:val="00C22FB5"/>
    <w:rPr>
      <w:noProof/>
      <w:sz w:val="24"/>
      <w:lang w:eastAsia="en-US"/>
    </w:rPr>
  </w:style>
  <w:style w:type="character" w:customStyle="1" w:styleId="Heading5Char">
    <w:name w:val="Heading 5 Char"/>
    <w:link w:val="Heading5"/>
    <w:rsid w:val="00C22FB5"/>
    <w:rPr>
      <w:i/>
      <w:iCs/>
      <w:sz w:val="28"/>
      <w:lang w:eastAsia="en-US"/>
    </w:rPr>
  </w:style>
  <w:style w:type="character" w:customStyle="1" w:styleId="Heading6Char">
    <w:name w:val="Heading 6 Char"/>
    <w:link w:val="Heading6"/>
    <w:rsid w:val="00C22FB5"/>
    <w:rPr>
      <w:sz w:val="40"/>
      <w:lang w:eastAsia="en-US"/>
    </w:rPr>
  </w:style>
  <w:style w:type="character" w:customStyle="1" w:styleId="Heading7Char">
    <w:name w:val="Heading 7 Char"/>
    <w:link w:val="Heading7"/>
    <w:rsid w:val="00C22FB5"/>
    <w:rPr>
      <w:b/>
      <w:bCs/>
      <w:sz w:val="44"/>
      <w:lang w:eastAsia="en-US"/>
    </w:rPr>
  </w:style>
  <w:style w:type="character" w:customStyle="1" w:styleId="Heading8Char">
    <w:name w:val="Heading 8 Char"/>
    <w:link w:val="Heading8"/>
    <w:rsid w:val="00C22FB5"/>
    <w:rPr>
      <w:sz w:val="32"/>
      <w:lang w:eastAsia="en-US"/>
    </w:rPr>
  </w:style>
  <w:style w:type="character" w:customStyle="1" w:styleId="Heading9Char">
    <w:name w:val="Heading 9 Char"/>
    <w:link w:val="Heading9"/>
    <w:rsid w:val="00C22FB5"/>
    <w:rPr>
      <w:i/>
      <w:iCs/>
      <w:sz w:val="32"/>
      <w:lang w:eastAsia="en-US"/>
    </w:rPr>
  </w:style>
  <w:style w:type="character" w:styleId="Hyperlink">
    <w:name w:val="Hyperlink"/>
    <w:uiPriority w:val="99"/>
    <w:unhideWhenUsed/>
    <w:rsid w:val="00C22FB5"/>
    <w:rPr>
      <w:color w:val="0563C1"/>
      <w:u w:val="single"/>
    </w:rPr>
  </w:style>
  <w:style w:type="paragraph" w:styleId="ListParagraph">
    <w:name w:val="List Paragraph"/>
    <w:basedOn w:val="Normal"/>
    <w:uiPriority w:val="34"/>
    <w:qFormat/>
    <w:rsid w:val="00C22FB5"/>
    <w:pPr>
      <w:spacing w:before="120" w:after="120"/>
      <w:ind w:left="720" w:hanging="567"/>
      <w:contextualSpacing/>
    </w:pPr>
    <w:rPr>
      <w:szCs w:val="20"/>
      <w:lang w:eastAsia="lv-LV"/>
    </w:rPr>
  </w:style>
  <w:style w:type="character" w:customStyle="1" w:styleId="Mention1">
    <w:name w:val="Mention1"/>
    <w:rsid w:val="00C22FB5"/>
    <w:rPr>
      <w:color w:val="2B579A"/>
      <w:shd w:val="clear" w:color="auto" w:fill="E6E6E6"/>
    </w:rPr>
  </w:style>
  <w:style w:type="paragraph" w:customStyle="1" w:styleId="tabula">
    <w:name w:val="tabula"/>
    <w:basedOn w:val="Normal"/>
    <w:next w:val="Normal"/>
    <w:rsid w:val="00C22FB5"/>
    <w:pPr>
      <w:tabs>
        <w:tab w:val="num" w:pos="720"/>
      </w:tabs>
      <w:spacing w:before="100" w:beforeAutospacing="1" w:after="100" w:afterAutospacing="1"/>
    </w:pPr>
    <w:rPr>
      <w:sz w:val="22"/>
      <w:szCs w:val="20"/>
    </w:rPr>
  </w:style>
  <w:style w:type="paragraph" w:styleId="TOC1">
    <w:name w:val="toc 1"/>
    <w:basedOn w:val="Normal"/>
    <w:next w:val="Normal"/>
    <w:autoRedefine/>
    <w:uiPriority w:val="39"/>
    <w:unhideWhenUsed/>
    <w:rsid w:val="00C22FB5"/>
    <w:pPr>
      <w:tabs>
        <w:tab w:val="left" w:pos="440"/>
        <w:tab w:val="right" w:leader="dot" w:pos="9344"/>
      </w:tabs>
    </w:pPr>
    <w:rPr>
      <w:b/>
    </w:rPr>
  </w:style>
  <w:style w:type="paragraph" w:styleId="TOC2">
    <w:name w:val="toc 2"/>
    <w:basedOn w:val="Normal"/>
    <w:next w:val="Normal"/>
    <w:uiPriority w:val="39"/>
    <w:unhideWhenUsed/>
    <w:rsid w:val="00C22FB5"/>
    <w:pPr>
      <w:ind w:left="680" w:hanging="567"/>
    </w:pPr>
  </w:style>
  <w:style w:type="paragraph" w:styleId="TOC3">
    <w:name w:val="toc 3"/>
    <w:basedOn w:val="Normal"/>
    <w:next w:val="Normal"/>
    <w:autoRedefine/>
    <w:uiPriority w:val="39"/>
    <w:unhideWhenUsed/>
    <w:rsid w:val="00C22FB5"/>
    <w:pPr>
      <w:ind w:left="480"/>
    </w:pPr>
  </w:style>
  <w:style w:type="paragraph" w:styleId="TOC4">
    <w:name w:val="toc 4"/>
    <w:basedOn w:val="Normal"/>
    <w:next w:val="Normal"/>
    <w:semiHidden/>
    <w:rsid w:val="00C22FB5"/>
    <w:pPr>
      <w:tabs>
        <w:tab w:val="left" w:pos="1964"/>
        <w:tab w:val="right" w:leader="dot" w:pos="8296"/>
      </w:tabs>
      <w:spacing w:before="40" w:after="40"/>
      <w:ind w:left="720" w:firstLine="680"/>
      <w:jc w:val="left"/>
    </w:pPr>
    <w:rPr>
      <w:i/>
      <w:iCs/>
      <w:noProof/>
      <w:szCs w:val="21"/>
    </w:rPr>
  </w:style>
  <w:style w:type="paragraph" w:styleId="TOC5">
    <w:name w:val="toc 5"/>
    <w:basedOn w:val="Normal"/>
    <w:next w:val="Normal"/>
    <w:autoRedefine/>
    <w:semiHidden/>
    <w:rsid w:val="00C22FB5"/>
    <w:pPr>
      <w:spacing w:line="276" w:lineRule="auto"/>
      <w:ind w:left="960" w:firstLine="680"/>
      <w:jc w:val="left"/>
    </w:pPr>
    <w:rPr>
      <w:szCs w:val="21"/>
    </w:rPr>
  </w:style>
  <w:style w:type="paragraph" w:styleId="TOC6">
    <w:name w:val="toc 6"/>
    <w:basedOn w:val="Normal"/>
    <w:next w:val="Normal"/>
    <w:autoRedefine/>
    <w:semiHidden/>
    <w:rsid w:val="00C22FB5"/>
    <w:pPr>
      <w:spacing w:line="276" w:lineRule="auto"/>
      <w:ind w:left="1200" w:firstLine="680"/>
      <w:jc w:val="left"/>
    </w:pPr>
    <w:rPr>
      <w:szCs w:val="21"/>
    </w:rPr>
  </w:style>
  <w:style w:type="paragraph" w:styleId="TOC7">
    <w:name w:val="toc 7"/>
    <w:basedOn w:val="Normal"/>
    <w:next w:val="Normal"/>
    <w:autoRedefine/>
    <w:semiHidden/>
    <w:rsid w:val="00C22FB5"/>
    <w:pPr>
      <w:spacing w:line="276" w:lineRule="auto"/>
      <w:ind w:left="1440" w:firstLine="680"/>
      <w:jc w:val="left"/>
    </w:pPr>
    <w:rPr>
      <w:szCs w:val="21"/>
    </w:rPr>
  </w:style>
  <w:style w:type="paragraph" w:styleId="TOC8">
    <w:name w:val="toc 8"/>
    <w:basedOn w:val="Normal"/>
    <w:next w:val="Normal"/>
    <w:autoRedefine/>
    <w:semiHidden/>
    <w:rsid w:val="00C22FB5"/>
    <w:pPr>
      <w:spacing w:line="276" w:lineRule="auto"/>
      <w:ind w:left="1680" w:firstLine="680"/>
      <w:jc w:val="left"/>
    </w:pPr>
    <w:rPr>
      <w:szCs w:val="21"/>
    </w:rPr>
  </w:style>
  <w:style w:type="paragraph" w:styleId="TOC9">
    <w:name w:val="toc 9"/>
    <w:basedOn w:val="Normal"/>
    <w:next w:val="Normal"/>
    <w:autoRedefine/>
    <w:semiHidden/>
    <w:rsid w:val="00C22FB5"/>
    <w:pPr>
      <w:spacing w:line="276" w:lineRule="auto"/>
      <w:ind w:left="1920" w:firstLine="680"/>
      <w:jc w:val="left"/>
    </w:pPr>
    <w:rPr>
      <w:szCs w:val="21"/>
    </w:rPr>
  </w:style>
  <w:style w:type="paragraph" w:styleId="TOCHeading">
    <w:name w:val="TOC Heading"/>
    <w:basedOn w:val="Heading1"/>
    <w:next w:val="Normal"/>
    <w:uiPriority w:val="39"/>
    <w:unhideWhenUsed/>
    <w:qFormat/>
    <w:rsid w:val="00C22FB5"/>
    <w:pPr>
      <w:keepLines/>
      <w:spacing w:before="240" w:line="259" w:lineRule="auto"/>
      <w:ind w:firstLine="0"/>
      <w:jc w:val="left"/>
      <w:outlineLvl w:val="9"/>
    </w:pPr>
    <w:rPr>
      <w:rFonts w:ascii="Calibri Light" w:hAnsi="Calibri Light"/>
      <w:i/>
      <w:color w:val="2E74B5"/>
      <w:sz w:val="32"/>
      <w:szCs w:val="32"/>
      <w:lang w:val="en-US" w:eastAsia="en-US"/>
    </w:rPr>
  </w:style>
  <w:style w:type="character" w:customStyle="1" w:styleId="vtip">
    <w:name w:val="vtip"/>
    <w:rsid w:val="00C22FB5"/>
  </w:style>
  <w:style w:type="character" w:styleId="Strong">
    <w:name w:val="Strong"/>
    <w:basedOn w:val="DefaultParagraphFont"/>
    <w:uiPriority w:val="22"/>
    <w:qFormat/>
    <w:rsid w:val="00AA71EE"/>
    <w:rPr>
      <w:b/>
      <w:bCs/>
    </w:rPr>
  </w:style>
  <w:style w:type="character" w:customStyle="1" w:styleId="meta-infopublish-date-mimnimal">
    <w:name w:val="meta-info__publish-date-mimnimal"/>
    <w:basedOn w:val="DefaultParagraphFont"/>
    <w:rsid w:val="00AA7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aro.lv/tiesiskums/prokurors-cinkmanis-visapkart-pidasi/" TargetMode="External"/><Relationship Id="rId13" Type="http://schemas.openxmlformats.org/officeDocument/2006/relationships/hyperlink" Target="https://puaro.lv/tiesiskums/prokurors-cinkmanis-visapkart-pid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uns.lv/raksts/zinas/411930-video-panemsim-sluskas-un-vienkarsi-prokurors-uldis%20cinkmanis-nofilmets-rupji-alejamies-publiska-vie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aro.lv/tiesiskums/panemsim-sluskas-un-vienkarsi-prokurors-uldis-cinkmanis-rupji-izrunajas-un-alejas-publiska-viet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uaro.lv" TargetMode="External"/><Relationship Id="rId4" Type="http://schemas.openxmlformats.org/officeDocument/2006/relationships/settings" Target="settings.xml"/><Relationship Id="rId9" Type="http://schemas.openxmlformats.org/officeDocument/2006/relationships/hyperlink" Target="https://www.la.lv/1641577-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95C27-1079-4353-BEDD-4EE9C493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7114</Words>
  <Characters>4055</Characters>
  <Application>Microsoft Office Word</Application>
  <DocSecurity>0</DocSecurity>
  <Lines>33</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RDLIS</vt:lpstr>
    </vt:vector>
  </TitlesOfParts>
  <Company>A/S DATI</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Valts Grigāns</dc:creator>
  <cp:lastModifiedBy>Lita Sakoviča</cp:lastModifiedBy>
  <cp:revision>2</cp:revision>
  <cp:lastPrinted>2008-02-21T10:46:00Z</cp:lastPrinted>
  <dcterms:created xsi:type="dcterms:W3CDTF">2021-03-23T16:20:00Z</dcterms:created>
  <dcterms:modified xsi:type="dcterms:W3CDTF">2021-03-23T16:20:00Z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Personāla nodaļa
Ģenerālprokurors
Ģenerālprokurors Juris Stukāns
Organizētās noziedzības un citu nozaru specializētā prokuratūra
Prokurors Uldis Cinkmanis
Organizētās noziedzības un citu nozaru specializētā prokuratūra
Virsprokurors Gita Biezuma</vt:lpwstr>
  </property>
  <property fmtid="{D5CDD505-2E9C-101B-9397-08002B2CF9AE}" pid="3" name="#ANOTACIJA#">
    <vt:lpwstr>Par U.Cinkmaņa pieļautajiem Latvijas Prokuroru ētikas kodeksa normu pārkāpumiem</vt:lpwstr>
  </property>
  <property fmtid="{D5CDD505-2E9C-101B-9397-08002B2CF9AE}" pid="4" name="#ATB_DAT#">
    <vt:lpwstr/>
  </property>
  <property fmtid="{D5CDD505-2E9C-101B-9397-08002B2CF9AE}" pid="5" name="#ATB_NR#">
    <vt:lpwstr/>
  </property>
  <property fmtid="{D5CDD505-2E9C-101B-9397-08002B2CF9AE}" pid="6" name="#DOC_DAT#">
    <vt:lpwstr>23.03.2021.</vt:lpwstr>
  </property>
  <property fmtid="{D5CDD505-2E9C-101B-9397-08002B2CF9AE}" pid="7" name="#DOC_NR#">
    <vt:lpwstr>P-104-670-2021-00056</vt:lpwstr>
  </property>
  <property fmtid="{D5CDD505-2E9C-101B-9397-08002B2CF9AE}" pid="8" name="#EXEC_OBJECT_NR#">
    <vt:lpwstr/>
  </property>
  <property fmtid="{D5CDD505-2E9C-101B-9397-08002B2CF9AE}" pid="9" name="#EXEC_OBJECT_SHORT_NR#">
    <vt:lpwstr/>
  </property>
  <property fmtid="{D5CDD505-2E9C-101B-9397-08002B2CF9AE}" pid="10" name="#PARAKST_AMATS#">
    <vt:lpwstr>Prokuroru atestācijas komisijas līdzpriekšsēdētājs</vt:lpwstr>
  </property>
  <property fmtid="{D5CDD505-2E9C-101B-9397-08002B2CF9AE}" pid="11" name="#PARAKST_V_UZV#">
    <vt:lpwstr>A.Ostapko</vt:lpwstr>
  </property>
  <property fmtid="{D5CDD505-2E9C-101B-9397-08002B2CF9AE}" pid="12" name="#SAG_TALR#">
    <vt:lpwstr>67044690</vt:lpwstr>
  </property>
  <property fmtid="{D5CDD505-2E9C-101B-9397-08002B2CF9AE}" pid="13" name="#SAG_UZV#">
    <vt:lpwstr>Sakoviča</vt:lpwstr>
  </property>
  <property fmtid="{D5CDD505-2E9C-101B-9397-08002B2CF9AE}" pid="14" name="#STRUKT_FAX#">
    <vt:lpwstr/>
  </property>
  <property fmtid="{D5CDD505-2E9C-101B-9397-08002B2CF9AE}" pid="15" name="#STRUKT_TALR#">
    <vt:lpwstr/>
  </property>
  <property fmtid="{D5CDD505-2E9C-101B-9397-08002B2CF9AE}" pid="16" name="#STR_ADRESE#">
    <vt:lpwstr>Kalpaka bulvāris 6, Rīga, LV-1050</vt:lpwstr>
  </property>
  <property fmtid="{D5CDD505-2E9C-101B-9397-08002B2CF9AE}" pid="17" name="#STR_EPASTS#">
    <vt:lpwstr>atestacijas_komisija@lrp.gov.lv</vt:lpwstr>
  </property>
  <property fmtid="{D5CDD505-2E9C-101B-9397-08002B2CF9AE}" pid="18" name="#STR_NOS#">
    <vt:lpwstr>Prokuroru atestācijas komisija</vt:lpwstr>
  </property>
  <property fmtid="{D5CDD505-2E9C-101B-9397-08002B2CF9AE}" pid="19" name="#STR_REG_NR#">
    <vt:lpwstr>Reģistrācijas Nr. 90000022859, </vt:lpwstr>
  </property>
</Properties>
</file>