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29C" w14:textId="0A98EDF3" w:rsidR="00D1498D" w:rsidRPr="00D1498D" w:rsidRDefault="008F51F1" w:rsidP="00D1498D">
      <w:pPr>
        <w:jc w:val="center"/>
        <w:rPr>
          <w:b/>
          <w:u w:val="single"/>
        </w:rPr>
      </w:pPr>
      <w:r>
        <w:rPr>
          <w:b/>
          <w:u w:val="single"/>
        </w:rPr>
        <w:t xml:space="preserve">PĀRSKATS PAR </w:t>
      </w:r>
      <w:r w:rsidR="00D1498D" w:rsidRPr="00D1498D">
        <w:rPr>
          <w:b/>
          <w:u w:val="single"/>
        </w:rPr>
        <w:t>NOZIEDZĪBAS STĀVOKLI VALSTĪ UN PROKURATŪRAS DARB</w:t>
      </w:r>
      <w:r>
        <w:rPr>
          <w:b/>
          <w:u w:val="single"/>
        </w:rPr>
        <w:t>U 2019.GADĀ</w:t>
      </w:r>
      <w:r w:rsidR="00D1498D" w:rsidRPr="00D1498D">
        <w:rPr>
          <w:b/>
          <w:u w:val="single"/>
        </w:rPr>
        <w:t xml:space="preserve"> </w:t>
      </w:r>
    </w:p>
    <w:p w14:paraId="547D565D" w14:textId="6383005C" w:rsidR="00ED44D0" w:rsidRPr="00ED44D0" w:rsidRDefault="00ED44D0" w:rsidP="00D1498D">
      <w:pPr>
        <w:rPr>
          <w:bCs/>
        </w:rPr>
      </w:pPr>
    </w:p>
    <w:p w14:paraId="7176EAFD" w14:textId="77777777" w:rsidR="00A80C0A" w:rsidRDefault="00A80C0A" w:rsidP="00C60DE2">
      <w:pPr>
        <w:spacing w:after="0"/>
        <w:jc w:val="both"/>
        <w:rPr>
          <w:b/>
          <w:bCs/>
          <w:i/>
          <w:iCs/>
        </w:rPr>
      </w:pPr>
    </w:p>
    <w:p w14:paraId="3413A115" w14:textId="214BBBF8" w:rsidR="00C052F3" w:rsidRDefault="00C052F3" w:rsidP="00C60DE2">
      <w:pPr>
        <w:spacing w:after="0"/>
        <w:jc w:val="both"/>
        <w:rPr>
          <w:b/>
          <w:bCs/>
          <w:i/>
          <w:iCs/>
        </w:rPr>
      </w:pPr>
      <w:r w:rsidRPr="0026507B">
        <w:rPr>
          <w:b/>
          <w:bCs/>
          <w:i/>
          <w:iCs/>
        </w:rPr>
        <w:t>Kopējie noziedzības rādītāji valstī</w:t>
      </w:r>
    </w:p>
    <w:p w14:paraId="08EFE06A" w14:textId="77777777" w:rsidR="00C60DE2" w:rsidRPr="0026507B" w:rsidRDefault="00C60DE2" w:rsidP="00C60DE2">
      <w:pPr>
        <w:spacing w:after="0"/>
        <w:jc w:val="both"/>
        <w:rPr>
          <w:b/>
          <w:bCs/>
          <w:i/>
          <w:iCs/>
        </w:rPr>
      </w:pPr>
    </w:p>
    <w:p w14:paraId="76360ED5" w14:textId="77777777" w:rsidR="000E6C6C" w:rsidRDefault="00C052F3" w:rsidP="000E6C6C">
      <w:pPr>
        <w:spacing w:after="0"/>
        <w:ind w:firstLine="720"/>
        <w:jc w:val="both"/>
      </w:pPr>
      <w:r>
        <w:t xml:space="preserve">Apkopojot informāciju par valstī reģistrētajiem noziedzīgajiem nodarījumiem, redzams, ka, sākot ar 2014.gadu, valstī reģistrēto noziedzīgo nodarījumu skaits ir samazinājies. Turklāt 2019.gadā salīdzinājumā ar citu gadu statistiku samazinājums ir ievērojamāks, proti, 2018.gadā tika reģistrēti 43 260 noziedzīgie nodarījumi, bet 2019.gadā – 39 906, t.i., to skaits, salīdzinot ar 2018.gadu, samazinājies par 3 354 noziedzīgajiem nodarījumiem jeb 7,8 % . Vienlaikus jāatzīmē, ka </w:t>
      </w:r>
      <w:r w:rsidRPr="00D1498D">
        <w:t>201</w:t>
      </w:r>
      <w:r>
        <w:t>9</w:t>
      </w:r>
      <w:r w:rsidRPr="00D1498D">
        <w:t>.g</w:t>
      </w:r>
      <w:r>
        <w:t>adā</w:t>
      </w:r>
      <w:r w:rsidRPr="00D1498D">
        <w:t xml:space="preserve"> reģistrēto </w:t>
      </w:r>
      <w:r>
        <w:t>noziedzīgo nodarījumu</w:t>
      </w:r>
      <w:r w:rsidRPr="00D1498D">
        <w:t xml:space="preserve"> skaits </w:t>
      </w:r>
      <w:r>
        <w:t xml:space="preserve">kopš 2011.gada ir </w:t>
      </w:r>
      <w:r w:rsidRPr="00D1498D">
        <w:t xml:space="preserve">vēsturiski </w:t>
      </w:r>
      <w:r>
        <w:t>mazā</w:t>
      </w:r>
      <w:r w:rsidRPr="00D1498D">
        <w:t>kais</w:t>
      </w:r>
      <w:r>
        <w:t xml:space="preserve"> (sk. </w:t>
      </w:r>
      <w:r w:rsidRPr="000B0BB5">
        <w:t>tabulu</w:t>
      </w:r>
      <w:r w:rsidRPr="002E42B9">
        <w:rPr>
          <w:b/>
          <w:bCs/>
        </w:rPr>
        <w:t xml:space="preserve"> Pielikumā Nr.1 – 1.lpp.</w:t>
      </w:r>
      <w:r>
        <w:t>)</w:t>
      </w:r>
      <w:r w:rsidRPr="00D1498D">
        <w:t>.</w:t>
      </w:r>
    </w:p>
    <w:p w14:paraId="70176995" w14:textId="7EC8BE36" w:rsidR="00C052F3" w:rsidRDefault="00C052F3" w:rsidP="000E6C6C">
      <w:pPr>
        <w:spacing w:after="0"/>
        <w:ind w:firstLine="720"/>
        <w:jc w:val="both"/>
      </w:pPr>
      <w:r>
        <w:t xml:space="preserve"> </w:t>
      </w:r>
    </w:p>
    <w:p w14:paraId="4D3A79DB" w14:textId="59BF0757" w:rsidR="00C052F3" w:rsidRDefault="00C052F3" w:rsidP="000E6C6C">
      <w:pPr>
        <w:spacing w:after="0"/>
        <w:ind w:firstLine="720"/>
        <w:jc w:val="both"/>
      </w:pPr>
      <w:r>
        <w:t>Analizējot 2019.gadā reģistrēto noziedzīgo nodarījumu skaitu</w:t>
      </w:r>
      <w:r w:rsidRPr="00D1498D">
        <w:t xml:space="preserve"> Latvijas reģionos</w:t>
      </w:r>
      <w:r>
        <w:t>, redzams, ka salīdzinājumā ar 2018.gadu nav vienotas tendences visos reģionos, proti, ir reģioni, kur to skaita samazināj</w:t>
      </w:r>
      <w:r w:rsidR="004B1668">
        <w:t>ums</w:t>
      </w:r>
      <w:r>
        <w:t xml:space="preserve"> ir lielāks, un ir reģioni, kur to skaita samazinājums ir mazāks, izņemot Kurzemes reģionu, kur reģistrēto noziedzīgo nodarījumu skaits ir minimāli pieaudzis. Piemēram, </w:t>
      </w:r>
      <w:bookmarkStart w:id="0" w:name="_Hlk33540473"/>
      <w:r>
        <w:t xml:space="preserve">Vidzemes reģionā </w:t>
      </w:r>
      <w:bookmarkStart w:id="1" w:name="_Hlk33540247"/>
      <w:r>
        <w:t xml:space="preserve">2019.gadā, salīdzinot ar 2018.gadu, reģistrēto noziedzīgo nodarījumu </w:t>
      </w:r>
      <w:bookmarkEnd w:id="1"/>
      <w:r>
        <w:t>samazinājums ir ļoti minimāls, kamēr Latgales reģionā</w:t>
      </w:r>
      <w:r w:rsidRPr="00154F14">
        <w:t xml:space="preserve"> </w:t>
      </w:r>
      <w:r>
        <w:t xml:space="preserve">tas ir </w:t>
      </w:r>
      <w:r w:rsidRPr="00D1498D">
        <w:t xml:space="preserve">par </w:t>
      </w:r>
      <w:r>
        <w:t>464</w:t>
      </w:r>
      <w:r w:rsidRPr="00D1498D">
        <w:t xml:space="preserve"> </w:t>
      </w:r>
      <w:bookmarkStart w:id="2" w:name="_Hlk33687945"/>
      <w:r>
        <w:t xml:space="preserve">noziedzīgajiem nodarījumiem </w:t>
      </w:r>
      <w:bookmarkEnd w:id="2"/>
      <w:r>
        <w:t>jeb</w:t>
      </w:r>
      <w:r w:rsidRPr="00D1498D">
        <w:t xml:space="preserve"> </w:t>
      </w:r>
      <w:r>
        <w:t xml:space="preserve">8,1 </w:t>
      </w:r>
      <w:r w:rsidRPr="00D1498D">
        <w:t>%</w:t>
      </w:r>
      <w:r>
        <w:t xml:space="preserve">, bet Pierīgas reģionā – </w:t>
      </w:r>
      <w:r w:rsidRPr="00D1498D">
        <w:t xml:space="preserve">par </w:t>
      </w:r>
      <w:r>
        <w:t>448</w:t>
      </w:r>
      <w:r w:rsidRPr="00D1498D">
        <w:t xml:space="preserve"> </w:t>
      </w:r>
      <w:r>
        <w:t>noziedzīgajiem nodarījumiem jeb</w:t>
      </w:r>
      <w:r w:rsidRPr="00D1498D">
        <w:t xml:space="preserve"> </w:t>
      </w:r>
      <w:r>
        <w:t xml:space="preserve">7,1 </w:t>
      </w:r>
      <w:r w:rsidRPr="00D1498D">
        <w:t>%</w:t>
      </w:r>
      <w:r>
        <w:t xml:space="preserve"> (sk. </w:t>
      </w:r>
      <w:r w:rsidRPr="000B0BB5">
        <w:t xml:space="preserve">tabulu </w:t>
      </w:r>
      <w:r w:rsidRPr="002E42B9">
        <w:rPr>
          <w:b/>
          <w:bCs/>
        </w:rPr>
        <w:t>Pielikumā Nr.1 – 2.lpp.</w:t>
      </w:r>
      <w:r>
        <w:t>).</w:t>
      </w:r>
    </w:p>
    <w:p w14:paraId="66607A53" w14:textId="77777777" w:rsidR="000E6C6C" w:rsidRPr="00D1498D" w:rsidRDefault="000E6C6C" w:rsidP="000E6C6C">
      <w:pPr>
        <w:spacing w:after="0"/>
        <w:ind w:firstLine="720"/>
        <w:jc w:val="both"/>
      </w:pPr>
    </w:p>
    <w:p w14:paraId="0F0438AA" w14:textId="77777777" w:rsidR="000E6C6C" w:rsidRDefault="00C052F3" w:rsidP="000E6C6C">
      <w:pPr>
        <w:spacing w:after="0"/>
        <w:ind w:firstLine="720"/>
        <w:jc w:val="both"/>
        <w:rPr>
          <w:bCs/>
        </w:rPr>
      </w:pPr>
      <w:r>
        <w:t xml:space="preserve">Arī republikas nozīmes pilsētās reģistrēto noziedzīgo nodarījumu skaits atšķiras. Lielākais reģistrēto noziedzīgo nodarījumu skaita </w:t>
      </w:r>
      <w:r w:rsidRPr="008F51F1">
        <w:rPr>
          <w:color w:val="000000" w:themeColor="text1"/>
        </w:rPr>
        <w:t xml:space="preserve">pieaugums ir Jēkabpilī </w:t>
      </w:r>
      <w:r>
        <w:t xml:space="preserve">(par 219 noziedzīgajiem nodarījumiem no 786 kopumā reģistrētajiem), bet lielākais samazinājums – Rīgā (par 2392 noziedzīgajiem nodarījumiem no 17 021 kopumā reģistrētajiem) (sk. </w:t>
      </w:r>
      <w:r w:rsidRPr="000B0BB5">
        <w:t>tabulu</w:t>
      </w:r>
      <w:r w:rsidRPr="000457C1">
        <w:rPr>
          <w:b/>
          <w:bCs/>
        </w:rPr>
        <w:t xml:space="preserve"> Pielikumā Nr.1 – 3.lpp.</w:t>
      </w:r>
      <w:r>
        <w:t>).</w:t>
      </w:r>
      <w:bookmarkEnd w:id="0"/>
      <w:r>
        <w:t xml:space="preserve"> </w:t>
      </w:r>
      <w:r w:rsidRPr="00312A8F">
        <w:rPr>
          <w:bCs/>
        </w:rPr>
        <w:t xml:space="preserve">Analizējot </w:t>
      </w:r>
      <w:r>
        <w:rPr>
          <w:bCs/>
        </w:rPr>
        <w:t>apkopoto informāciju, redzams, ka 2019.gadā kopumā,</w:t>
      </w:r>
      <w:r w:rsidRPr="00E334EB">
        <w:rPr>
          <w:bCs/>
        </w:rPr>
        <w:t xml:space="preserve"> </w:t>
      </w:r>
      <w:r>
        <w:rPr>
          <w:bCs/>
        </w:rPr>
        <w:t>ja to salīdzina ar 2018.gadu, republikas nozīmes pilsētās samazinājies reģistrēto noziedzīgo nodarījumu skaits par 2 517 noziedzīgajiem nodarījumiem jeb 9,4 %.</w:t>
      </w:r>
    </w:p>
    <w:p w14:paraId="5761A2CB" w14:textId="4C4F0874" w:rsidR="00C052F3" w:rsidRPr="003633F5" w:rsidRDefault="00C052F3" w:rsidP="000E6C6C">
      <w:pPr>
        <w:spacing w:after="0"/>
        <w:ind w:firstLine="720"/>
        <w:jc w:val="both"/>
      </w:pPr>
      <w:r>
        <w:rPr>
          <w:bCs/>
        </w:rPr>
        <w:t xml:space="preserve"> </w:t>
      </w:r>
    </w:p>
    <w:p w14:paraId="096BED7C" w14:textId="77777777" w:rsidR="000E6C6C" w:rsidRDefault="00C052F3" w:rsidP="000E6C6C">
      <w:pPr>
        <w:spacing w:after="0"/>
        <w:ind w:firstLine="720"/>
        <w:jc w:val="both"/>
      </w:pPr>
      <w:r>
        <w:t xml:space="preserve">2019.gadā reģistrēto sevišķi smagu noziegumu skaits salīdzinājumā ar 2018.gadu ir nedaudz samazinājies, proti, par 34 noziegumiem jeb 1,8 % (sk. </w:t>
      </w:r>
      <w:r w:rsidRPr="000B0BB5">
        <w:t>tabulu</w:t>
      </w:r>
      <w:r w:rsidRPr="000A2C1E">
        <w:rPr>
          <w:b/>
          <w:bCs/>
        </w:rPr>
        <w:t xml:space="preserve"> Pielikumā Nr.1 –</w:t>
      </w:r>
      <w:r>
        <w:rPr>
          <w:b/>
          <w:bCs/>
        </w:rPr>
        <w:t xml:space="preserve"> </w:t>
      </w:r>
      <w:r w:rsidRPr="000A2C1E">
        <w:rPr>
          <w:b/>
          <w:bCs/>
        </w:rPr>
        <w:t>4.lpp.</w:t>
      </w:r>
      <w:r>
        <w:t>), bet</w:t>
      </w:r>
      <w:r w:rsidRPr="003633F5">
        <w:t xml:space="preserve"> </w:t>
      </w:r>
      <w:r>
        <w:t xml:space="preserve">reģistrēto smagu noziegumu skaits salīdzinājumā ar 2018.gadu ir samazinājies ievērojamāk, proti, par 1 453 noziegumiem jeb 12,6 % (sk. </w:t>
      </w:r>
      <w:r w:rsidRPr="000B0BB5">
        <w:t>tabulu</w:t>
      </w:r>
      <w:r w:rsidRPr="000A2C1E">
        <w:rPr>
          <w:b/>
          <w:bCs/>
        </w:rPr>
        <w:t xml:space="preserve"> Pielikumā Nr.1 – 5.lpp.</w:t>
      </w:r>
      <w:r>
        <w:t xml:space="preserve">). Par 6 % samazinājies arī reģistrēto mazāk smagu noziegumu skaits, kamēr </w:t>
      </w:r>
      <w:r w:rsidRPr="008F51F1">
        <w:rPr>
          <w:color w:val="000000" w:themeColor="text1"/>
        </w:rPr>
        <w:t>kriminālpārkāpumu skaits par 10,3 % pieaudzis</w:t>
      </w:r>
      <w:r w:rsidRPr="00365D5B">
        <w:rPr>
          <w:color w:val="FF0000"/>
        </w:rPr>
        <w:t xml:space="preserve"> </w:t>
      </w:r>
      <w:r>
        <w:t xml:space="preserve">(sk. </w:t>
      </w:r>
      <w:r w:rsidRPr="000B0BB5">
        <w:t>tabulu</w:t>
      </w:r>
      <w:r w:rsidRPr="00DF2E54">
        <w:rPr>
          <w:b/>
          <w:bCs/>
        </w:rPr>
        <w:t xml:space="preserve"> Pielikumā Nr.1 – 6.lpp.</w:t>
      </w:r>
      <w:r>
        <w:t>)</w:t>
      </w:r>
    </w:p>
    <w:p w14:paraId="57AF3696" w14:textId="79C804C5" w:rsidR="00C052F3" w:rsidRDefault="00C052F3" w:rsidP="000E6C6C">
      <w:pPr>
        <w:spacing w:after="0"/>
        <w:ind w:firstLine="720"/>
        <w:jc w:val="both"/>
      </w:pPr>
      <w:r>
        <w:t>.</w:t>
      </w:r>
    </w:p>
    <w:p w14:paraId="77CE0775" w14:textId="526D3132" w:rsidR="00C052F3" w:rsidRDefault="00BE5703" w:rsidP="00A87963">
      <w:pPr>
        <w:spacing w:after="0"/>
        <w:jc w:val="both"/>
        <w:rPr>
          <w:b/>
          <w:bCs/>
          <w:i/>
          <w:iCs/>
        </w:rPr>
      </w:pPr>
      <w:r>
        <w:rPr>
          <w:b/>
          <w:bCs/>
          <w:i/>
          <w:iCs/>
        </w:rPr>
        <w:t>Reģistrētie noziedzīgie nodarījumi p</w:t>
      </w:r>
      <w:r w:rsidR="00C052F3" w:rsidRPr="0026507B">
        <w:rPr>
          <w:b/>
          <w:bCs/>
          <w:i/>
          <w:iCs/>
        </w:rPr>
        <w:t>ēc atsevišķu noziedzīgu nodarījumu veidiem</w:t>
      </w:r>
    </w:p>
    <w:p w14:paraId="4E56766C" w14:textId="77777777" w:rsidR="000E6C6C" w:rsidRPr="0026507B" w:rsidRDefault="000E6C6C" w:rsidP="000E6C6C">
      <w:pPr>
        <w:spacing w:after="0"/>
        <w:ind w:firstLine="720"/>
        <w:jc w:val="both"/>
        <w:rPr>
          <w:b/>
          <w:bCs/>
          <w:i/>
          <w:iCs/>
        </w:rPr>
      </w:pPr>
    </w:p>
    <w:p w14:paraId="36011415" w14:textId="4A97A939" w:rsidR="00C052F3" w:rsidRDefault="00C052F3" w:rsidP="000E6C6C">
      <w:pPr>
        <w:spacing w:after="0"/>
        <w:ind w:firstLine="720"/>
        <w:jc w:val="both"/>
      </w:pPr>
      <w:r>
        <w:t xml:space="preserve">Atzīmējams, ka, kā jau katru gadu, ievērojamu īpatsvaru no visiem </w:t>
      </w:r>
      <w:r w:rsidRPr="00D1498D">
        <w:t xml:space="preserve"> </w:t>
      </w:r>
      <w:r>
        <w:t>reģistrētajiem noziedzīgajiem nodarījumiem veido Krimināllikuma (turpmāk – KL) 180.pantā (</w:t>
      </w:r>
      <w:r w:rsidRPr="00945462">
        <w:rPr>
          <w:i/>
          <w:iCs/>
        </w:rPr>
        <w:t>zādzība, krāpšana, piesavināšanās nelielā apmērā</w:t>
      </w:r>
      <w:r>
        <w:t xml:space="preserve">) paredzētie noziedzīgie nodarījumi, proti, 26,9 % no kopumā visiem reģistrētajiem noziedzīgajiem nodarījumiem (sk. tabulu </w:t>
      </w:r>
      <w:r w:rsidRPr="00AE2D94">
        <w:rPr>
          <w:b/>
          <w:bCs/>
        </w:rPr>
        <w:t>Pielikumā Nr.1 – 7.lpp.</w:t>
      </w:r>
      <w:r>
        <w:t>), lai gan salīdzinājumā ar 2018.gadu vērojams to samazinājums par 5,1 %.</w:t>
      </w:r>
    </w:p>
    <w:p w14:paraId="3743D71C" w14:textId="77777777" w:rsidR="000E6C6C" w:rsidRDefault="000E6C6C" w:rsidP="000E6C6C">
      <w:pPr>
        <w:spacing w:after="0"/>
        <w:ind w:firstLine="720"/>
        <w:jc w:val="both"/>
      </w:pPr>
    </w:p>
    <w:p w14:paraId="626C37C7" w14:textId="22929C89" w:rsidR="00C052F3" w:rsidRDefault="00C052F3" w:rsidP="000E6C6C">
      <w:pPr>
        <w:spacing w:after="0"/>
        <w:ind w:firstLine="720"/>
        <w:jc w:val="both"/>
        <w:rPr>
          <w:iCs/>
        </w:rPr>
      </w:pPr>
      <w:bookmarkStart w:id="3" w:name="_Hlk505855421"/>
      <w:r>
        <w:lastRenderedPageBreak/>
        <w:t>Salīdzinājumā ar 2018.gada statistiku novērojams tīšu slepkavību un to mēģinājumu skaita samazinājums</w:t>
      </w:r>
      <w:r w:rsidRPr="00D1498D">
        <w:t xml:space="preserve"> par </w:t>
      </w:r>
      <w:bookmarkEnd w:id="3"/>
      <w:r>
        <w:t>4 noziegumiem</w:t>
      </w:r>
      <w:r w:rsidRPr="00D1498D">
        <w:t xml:space="preserve"> </w:t>
      </w:r>
      <w:r>
        <w:t>jeb</w:t>
      </w:r>
      <w:r w:rsidRPr="00D1498D">
        <w:t xml:space="preserve"> </w:t>
      </w:r>
      <w:r>
        <w:t xml:space="preserve">5,1 </w:t>
      </w:r>
      <w:r w:rsidRPr="00D1498D">
        <w:t>%.</w:t>
      </w:r>
      <w:r>
        <w:t xml:space="preserve"> </w:t>
      </w:r>
      <w:r w:rsidRPr="00D1498D">
        <w:rPr>
          <w:iCs/>
        </w:rPr>
        <w:t xml:space="preserve">No </w:t>
      </w:r>
      <w:r>
        <w:rPr>
          <w:iCs/>
        </w:rPr>
        <w:t xml:space="preserve">šīm </w:t>
      </w:r>
      <w:r w:rsidRPr="00D1498D">
        <w:rPr>
          <w:iCs/>
        </w:rPr>
        <w:t>atskaites gadā reģistrētajām slepkavībām un to mēģinājumiem (K</w:t>
      </w:r>
      <w:r>
        <w:rPr>
          <w:iCs/>
        </w:rPr>
        <w:t xml:space="preserve">L </w:t>
      </w:r>
      <w:r w:rsidRPr="00D1498D">
        <w:rPr>
          <w:iCs/>
        </w:rPr>
        <w:t>116.-118.p</w:t>
      </w:r>
      <w:r>
        <w:rPr>
          <w:iCs/>
        </w:rPr>
        <w:t>ants</w:t>
      </w:r>
      <w:r w:rsidRPr="00D1498D">
        <w:rPr>
          <w:iCs/>
        </w:rPr>
        <w:t>)</w:t>
      </w:r>
      <w:r>
        <w:rPr>
          <w:iCs/>
        </w:rPr>
        <w:t xml:space="preserve"> kriminālvajāšanas uzsākšanai 2019.gadā nodots 31 kriminālprocess </w:t>
      </w:r>
      <w:r>
        <w:t xml:space="preserve">(sk. tabulu </w:t>
      </w:r>
      <w:r w:rsidRPr="00AE2D94">
        <w:rPr>
          <w:b/>
          <w:bCs/>
        </w:rPr>
        <w:t>Pielikumā Nr.1 – 8.lpp.</w:t>
      </w:r>
      <w:r>
        <w:t>)</w:t>
      </w:r>
      <w:r>
        <w:rPr>
          <w:iCs/>
        </w:rPr>
        <w:t>. Jānorāda, ka 2019.gadā papildus minētajam 31 kriminālprocesam kriminālvajāšanas uzsākšanai nodoti vēl 32 šīs kategorijas kriminālprocesi, kas uzsākti pirms 2019.gada.</w:t>
      </w:r>
    </w:p>
    <w:p w14:paraId="6D8BF687" w14:textId="77777777" w:rsidR="000E6C6C" w:rsidRDefault="000E6C6C" w:rsidP="000E6C6C">
      <w:pPr>
        <w:spacing w:after="0"/>
        <w:ind w:firstLine="720"/>
        <w:jc w:val="both"/>
        <w:rPr>
          <w:iCs/>
        </w:rPr>
      </w:pPr>
    </w:p>
    <w:p w14:paraId="6CA4B870" w14:textId="67F96530" w:rsidR="00C052F3" w:rsidRDefault="00C052F3" w:rsidP="000E6C6C">
      <w:pPr>
        <w:spacing w:after="0"/>
        <w:ind w:firstLine="720"/>
        <w:jc w:val="both"/>
        <w:rPr>
          <w:iCs/>
        </w:rPr>
      </w:pPr>
      <w:r>
        <w:rPr>
          <w:iCs/>
        </w:rPr>
        <w:t>Neskatoties uz to, ka skaitliski 2019.gadā no šajā gadā uzsāktajiem kriminālprocesiem  kriminālvajāšanai nodots par vienu kriminālprocesu mazāk nekā 2018.gadā, analizējot slepkavību un to mēģinājumu atklāšanas koeficientu, redzams, ka pēdējos gados attiecībā uz atklātām slepkavību un to mēģinājumu lietām novērojams procentuāli minimāls pieaugums –  2019.gadā tas ir par</w:t>
      </w:r>
      <w:r w:rsidRPr="00D1498D">
        <w:rPr>
          <w:iCs/>
        </w:rPr>
        <w:t xml:space="preserve"> </w:t>
      </w:r>
      <w:r>
        <w:rPr>
          <w:iCs/>
        </w:rPr>
        <w:t xml:space="preserve">0,8 </w:t>
      </w:r>
      <w:r w:rsidRPr="00D1498D">
        <w:rPr>
          <w:iCs/>
        </w:rPr>
        <w:t>%</w:t>
      </w:r>
      <w:r>
        <w:rPr>
          <w:iCs/>
        </w:rPr>
        <w:t xml:space="preserve"> lielāks nekā iepriekšējā gadā. </w:t>
      </w:r>
      <w:r>
        <w:rPr>
          <w:bCs/>
        </w:rPr>
        <w:t xml:space="preserve">Apskatot vēsturiski arī par iepriekšējiem gadiem tīšu slepkavību un to mēģinājumu skaitu, nav novērojamas izteiktas tendences samazināties vai palielināties to skaitam tieši pēdējos gados, jo redzams, ka 2018.gadā bijis pieaugums par 5, bet 2019.gadā savukārt atkal samazinājums par 4 slepkavībām un to mēģinājumiem </w:t>
      </w:r>
      <w:r>
        <w:t xml:space="preserve">(sk. tabulu </w:t>
      </w:r>
      <w:r w:rsidRPr="0093796F">
        <w:rPr>
          <w:b/>
          <w:bCs/>
        </w:rPr>
        <w:t>Pielikumā Nr.1 – 9.lpp.</w:t>
      </w:r>
      <w:r>
        <w:t>)</w:t>
      </w:r>
      <w:r>
        <w:rPr>
          <w:iCs/>
        </w:rPr>
        <w:t>.</w:t>
      </w:r>
    </w:p>
    <w:p w14:paraId="65ABDAD8" w14:textId="77777777" w:rsidR="000E6C6C" w:rsidRPr="002A076A" w:rsidRDefault="000E6C6C" w:rsidP="000E6C6C">
      <w:pPr>
        <w:spacing w:after="0"/>
        <w:ind w:firstLine="720"/>
        <w:jc w:val="both"/>
        <w:rPr>
          <w:bCs/>
        </w:rPr>
      </w:pPr>
    </w:p>
    <w:p w14:paraId="06449727" w14:textId="2DDD8620" w:rsidR="00C052F3" w:rsidRDefault="00C052F3" w:rsidP="000E6C6C">
      <w:pPr>
        <w:spacing w:after="0"/>
        <w:ind w:firstLine="720"/>
        <w:jc w:val="both"/>
      </w:pPr>
      <w:r>
        <w:t xml:space="preserve">Pozitīvs rādītājs vērojams attiecībā uz valstī reģistrētajām zādzībām lielā apmērā un/vai organizētā grupā (KL 175.panta ceturtā daļa), proti, 2019.gadā to </w:t>
      </w:r>
      <w:r w:rsidRPr="00D1498D">
        <w:t xml:space="preserve">samazinājums </w:t>
      </w:r>
      <w:r>
        <w:t xml:space="preserve">ir </w:t>
      </w:r>
      <w:r w:rsidRPr="00D1498D">
        <w:t xml:space="preserve">par </w:t>
      </w:r>
      <w:r>
        <w:t>59 zādzībām jeb</w:t>
      </w:r>
      <w:r w:rsidRPr="00D1498D">
        <w:t xml:space="preserve"> 29</w:t>
      </w:r>
      <w:r>
        <w:t xml:space="preserve">,1 </w:t>
      </w:r>
      <w:r w:rsidRPr="00D1498D">
        <w:t>%</w:t>
      </w:r>
      <w:r>
        <w:t xml:space="preserve">, līdz ar to gan 2018.gadā, gan 2019.gadā ir būtiski samazinājušies minētās kategorijas sevišķi smagie noziegumi. Arī reģistrēto noziedzīgo nodarījumu, kas saistīti ar </w:t>
      </w:r>
      <w:r w:rsidRPr="005D242B">
        <w:t>narkotisko un psihotropo vielu neatļaut</w:t>
      </w:r>
      <w:r>
        <w:t>u</w:t>
      </w:r>
      <w:r w:rsidRPr="005D242B">
        <w:t xml:space="preserve"> izgatavošan</w:t>
      </w:r>
      <w:r>
        <w:t>u</w:t>
      </w:r>
      <w:r w:rsidRPr="005D242B">
        <w:t>, iegādāšan</w:t>
      </w:r>
      <w:r>
        <w:t>os</w:t>
      </w:r>
      <w:r w:rsidRPr="005D242B">
        <w:t>, glabāšan</w:t>
      </w:r>
      <w:r>
        <w:t>u</w:t>
      </w:r>
      <w:r w:rsidRPr="005D242B">
        <w:t>, pārvadāšan</w:t>
      </w:r>
      <w:r>
        <w:t>u</w:t>
      </w:r>
      <w:r w:rsidRPr="005D242B">
        <w:t xml:space="preserve"> un pārsūtīšan</w:t>
      </w:r>
      <w:r>
        <w:t>u</w:t>
      </w:r>
      <w:r w:rsidRPr="005D242B">
        <w:t xml:space="preserve"> realizācijas nolūkā un neatļaut</w:t>
      </w:r>
      <w:r>
        <w:t>u</w:t>
      </w:r>
      <w:r w:rsidRPr="005D242B">
        <w:t xml:space="preserve"> realizēšan</w:t>
      </w:r>
      <w:r>
        <w:t>u (KL 253.</w:t>
      </w:r>
      <w:r>
        <w:rPr>
          <w:vertAlign w:val="superscript"/>
        </w:rPr>
        <w:t xml:space="preserve">1 </w:t>
      </w:r>
      <w:r>
        <w:t>panta otrā un trešā daļa), samazinājums ir par 10 %, kā arī noziedzīgie nodarījumi, kas saitīti ar n</w:t>
      </w:r>
      <w:r w:rsidRPr="00F67032">
        <w:t>arkotisko un psihotropo vielu neatļaut</w:t>
      </w:r>
      <w:r>
        <w:t>u</w:t>
      </w:r>
      <w:r w:rsidRPr="00F67032">
        <w:t xml:space="preserve"> izgatavošan</w:t>
      </w:r>
      <w:r>
        <w:t>u</w:t>
      </w:r>
      <w:r w:rsidRPr="00F67032">
        <w:t>, iegādāšan</w:t>
      </w:r>
      <w:r>
        <w:t>o</w:t>
      </w:r>
      <w:r w:rsidRPr="00F67032">
        <w:t>s, glabāšan</w:t>
      </w:r>
      <w:r>
        <w:t>u</w:t>
      </w:r>
      <w:r w:rsidRPr="00F67032">
        <w:t>, pārvadāšan</w:t>
      </w:r>
      <w:r>
        <w:t>u</w:t>
      </w:r>
      <w:r w:rsidRPr="00F67032">
        <w:t xml:space="preserve"> un pārsūtīšan</w:t>
      </w:r>
      <w:r>
        <w:t>u</w:t>
      </w:r>
      <w:r w:rsidRPr="00F67032">
        <w:t xml:space="preserve"> personu grupā vai lielā apmērā bez nolūka tās realizēt (tikai KL 253.p</w:t>
      </w:r>
      <w:r>
        <w:t xml:space="preserve">anta otrā </w:t>
      </w:r>
      <w:r w:rsidRPr="00F67032">
        <w:t>d</w:t>
      </w:r>
      <w:r>
        <w:t>aļa</w:t>
      </w:r>
      <w:r w:rsidRPr="00F67032">
        <w:t>)</w:t>
      </w:r>
      <w:r>
        <w:t xml:space="preserve">, 2019.gadā reģistrēti par </w:t>
      </w:r>
      <w:r>
        <w:rPr>
          <w:bCs/>
        </w:rPr>
        <w:t>12 noziedzīgajiem nodarījumiem mazāk nekā 2018.gadā jeb samazinājusies par</w:t>
      </w:r>
      <w:r w:rsidRPr="00D1498D">
        <w:rPr>
          <w:bCs/>
        </w:rPr>
        <w:t xml:space="preserve"> </w:t>
      </w:r>
      <w:r>
        <w:rPr>
          <w:bCs/>
        </w:rPr>
        <w:t xml:space="preserve">8,7 </w:t>
      </w:r>
      <w:r w:rsidRPr="00D1498D">
        <w:rPr>
          <w:bCs/>
        </w:rPr>
        <w:t>%</w:t>
      </w:r>
      <w:r>
        <w:rPr>
          <w:bCs/>
        </w:rPr>
        <w:t xml:space="preserve">. </w:t>
      </w:r>
      <w:r>
        <w:t>Negatīvs rādītājs fiksēts par reģistrētajiem noziedzīgajiem nodarījumiem, kas saistīti ar krāpšanu, ja tā izdarīta lielā apmērā vai ja to izdarījusi organizēta grupa (KL 177.panta trešā daļa), proti, to skaits ir pieaudzis</w:t>
      </w:r>
      <w:r w:rsidRPr="00D1498D">
        <w:t xml:space="preserve"> par</w:t>
      </w:r>
      <w:r>
        <w:t xml:space="preserve"> 13 noziedzīgajiem nodarījumiem</w:t>
      </w:r>
      <w:r w:rsidRPr="00D1498D">
        <w:t xml:space="preserve"> </w:t>
      </w:r>
      <w:r>
        <w:t>jeb</w:t>
      </w:r>
      <w:r w:rsidRPr="00D1498D">
        <w:t xml:space="preserve"> </w:t>
      </w:r>
      <w:r>
        <w:t xml:space="preserve">8 </w:t>
      </w:r>
      <w:r w:rsidRPr="00D1498D">
        <w:t>%</w:t>
      </w:r>
      <w:r>
        <w:t>. Savukārt noziedzīgie nodarījumi, kas kvalificēti kā p</w:t>
      </w:r>
      <w:r w:rsidRPr="00B71ACC">
        <w:t>iesavināšanās lielā apmērā</w:t>
      </w:r>
      <w:r>
        <w:t xml:space="preserve"> vai pēc citas kvalificējošās pazīmes, kas paredzēta KL</w:t>
      </w:r>
      <w:r w:rsidRPr="00B71ACC">
        <w:t xml:space="preserve"> 179.p</w:t>
      </w:r>
      <w:r>
        <w:t>anta trešajā daļā, reģistrēti ievērojami retāk – samazinājums</w:t>
      </w:r>
      <w:r w:rsidRPr="00D1498D">
        <w:t xml:space="preserve"> par </w:t>
      </w:r>
      <w:r>
        <w:t>99</w:t>
      </w:r>
      <w:r w:rsidRPr="00D1498D">
        <w:t xml:space="preserve"> </w:t>
      </w:r>
      <w:r>
        <w:t>noziedzīgajiem nodarījumiem jeb</w:t>
      </w:r>
      <w:r w:rsidRPr="00D1498D">
        <w:t xml:space="preserve"> </w:t>
      </w:r>
      <w:r>
        <w:t xml:space="preserve">63,5 </w:t>
      </w:r>
      <w:r w:rsidRPr="00F67032">
        <w:t xml:space="preserve">%. </w:t>
      </w:r>
      <w:r>
        <w:t>Tāpat samazinājies arī reģistrēto n</w:t>
      </w:r>
      <w:r>
        <w:rPr>
          <w:bCs/>
        </w:rPr>
        <w:t>oziedzīgo nodarījumu, kas paredzēti KL 160.panta otrajā līdz sestajā daļā (</w:t>
      </w:r>
      <w:r w:rsidRPr="00A9138B">
        <w:rPr>
          <w:bCs/>
          <w:i/>
          <w:iCs/>
        </w:rPr>
        <w:t>seksuālā vardarbība</w:t>
      </w:r>
      <w:r>
        <w:rPr>
          <w:bCs/>
        </w:rPr>
        <w:t xml:space="preserve">), skaits par 8 noziedzīgajiem nodarījumiem jeb </w:t>
      </w:r>
      <w:r w:rsidR="004B1668">
        <w:rPr>
          <w:bCs/>
        </w:rPr>
        <w:t>6,3</w:t>
      </w:r>
      <w:r>
        <w:rPr>
          <w:bCs/>
        </w:rPr>
        <w:t xml:space="preserve"> %.</w:t>
      </w:r>
      <w:r w:rsidRPr="00F447FA">
        <w:t xml:space="preserve"> </w:t>
      </w:r>
      <w:r>
        <w:t xml:space="preserve">Turpretī negatīva tendence novērojama attiecībā uz reģistrētajiem </w:t>
      </w:r>
      <w:r w:rsidRPr="00AD6838">
        <w:rPr>
          <w:bCs/>
        </w:rPr>
        <w:t>noziedzīg</w:t>
      </w:r>
      <w:r>
        <w:rPr>
          <w:bCs/>
        </w:rPr>
        <w:t>ajiem</w:t>
      </w:r>
      <w:r w:rsidRPr="00AD6838">
        <w:rPr>
          <w:bCs/>
        </w:rPr>
        <w:t xml:space="preserve"> nodarījumi</w:t>
      </w:r>
      <w:r>
        <w:rPr>
          <w:bCs/>
        </w:rPr>
        <w:t>em</w:t>
      </w:r>
      <w:r w:rsidRPr="00AD6838">
        <w:rPr>
          <w:bCs/>
        </w:rPr>
        <w:t>, kas saistīti ar preču un vielu, kuru aprite ir aizliegta vai speciāli reglamentēta, pārvietošanu pāri Latvijas Republikas valsts robežai lielā apmērā vai organizētā grupā</w:t>
      </w:r>
      <w:r>
        <w:rPr>
          <w:bCs/>
        </w:rPr>
        <w:t xml:space="preserve"> (</w:t>
      </w:r>
      <w:r w:rsidRPr="00F447FA">
        <w:rPr>
          <w:bCs/>
        </w:rPr>
        <w:t>K</w:t>
      </w:r>
      <w:r>
        <w:rPr>
          <w:bCs/>
        </w:rPr>
        <w:t>L</w:t>
      </w:r>
      <w:r w:rsidRPr="00F447FA">
        <w:rPr>
          <w:bCs/>
        </w:rPr>
        <w:t xml:space="preserve"> 190.</w:t>
      </w:r>
      <w:r w:rsidRPr="00890B05">
        <w:rPr>
          <w:bCs/>
          <w:vertAlign w:val="superscript"/>
        </w:rPr>
        <w:t>1</w:t>
      </w:r>
      <w:r>
        <w:rPr>
          <w:bCs/>
        </w:rPr>
        <w:t xml:space="preserve"> </w:t>
      </w:r>
      <w:r w:rsidRPr="00F447FA">
        <w:rPr>
          <w:bCs/>
        </w:rPr>
        <w:t xml:space="preserve">panta </w:t>
      </w:r>
      <w:r>
        <w:rPr>
          <w:bCs/>
        </w:rPr>
        <w:t>otrā</w:t>
      </w:r>
      <w:r w:rsidRPr="00F447FA">
        <w:rPr>
          <w:bCs/>
        </w:rPr>
        <w:t xml:space="preserve"> un </w:t>
      </w:r>
      <w:r>
        <w:rPr>
          <w:bCs/>
        </w:rPr>
        <w:t xml:space="preserve">trešā </w:t>
      </w:r>
      <w:r w:rsidRPr="00F447FA">
        <w:rPr>
          <w:bCs/>
        </w:rPr>
        <w:t>d</w:t>
      </w:r>
      <w:r>
        <w:rPr>
          <w:bCs/>
        </w:rPr>
        <w:t>aļa</w:t>
      </w:r>
      <w:r w:rsidRPr="00F447FA">
        <w:rPr>
          <w:bCs/>
        </w:rPr>
        <w:t>)</w:t>
      </w:r>
      <w:r>
        <w:rPr>
          <w:bCs/>
        </w:rPr>
        <w:t xml:space="preserve">, proti, 2019.gadā to skaits, tāpat kā 2018.gadā, ir turpinājis pieaugt un </w:t>
      </w:r>
      <w:r>
        <w:t>palielinājies</w:t>
      </w:r>
      <w:r w:rsidRPr="00D1498D">
        <w:t xml:space="preserve"> par</w:t>
      </w:r>
      <w:r>
        <w:t xml:space="preserve"> 16</w:t>
      </w:r>
      <w:r w:rsidRPr="00D1498D">
        <w:t xml:space="preserve"> </w:t>
      </w:r>
      <w:r>
        <w:t>noziedzīgajiem nodarījumiem jeb</w:t>
      </w:r>
      <w:r w:rsidRPr="00D1498D">
        <w:t xml:space="preserve"> </w:t>
      </w:r>
      <w:r>
        <w:t xml:space="preserve">20 </w:t>
      </w:r>
      <w:r w:rsidRPr="00D1498D">
        <w:t>%</w:t>
      </w:r>
      <w:r>
        <w:t xml:space="preserve">. 2019.gadā vērojams neliels reģistrēto KL 125.panta otrajā un trešajā daļā paredzēto noziedzīgo nodarījumu </w:t>
      </w:r>
      <w:r w:rsidRPr="00D1498D">
        <w:t>pieaugums</w:t>
      </w:r>
      <w:r>
        <w:t xml:space="preserve"> (</w:t>
      </w:r>
      <w:r w:rsidRPr="00F447FA">
        <w:rPr>
          <w:i/>
          <w:iCs/>
        </w:rPr>
        <w:t>tīši smagi miesas bojājumi</w:t>
      </w:r>
      <w:r>
        <w:t>). Salīdzinot ar 2018.gadu, to skaits šogad ir palielinājies</w:t>
      </w:r>
      <w:r w:rsidRPr="00D1498D">
        <w:t xml:space="preserve"> par </w:t>
      </w:r>
      <w:r>
        <w:t>4 noziedzīgajiem nodarījumiem</w:t>
      </w:r>
      <w:r w:rsidRPr="00D1498D">
        <w:t xml:space="preserve"> </w:t>
      </w:r>
      <w:r>
        <w:t>jeb</w:t>
      </w:r>
      <w:r w:rsidRPr="00D1498D">
        <w:t xml:space="preserve"> </w:t>
      </w:r>
      <w:r>
        <w:t xml:space="preserve">5,6 </w:t>
      </w:r>
      <w:r w:rsidRPr="00D1498D">
        <w:t>%</w:t>
      </w:r>
      <w:r w:rsidR="00AE2DCF">
        <w:t>.</w:t>
      </w:r>
      <w:r>
        <w:t xml:space="preserve"> </w:t>
      </w:r>
    </w:p>
    <w:p w14:paraId="10676D64" w14:textId="665BFD38" w:rsidR="00C052F3" w:rsidRDefault="00C052F3" w:rsidP="00AE2DCF">
      <w:pPr>
        <w:spacing w:after="0"/>
        <w:ind w:firstLine="720"/>
        <w:jc w:val="both"/>
      </w:pPr>
      <w:r>
        <w:t>Lielākas izmaiņas novērojamas attiecībā uz KL 195.panta trešajā daļā paredzētā noziedzīgā nodarījuma rādītājiem (</w:t>
      </w:r>
      <w:r w:rsidRPr="00F447FA">
        <w:rPr>
          <w:i/>
          <w:iCs/>
        </w:rPr>
        <w:t>noziedzīgi iegūtu līdzekļu legalizēšana lielā apmērā vai ja to izdarījusi organizēta grupa</w:t>
      </w:r>
      <w:r>
        <w:t xml:space="preserve">), proti, 2019.gadā būtiski </w:t>
      </w:r>
      <w:r w:rsidRPr="00D1498D">
        <w:t>pieau</w:t>
      </w:r>
      <w:r>
        <w:t>dzis reģistrēto šo noziedzīgo nodarījumu skaits -</w:t>
      </w:r>
      <w:r w:rsidRPr="00D1498D">
        <w:t xml:space="preserve"> par </w:t>
      </w:r>
      <w:r>
        <w:t>110</w:t>
      </w:r>
      <w:r w:rsidRPr="00D1498D">
        <w:t xml:space="preserve"> </w:t>
      </w:r>
      <w:r>
        <w:t>noziedzīgajiem nodarījumiem jeb</w:t>
      </w:r>
      <w:r w:rsidRPr="00D1498D">
        <w:t xml:space="preserve"> </w:t>
      </w:r>
      <w:r>
        <w:t xml:space="preserve">86 </w:t>
      </w:r>
      <w:r w:rsidRPr="00D1498D">
        <w:t>%</w:t>
      </w:r>
      <w:r>
        <w:t xml:space="preserve"> (sk. </w:t>
      </w:r>
      <w:r w:rsidRPr="000B0BB5">
        <w:t>tabulu</w:t>
      </w:r>
      <w:r w:rsidRPr="00F70E85">
        <w:rPr>
          <w:b/>
          <w:bCs/>
        </w:rPr>
        <w:t xml:space="preserve"> Pielikumā Nr.1 – 10.lpp.</w:t>
      </w:r>
      <w:r>
        <w:t>).</w:t>
      </w:r>
    </w:p>
    <w:p w14:paraId="720E3A10" w14:textId="77777777" w:rsidR="000E6C6C" w:rsidRPr="00D1498D" w:rsidRDefault="000E6C6C" w:rsidP="000E6C6C">
      <w:pPr>
        <w:spacing w:after="0"/>
        <w:ind w:firstLine="720"/>
        <w:jc w:val="both"/>
      </w:pPr>
    </w:p>
    <w:p w14:paraId="35E0D7F1" w14:textId="77777777" w:rsidR="002E1F22" w:rsidRDefault="00C052F3" w:rsidP="002E1F22">
      <w:pPr>
        <w:spacing w:after="0"/>
        <w:ind w:firstLine="720"/>
        <w:jc w:val="both"/>
        <w:rPr>
          <w:bCs/>
        </w:rPr>
      </w:pPr>
      <w:r>
        <w:t>Reģistrēto i</w:t>
      </w:r>
      <w:r w:rsidRPr="009D20E2">
        <w:t>zvarošanu (K</w:t>
      </w:r>
      <w:r>
        <w:t>L</w:t>
      </w:r>
      <w:r w:rsidRPr="009D20E2">
        <w:t xml:space="preserve"> 159.pants)</w:t>
      </w:r>
      <w:r w:rsidR="002E1F22" w:rsidRPr="002E1F22">
        <w:t xml:space="preserve"> </w:t>
      </w:r>
      <w:r w:rsidR="002E1F22" w:rsidRPr="009D20E2">
        <w:t>skaits</w:t>
      </w:r>
      <w:r w:rsidRPr="009D20E2">
        <w:t xml:space="preserve"> 2019.gadā pieaudzis par 14 </w:t>
      </w:r>
      <w:r>
        <w:t>noziedzīgajiem nodarījumiem</w:t>
      </w:r>
      <w:r w:rsidRPr="009D20E2">
        <w:t xml:space="preserve"> jeb 19,7 %</w:t>
      </w:r>
      <w:r>
        <w:t xml:space="preserve"> un</w:t>
      </w:r>
      <w:r w:rsidRPr="009D20E2">
        <w:t xml:space="preserve"> </w:t>
      </w:r>
      <w:r w:rsidRPr="004B3F49">
        <w:t xml:space="preserve">no 2016.gada ir tendence pieaugt ik gadu, kamēr </w:t>
      </w:r>
      <w:r>
        <w:t xml:space="preserve">KL 160.pantā </w:t>
      </w:r>
      <w:r>
        <w:lastRenderedPageBreak/>
        <w:t>paredzētie noziedzīgie nodarījumi par seksuālu vardarbību</w:t>
      </w:r>
      <w:r w:rsidR="002E1F22">
        <w:t xml:space="preserve"> </w:t>
      </w:r>
      <w:r>
        <w:t>2019.gadā, salīdzinot ar 2018.gadu, reģistrēti</w:t>
      </w:r>
      <w:r w:rsidRPr="004B3F49">
        <w:t xml:space="preserve"> par 5 </w:t>
      </w:r>
      <w:r>
        <w:t xml:space="preserve">noziedzīgajiem nodarījumiem </w:t>
      </w:r>
      <w:r w:rsidRPr="004B3F49">
        <w:t>jeb 3,8 %</w:t>
      </w:r>
      <w:r>
        <w:t xml:space="preserve"> mazāk</w:t>
      </w:r>
      <w:r w:rsidRPr="004B3F49">
        <w:t xml:space="preserve">. </w:t>
      </w:r>
      <w:r>
        <w:t xml:space="preserve">Tāpat </w:t>
      </w:r>
      <w:r w:rsidRPr="004B3F49">
        <w:t>par 8</w:t>
      </w:r>
      <w:r>
        <w:t xml:space="preserve"> noziedzīgajiem nodarījumiem</w:t>
      </w:r>
      <w:r w:rsidRPr="004B3F49">
        <w:t xml:space="preserve"> jeb 16 %</w:t>
      </w:r>
      <w:r>
        <w:t xml:space="preserve"> mazāk 2019.gadā, salīdzinot ar 2018.gadu, reģistrēti KL 161.pantā paredzētie noziedzīgie nodarījumi par s</w:t>
      </w:r>
      <w:r w:rsidRPr="004B3F49">
        <w:t>eksuāla rakstura darbīb</w:t>
      </w:r>
      <w:r>
        <w:t xml:space="preserve">ām </w:t>
      </w:r>
      <w:r w:rsidRPr="004B3F49">
        <w:t xml:space="preserve">ar personu, kura nav sasniegusi sešpadsmit gadu vecumu. </w:t>
      </w:r>
      <w:r>
        <w:t>Turpretī reģistrēto p</w:t>
      </w:r>
      <w:r w:rsidRPr="004B3F49">
        <w:t>avešana</w:t>
      </w:r>
      <w:r>
        <w:t>s</w:t>
      </w:r>
      <w:r w:rsidRPr="004B3F49">
        <w:t xml:space="preserve"> netiklībā (K</w:t>
      </w:r>
      <w:r>
        <w:t>L</w:t>
      </w:r>
      <w:r w:rsidRPr="004B3F49">
        <w:t xml:space="preserve"> 162.pants) </w:t>
      </w:r>
      <w:r>
        <w:t xml:space="preserve">noziedzīgo nodarījumu skaits </w:t>
      </w:r>
      <w:r w:rsidRPr="004B3F49">
        <w:t>pieaudzis par</w:t>
      </w:r>
      <w:r w:rsidRPr="00D1498D">
        <w:rPr>
          <w:bCs/>
        </w:rPr>
        <w:t xml:space="preserve"> </w:t>
      </w:r>
      <w:r>
        <w:rPr>
          <w:bCs/>
        </w:rPr>
        <w:t>7</w:t>
      </w:r>
      <w:r w:rsidRPr="00D1498D">
        <w:rPr>
          <w:bCs/>
        </w:rPr>
        <w:t xml:space="preserve"> </w:t>
      </w:r>
      <w:r>
        <w:t>noziedzīgajiem nodarījumiem</w:t>
      </w:r>
      <w:r w:rsidRPr="004B3F49">
        <w:t xml:space="preserve"> </w:t>
      </w:r>
      <w:r>
        <w:rPr>
          <w:bCs/>
        </w:rPr>
        <w:t>jeb</w:t>
      </w:r>
      <w:r w:rsidRPr="00D1498D">
        <w:rPr>
          <w:bCs/>
        </w:rPr>
        <w:t xml:space="preserve"> </w:t>
      </w:r>
      <w:r>
        <w:rPr>
          <w:bCs/>
        </w:rPr>
        <w:t xml:space="preserve">11,5 </w:t>
      </w:r>
      <w:r w:rsidRPr="00D1498D">
        <w:rPr>
          <w:bCs/>
        </w:rPr>
        <w:t>%</w:t>
      </w:r>
      <w:r>
        <w:rPr>
          <w:bCs/>
        </w:rPr>
        <w:t>, bet pamudināšanas iesaistīties seksuālās darbībās (</w:t>
      </w:r>
      <w:r w:rsidRPr="004B3F49">
        <w:rPr>
          <w:bCs/>
        </w:rPr>
        <w:t>K</w:t>
      </w:r>
      <w:r>
        <w:rPr>
          <w:bCs/>
        </w:rPr>
        <w:t>L</w:t>
      </w:r>
      <w:r w:rsidRPr="004B3F49">
        <w:rPr>
          <w:bCs/>
        </w:rPr>
        <w:t xml:space="preserve"> 162.</w:t>
      </w:r>
      <w:r w:rsidRPr="004B3F49">
        <w:rPr>
          <w:bCs/>
          <w:vertAlign w:val="superscript"/>
        </w:rPr>
        <w:t>1</w:t>
      </w:r>
      <w:r w:rsidRPr="004B3F49">
        <w:rPr>
          <w:bCs/>
        </w:rPr>
        <w:t xml:space="preserve"> pants)</w:t>
      </w:r>
      <w:r>
        <w:rPr>
          <w:bCs/>
        </w:rPr>
        <w:t xml:space="preserve"> noziedzīgo nodarījumu – par 10 noziedzīgajiem nodarījumiem jeb 31,3</w:t>
      </w:r>
      <w:r w:rsidRPr="00D1498D">
        <w:rPr>
          <w:bCs/>
        </w:rPr>
        <w:t>%</w:t>
      </w:r>
      <w:r>
        <w:rPr>
          <w:bCs/>
        </w:rPr>
        <w:t>, salīdzinot ar 2018.gadu, kā arī redzama tendence no 2016.gada pieaugt ik gadu.</w:t>
      </w:r>
    </w:p>
    <w:p w14:paraId="20A82F96" w14:textId="6E07A20E" w:rsidR="00C052F3" w:rsidRPr="002E1F22" w:rsidRDefault="00C052F3" w:rsidP="002E1F22">
      <w:pPr>
        <w:spacing w:after="0"/>
        <w:ind w:firstLine="720"/>
        <w:jc w:val="both"/>
        <w:rPr>
          <w:bCs/>
        </w:rPr>
      </w:pPr>
      <w:r>
        <w:rPr>
          <w:bCs/>
        </w:rPr>
        <w:t>Kopumā attiecībā uz reģistrētajiem noziedzīgajiem nodarījumiem pret tikumību un dzimumneaizskaramību vērojama negatīva tendence, proti, 2019.gadā reģistrēti</w:t>
      </w:r>
      <w:r w:rsidRPr="00D1498D">
        <w:rPr>
          <w:bCs/>
        </w:rPr>
        <w:t xml:space="preserve"> par </w:t>
      </w:r>
      <w:r>
        <w:rPr>
          <w:bCs/>
        </w:rPr>
        <w:t>18</w:t>
      </w:r>
      <w:r w:rsidRPr="00D1498D">
        <w:rPr>
          <w:bCs/>
        </w:rPr>
        <w:t xml:space="preserve"> </w:t>
      </w:r>
      <w:r>
        <w:rPr>
          <w:bCs/>
        </w:rPr>
        <w:t>jeb</w:t>
      </w:r>
      <w:r w:rsidRPr="00D1498D">
        <w:rPr>
          <w:bCs/>
        </w:rPr>
        <w:t xml:space="preserve"> </w:t>
      </w:r>
      <w:r>
        <w:rPr>
          <w:bCs/>
        </w:rPr>
        <w:t xml:space="preserve">5,2 </w:t>
      </w:r>
      <w:r w:rsidRPr="00D1498D">
        <w:rPr>
          <w:bCs/>
        </w:rPr>
        <w:t>%</w:t>
      </w:r>
      <w:r>
        <w:rPr>
          <w:bCs/>
        </w:rPr>
        <w:t xml:space="preserve"> vairāk šādu noziedzīgu nodarījumu. Tāpat arī negatīva tendence vērojama jau no 2016.gada, kad ar katru gadu fiksēti arvien vairāk </w:t>
      </w:r>
      <w:r w:rsidRPr="002267DA">
        <w:rPr>
          <w:bCs/>
          <w:szCs w:val="24"/>
        </w:rPr>
        <w:t>KL 159.- 162</w:t>
      </w:r>
      <w:r>
        <w:rPr>
          <w:bCs/>
          <w:szCs w:val="24"/>
        </w:rPr>
        <w:t>.</w:t>
      </w:r>
      <w:r w:rsidRPr="002267DA">
        <w:rPr>
          <w:bCs/>
          <w:szCs w:val="24"/>
          <w:vertAlign w:val="superscript"/>
        </w:rPr>
        <w:t>1</w:t>
      </w:r>
      <w:r>
        <w:rPr>
          <w:bCs/>
          <w:szCs w:val="24"/>
          <w:vertAlign w:val="superscript"/>
        </w:rPr>
        <w:t xml:space="preserve"> </w:t>
      </w:r>
      <w:r w:rsidRPr="002267DA">
        <w:rPr>
          <w:bCs/>
          <w:szCs w:val="24"/>
        </w:rPr>
        <w:t>pantā</w:t>
      </w:r>
      <w:r>
        <w:rPr>
          <w:bCs/>
          <w:szCs w:val="24"/>
        </w:rPr>
        <w:t xml:space="preserve"> paredzētie noziedzīgie nodarījumi </w:t>
      </w:r>
      <w:r>
        <w:t xml:space="preserve">(sk. tabulu </w:t>
      </w:r>
      <w:r w:rsidRPr="007E3569">
        <w:rPr>
          <w:b/>
          <w:bCs/>
        </w:rPr>
        <w:t>Pielikumā Nr.1 – 11.lpp.</w:t>
      </w:r>
      <w:r>
        <w:t>).</w:t>
      </w:r>
    </w:p>
    <w:p w14:paraId="579D8308" w14:textId="77777777" w:rsidR="000E6C6C" w:rsidRPr="00D1498D" w:rsidRDefault="000E6C6C" w:rsidP="000E6C6C">
      <w:pPr>
        <w:spacing w:after="0"/>
        <w:ind w:firstLine="720"/>
        <w:jc w:val="both"/>
        <w:rPr>
          <w:bCs/>
        </w:rPr>
      </w:pPr>
    </w:p>
    <w:p w14:paraId="6F365725" w14:textId="2E242F99" w:rsidR="00C052F3" w:rsidRDefault="00C052F3" w:rsidP="00C052F3">
      <w:pPr>
        <w:spacing w:after="0"/>
        <w:ind w:firstLine="720"/>
        <w:jc w:val="both"/>
        <w:rPr>
          <w:bCs/>
        </w:rPr>
      </w:pPr>
      <w:bookmarkStart w:id="4" w:name="_Hlk33613227"/>
      <w:r>
        <w:t>Attiecībā uz</w:t>
      </w:r>
      <w:r w:rsidRPr="00387122">
        <w:t xml:space="preserve"> noziedzīg</w:t>
      </w:r>
      <w:r>
        <w:t>ajiem</w:t>
      </w:r>
      <w:r w:rsidRPr="00387122">
        <w:t xml:space="preserve"> nodarījumi</w:t>
      </w:r>
      <w:r>
        <w:t>em</w:t>
      </w:r>
      <w:r w:rsidRPr="00387122">
        <w:t xml:space="preserve"> pret tikumību un dzimumneaizskaramību, ja tie izdarīti ar personu, kura nav sasniegusi 16 gadu vecumu</w:t>
      </w:r>
      <w:bookmarkEnd w:id="4"/>
      <w:r w:rsidRPr="00387122">
        <w:t xml:space="preserve">, redzams, ka 2019.gadā būtiski pieaudzis </w:t>
      </w:r>
      <w:r>
        <w:t xml:space="preserve">reģistrēto </w:t>
      </w:r>
      <w:r>
        <w:rPr>
          <w:bCs/>
        </w:rPr>
        <w:t>KL 159.panta trešajā daļā</w:t>
      </w:r>
      <w:r>
        <w:t xml:space="preserve"> paredzēto noziedzīgo nodarījumu </w:t>
      </w:r>
      <w:r w:rsidRPr="00387122">
        <w:t>skaits, proti, salīdzinājumā ar 2018.gadu to skaits ir pieaudzis par 10</w:t>
      </w:r>
      <w:r>
        <w:t xml:space="preserve"> noziedzīgajiem nodarījumiem</w:t>
      </w:r>
      <w:r w:rsidRPr="00387122">
        <w:t xml:space="preserve"> jeb</w:t>
      </w:r>
      <w:r w:rsidRPr="00D1498D">
        <w:rPr>
          <w:bCs/>
        </w:rPr>
        <w:t xml:space="preserve"> </w:t>
      </w:r>
      <w:r>
        <w:rPr>
          <w:bCs/>
        </w:rPr>
        <w:t>55</w:t>
      </w:r>
      <w:r w:rsidRPr="00D1498D">
        <w:rPr>
          <w:bCs/>
        </w:rPr>
        <w:t>,6</w:t>
      </w:r>
      <w:r>
        <w:rPr>
          <w:bCs/>
        </w:rPr>
        <w:t xml:space="preserve"> </w:t>
      </w:r>
      <w:r w:rsidRPr="00D1498D">
        <w:rPr>
          <w:bCs/>
        </w:rPr>
        <w:t>%</w:t>
      </w:r>
      <w:r>
        <w:rPr>
          <w:bCs/>
        </w:rPr>
        <w:t>, tas ir, vairāk nekā uz pusi. Noziedzīgie nodarījumi par seksuālu vardarbību (KL 160.panta ceturtā un sestā daļa) 2019.gadā reģistrēti</w:t>
      </w:r>
      <w:r w:rsidRPr="007D4EEF">
        <w:rPr>
          <w:bCs/>
        </w:rPr>
        <w:t xml:space="preserve"> </w:t>
      </w:r>
      <w:r w:rsidRPr="00D1498D">
        <w:rPr>
          <w:bCs/>
        </w:rPr>
        <w:t xml:space="preserve">par </w:t>
      </w:r>
      <w:r>
        <w:rPr>
          <w:bCs/>
        </w:rPr>
        <w:t>6 noziedzīgajiem nodarījumiem</w:t>
      </w:r>
      <w:r w:rsidRPr="00D1498D">
        <w:rPr>
          <w:bCs/>
        </w:rPr>
        <w:t xml:space="preserve"> </w:t>
      </w:r>
      <w:r>
        <w:rPr>
          <w:bCs/>
        </w:rPr>
        <w:t>jeb</w:t>
      </w:r>
      <w:r w:rsidRPr="00D1498D">
        <w:rPr>
          <w:bCs/>
        </w:rPr>
        <w:t xml:space="preserve"> </w:t>
      </w:r>
      <w:r>
        <w:rPr>
          <w:bCs/>
        </w:rPr>
        <w:t xml:space="preserve">6,6 </w:t>
      </w:r>
      <w:r w:rsidRPr="00D1498D">
        <w:rPr>
          <w:bCs/>
        </w:rPr>
        <w:t>%</w:t>
      </w:r>
      <w:r>
        <w:rPr>
          <w:bCs/>
        </w:rPr>
        <w:t xml:space="preserve"> mazāk, bet noziedzīgie nodarījumi par seksuāla rakstura darbībām ar </w:t>
      </w:r>
      <w:r w:rsidRPr="00387122">
        <w:rPr>
          <w:bCs/>
        </w:rPr>
        <w:t>personu, kura nav sasniegusi sešpadsmit gadu vecumu (K</w:t>
      </w:r>
      <w:r>
        <w:rPr>
          <w:bCs/>
        </w:rPr>
        <w:t>L</w:t>
      </w:r>
      <w:r w:rsidRPr="00387122">
        <w:rPr>
          <w:bCs/>
        </w:rPr>
        <w:t xml:space="preserve"> 161.p</w:t>
      </w:r>
      <w:r>
        <w:rPr>
          <w:bCs/>
        </w:rPr>
        <w:t>ants</w:t>
      </w:r>
      <w:r w:rsidRPr="00387122">
        <w:rPr>
          <w:bCs/>
        </w:rPr>
        <w:t>)</w:t>
      </w:r>
      <w:r>
        <w:rPr>
          <w:bCs/>
        </w:rPr>
        <w:t>,</w:t>
      </w:r>
      <w:r w:rsidRPr="00387122">
        <w:rPr>
          <w:bCs/>
        </w:rPr>
        <w:t xml:space="preserve"> reģistrēt</w:t>
      </w:r>
      <w:r>
        <w:rPr>
          <w:bCs/>
        </w:rPr>
        <w:t>i</w:t>
      </w:r>
      <w:r w:rsidRPr="00387122">
        <w:rPr>
          <w:bCs/>
        </w:rPr>
        <w:t xml:space="preserve"> par 8 </w:t>
      </w:r>
      <w:r>
        <w:rPr>
          <w:bCs/>
        </w:rPr>
        <w:t xml:space="preserve">noziedzīgajiem nodarījumiem </w:t>
      </w:r>
      <w:r w:rsidRPr="00387122">
        <w:rPr>
          <w:bCs/>
        </w:rPr>
        <w:t xml:space="preserve">jeb 16 % mazāk. </w:t>
      </w:r>
      <w:r>
        <w:rPr>
          <w:bCs/>
        </w:rPr>
        <w:t>Turklāt p</w:t>
      </w:r>
      <w:r w:rsidRPr="00387122">
        <w:rPr>
          <w:bCs/>
        </w:rPr>
        <w:t>avešana netiklībā (</w:t>
      </w:r>
      <w:r>
        <w:rPr>
          <w:bCs/>
        </w:rPr>
        <w:t xml:space="preserve">KL </w:t>
      </w:r>
      <w:r w:rsidRPr="00387122">
        <w:rPr>
          <w:bCs/>
        </w:rPr>
        <w:t>162.pants) reģistrēta par 7 noziedzīgajiem nodarījumiem jeb 11,5 %</w:t>
      </w:r>
      <w:r w:rsidRPr="004F045B">
        <w:rPr>
          <w:bCs/>
        </w:rPr>
        <w:t xml:space="preserve"> </w:t>
      </w:r>
      <w:r w:rsidRPr="00387122">
        <w:rPr>
          <w:bCs/>
        </w:rPr>
        <w:t>vairāk. Būtiski pieaudzis to reģistrēto noziedzīgo nodarījumu skaits, kas saistīt</w:t>
      </w:r>
      <w:r>
        <w:rPr>
          <w:bCs/>
        </w:rPr>
        <w:t>i</w:t>
      </w:r>
      <w:r w:rsidRPr="00387122">
        <w:rPr>
          <w:bCs/>
        </w:rPr>
        <w:t xml:space="preserve"> ar pamudināšanu iesaistīties seksuālās darbībās (K</w:t>
      </w:r>
      <w:r>
        <w:rPr>
          <w:bCs/>
        </w:rPr>
        <w:t>L</w:t>
      </w:r>
      <w:r w:rsidRPr="00387122">
        <w:rPr>
          <w:bCs/>
        </w:rPr>
        <w:t xml:space="preserve"> 16</w:t>
      </w:r>
      <w:r>
        <w:rPr>
          <w:bCs/>
        </w:rPr>
        <w:t>2.</w:t>
      </w:r>
      <w:r w:rsidRPr="004F045B">
        <w:rPr>
          <w:bCs/>
          <w:vertAlign w:val="superscript"/>
        </w:rPr>
        <w:t>1</w:t>
      </w:r>
      <w:r w:rsidRPr="00387122">
        <w:rPr>
          <w:bCs/>
        </w:rPr>
        <w:t xml:space="preserve"> pants), proti, par 10 </w:t>
      </w:r>
      <w:r>
        <w:rPr>
          <w:bCs/>
        </w:rPr>
        <w:t xml:space="preserve">noziedzīgajiem nodarījumiem </w:t>
      </w:r>
      <w:r w:rsidRPr="00387122">
        <w:rPr>
          <w:bCs/>
        </w:rPr>
        <w:t>jeb 31,3</w:t>
      </w:r>
      <w:r w:rsidR="00F24881">
        <w:rPr>
          <w:bCs/>
        </w:rPr>
        <w:t xml:space="preserve"> </w:t>
      </w:r>
      <w:r w:rsidRPr="00387122">
        <w:rPr>
          <w:bCs/>
        </w:rPr>
        <w:t>%</w:t>
      </w:r>
      <w:r>
        <w:rPr>
          <w:bCs/>
        </w:rPr>
        <w:t xml:space="preserve">, kā arī </w:t>
      </w:r>
      <w:r w:rsidRPr="00387122">
        <w:rPr>
          <w:bCs/>
        </w:rPr>
        <w:t>redzams, ka no 2016.gada šiem no</w:t>
      </w:r>
      <w:r>
        <w:rPr>
          <w:bCs/>
        </w:rPr>
        <w:t>ziedzīgajiem nodarījumiem</w:t>
      </w:r>
      <w:r w:rsidRPr="00387122">
        <w:rPr>
          <w:bCs/>
        </w:rPr>
        <w:t xml:space="preserve"> ir tendence ar katru gadu pieaugt.</w:t>
      </w:r>
      <w:r>
        <w:rPr>
          <w:bCs/>
        </w:rPr>
        <w:t xml:space="preserve"> </w:t>
      </w:r>
    </w:p>
    <w:p w14:paraId="12BA157D" w14:textId="7580E9C4" w:rsidR="00C052F3" w:rsidRDefault="00C052F3" w:rsidP="006A2DA3">
      <w:pPr>
        <w:spacing w:after="0"/>
        <w:ind w:firstLine="720"/>
        <w:jc w:val="both"/>
        <w:rPr>
          <w:bCs/>
        </w:rPr>
      </w:pPr>
      <w:r>
        <w:rPr>
          <w:bCs/>
        </w:rPr>
        <w:t xml:space="preserve">Rezumējot, secināms, ka 2019.gadā reģistrēto </w:t>
      </w:r>
      <w:r w:rsidRPr="00666B02">
        <w:rPr>
          <w:bCs/>
        </w:rPr>
        <w:t>noziedzīg</w:t>
      </w:r>
      <w:r>
        <w:rPr>
          <w:bCs/>
        </w:rPr>
        <w:t>o</w:t>
      </w:r>
      <w:r w:rsidRPr="00666B02">
        <w:rPr>
          <w:bCs/>
        </w:rPr>
        <w:t xml:space="preserve"> nodarījum</w:t>
      </w:r>
      <w:r>
        <w:rPr>
          <w:bCs/>
        </w:rPr>
        <w:t>u</w:t>
      </w:r>
      <w:r w:rsidRPr="00666B02">
        <w:rPr>
          <w:bCs/>
        </w:rPr>
        <w:t xml:space="preserve"> pret tikumību un dzimumneaizskaramību, ja tie izdarīti ar personu, kura nav sasniegusi 16 gadu vecumu</w:t>
      </w:r>
      <w:r>
        <w:rPr>
          <w:bCs/>
        </w:rPr>
        <w:t>, kopējais skaits ir pieaudzis</w:t>
      </w:r>
      <w:r w:rsidRPr="00666B02">
        <w:rPr>
          <w:bCs/>
        </w:rPr>
        <w:t xml:space="preserve"> </w:t>
      </w:r>
      <w:r w:rsidRPr="00D1498D">
        <w:rPr>
          <w:bCs/>
        </w:rPr>
        <w:t xml:space="preserve">par </w:t>
      </w:r>
      <w:r>
        <w:rPr>
          <w:bCs/>
        </w:rPr>
        <w:t xml:space="preserve">13 noziedzīgajiem nodarījumiem jeb 5,2 </w:t>
      </w:r>
      <w:r w:rsidRPr="00D1498D">
        <w:rPr>
          <w:bCs/>
        </w:rPr>
        <w:t>%</w:t>
      </w:r>
      <w:r>
        <w:rPr>
          <w:bCs/>
        </w:rPr>
        <w:t xml:space="preserve">, kā arī redzams, ka šī negatīvā tendence vērojama jau no 2016.gada, kad katru gadu reģistrēto šo noziedzīgo nodarījumu skaits palielinās </w:t>
      </w:r>
      <w:r>
        <w:t xml:space="preserve">(sk. tabulu </w:t>
      </w:r>
      <w:r w:rsidRPr="002D1588">
        <w:rPr>
          <w:b/>
          <w:bCs/>
        </w:rPr>
        <w:t>Pielikumā Nr.1 – 12.lpp.</w:t>
      </w:r>
      <w:r>
        <w:t>)</w:t>
      </w:r>
      <w:r>
        <w:rPr>
          <w:bCs/>
        </w:rPr>
        <w:t>.</w:t>
      </w:r>
    </w:p>
    <w:p w14:paraId="7E9903E6" w14:textId="77777777" w:rsidR="006A2DA3" w:rsidRDefault="006A2DA3" w:rsidP="006A2DA3">
      <w:pPr>
        <w:spacing w:after="0"/>
        <w:ind w:firstLine="720"/>
        <w:jc w:val="both"/>
        <w:rPr>
          <w:bCs/>
        </w:rPr>
      </w:pPr>
    </w:p>
    <w:p w14:paraId="64316454" w14:textId="77777777" w:rsidR="005D0922" w:rsidRDefault="00774494" w:rsidP="005D0922">
      <w:pPr>
        <w:spacing w:after="0"/>
        <w:ind w:firstLine="720"/>
        <w:jc w:val="both"/>
        <w:rPr>
          <w:bCs/>
        </w:rPr>
      </w:pPr>
      <w:r>
        <w:rPr>
          <w:bCs/>
        </w:rPr>
        <w:t xml:space="preserve">2019.gadā salīdzinājumā ar 2018.gadu </w:t>
      </w:r>
      <w:r w:rsidR="005D0922">
        <w:rPr>
          <w:bCs/>
        </w:rPr>
        <w:t xml:space="preserve">reģistrēto </w:t>
      </w:r>
      <w:r>
        <w:rPr>
          <w:bCs/>
        </w:rPr>
        <w:t xml:space="preserve">noziedzīgo nodarījumu, kas saistīti </w:t>
      </w:r>
      <w:r w:rsidRPr="00284128">
        <w:rPr>
          <w:bCs/>
        </w:rPr>
        <w:t>ar korupciju valsts institūciju dienestā (KL 320.-323.p</w:t>
      </w:r>
      <w:r w:rsidR="005D0922">
        <w:rPr>
          <w:bCs/>
        </w:rPr>
        <w:t>ants</w:t>
      </w:r>
      <w:r w:rsidRPr="00284128">
        <w:rPr>
          <w:bCs/>
        </w:rPr>
        <w:t>)</w:t>
      </w:r>
      <w:r>
        <w:rPr>
          <w:bCs/>
        </w:rPr>
        <w:t>, skaits ir samazinājies</w:t>
      </w:r>
      <w:r w:rsidRPr="00D1498D">
        <w:rPr>
          <w:bCs/>
        </w:rPr>
        <w:t xml:space="preserve"> par </w:t>
      </w:r>
      <w:r>
        <w:rPr>
          <w:bCs/>
        </w:rPr>
        <w:t>35</w:t>
      </w:r>
      <w:r w:rsidRPr="00D1498D">
        <w:rPr>
          <w:bCs/>
        </w:rPr>
        <w:t xml:space="preserve"> </w:t>
      </w:r>
      <w:r w:rsidR="005D0922">
        <w:rPr>
          <w:bCs/>
        </w:rPr>
        <w:t xml:space="preserve">noziedzīgajiem nodarījumiem </w:t>
      </w:r>
      <w:r>
        <w:rPr>
          <w:bCs/>
        </w:rPr>
        <w:t>jeb</w:t>
      </w:r>
      <w:r w:rsidRPr="00D1498D">
        <w:rPr>
          <w:bCs/>
        </w:rPr>
        <w:t xml:space="preserve"> </w:t>
      </w:r>
      <w:r>
        <w:rPr>
          <w:bCs/>
        </w:rPr>
        <w:t xml:space="preserve">23,3 </w:t>
      </w:r>
      <w:r w:rsidRPr="00D1498D">
        <w:rPr>
          <w:bCs/>
        </w:rPr>
        <w:t>%</w:t>
      </w:r>
      <w:r>
        <w:rPr>
          <w:bCs/>
        </w:rPr>
        <w:t>.</w:t>
      </w:r>
      <w:r w:rsidRPr="00774494">
        <w:rPr>
          <w:iCs/>
        </w:rPr>
        <w:t xml:space="preserve"> </w:t>
      </w:r>
      <w:r>
        <w:rPr>
          <w:iCs/>
        </w:rPr>
        <w:t xml:space="preserve">Attiecīgi </w:t>
      </w:r>
      <w:r w:rsidRPr="00D1498D">
        <w:rPr>
          <w:iCs/>
        </w:rPr>
        <w:t xml:space="preserve">par </w:t>
      </w:r>
      <w:r>
        <w:rPr>
          <w:iCs/>
        </w:rPr>
        <w:t>23</w:t>
      </w:r>
      <w:r w:rsidR="005D0922">
        <w:rPr>
          <w:iCs/>
        </w:rPr>
        <w:t xml:space="preserve"> noziedzīgajiem nodarījumiem</w:t>
      </w:r>
      <w:r w:rsidRPr="00D1498D">
        <w:rPr>
          <w:iCs/>
        </w:rPr>
        <w:t xml:space="preserve"> </w:t>
      </w:r>
      <w:r>
        <w:rPr>
          <w:iCs/>
        </w:rPr>
        <w:t>jeb</w:t>
      </w:r>
      <w:r w:rsidRPr="00D1498D">
        <w:rPr>
          <w:iCs/>
        </w:rPr>
        <w:t xml:space="preserve"> </w:t>
      </w:r>
      <w:r>
        <w:rPr>
          <w:iCs/>
        </w:rPr>
        <w:t xml:space="preserve">22,5 </w:t>
      </w:r>
      <w:r w:rsidRPr="00D1498D">
        <w:rPr>
          <w:iCs/>
        </w:rPr>
        <w:t>%</w:t>
      </w:r>
      <w:r>
        <w:rPr>
          <w:iCs/>
        </w:rPr>
        <w:t xml:space="preserve"> </w:t>
      </w:r>
      <w:r w:rsidRPr="00D1498D">
        <w:rPr>
          <w:iCs/>
        </w:rPr>
        <w:t>samazināj</w:t>
      </w:r>
      <w:r w:rsidR="005D0922">
        <w:rPr>
          <w:iCs/>
        </w:rPr>
        <w:t>ies</w:t>
      </w:r>
      <w:r>
        <w:rPr>
          <w:iCs/>
        </w:rPr>
        <w:t xml:space="preserve"> reģistrēto noziedzīgo nodarījumu skaits pēc KL 323.panta (</w:t>
      </w:r>
      <w:r w:rsidRPr="00774494">
        <w:rPr>
          <w:i/>
        </w:rPr>
        <w:t>kukuļdošana</w:t>
      </w:r>
      <w:r>
        <w:rPr>
          <w:iCs/>
        </w:rPr>
        <w:t>).</w:t>
      </w:r>
      <w:r w:rsidR="005D0922">
        <w:rPr>
          <w:bCs/>
        </w:rPr>
        <w:t xml:space="preserve"> </w:t>
      </w:r>
    </w:p>
    <w:p w14:paraId="69A46594" w14:textId="293FEC36" w:rsidR="00D1498D" w:rsidRDefault="00263674" w:rsidP="000E6C6C">
      <w:pPr>
        <w:spacing w:after="0"/>
        <w:ind w:firstLine="720"/>
        <w:jc w:val="both"/>
        <w:rPr>
          <w:bCs/>
        </w:rPr>
      </w:pPr>
      <w:r>
        <w:rPr>
          <w:bCs/>
        </w:rPr>
        <w:t xml:space="preserve">Ņemot vērā, ka kopumā ir samazinājies reģistrēto </w:t>
      </w:r>
      <w:r w:rsidR="001C407B" w:rsidRPr="00263674">
        <w:rPr>
          <w:bCs/>
        </w:rPr>
        <w:t>ar korupciju valsts institūciju dienestā</w:t>
      </w:r>
      <w:r w:rsidR="001C407B">
        <w:rPr>
          <w:bCs/>
        </w:rPr>
        <w:t xml:space="preserve"> </w:t>
      </w:r>
      <w:r w:rsidR="001C407B" w:rsidRPr="00263674">
        <w:rPr>
          <w:bCs/>
        </w:rPr>
        <w:t>saistīt</w:t>
      </w:r>
      <w:r w:rsidR="001C407B">
        <w:rPr>
          <w:bCs/>
        </w:rPr>
        <w:t>o</w:t>
      </w:r>
      <w:r w:rsidR="001C407B" w:rsidRPr="00263674">
        <w:rPr>
          <w:bCs/>
        </w:rPr>
        <w:t xml:space="preserve"> noziedzīg</w:t>
      </w:r>
      <w:r w:rsidR="001C407B">
        <w:rPr>
          <w:bCs/>
        </w:rPr>
        <w:t>o</w:t>
      </w:r>
      <w:r w:rsidR="001C407B" w:rsidRPr="00263674">
        <w:rPr>
          <w:bCs/>
        </w:rPr>
        <w:t xml:space="preserve"> nodarījum</w:t>
      </w:r>
      <w:r w:rsidR="001C407B">
        <w:rPr>
          <w:bCs/>
        </w:rPr>
        <w:t>u</w:t>
      </w:r>
      <w:r w:rsidR="001C407B" w:rsidRPr="00263674">
        <w:rPr>
          <w:bCs/>
        </w:rPr>
        <w:t xml:space="preserve"> </w:t>
      </w:r>
      <w:r>
        <w:rPr>
          <w:bCs/>
        </w:rPr>
        <w:t>skaits</w:t>
      </w:r>
      <w:r w:rsidR="00436295">
        <w:rPr>
          <w:bCs/>
        </w:rPr>
        <w:t>, tad</w:t>
      </w:r>
      <w:r w:rsidR="0008661E">
        <w:rPr>
          <w:bCs/>
        </w:rPr>
        <w:t>, salīdzinot ar 2018.gadu,</w:t>
      </w:r>
      <w:r>
        <w:rPr>
          <w:bCs/>
        </w:rPr>
        <w:t xml:space="preserve"> </w:t>
      </w:r>
      <w:r w:rsidR="00D1498D" w:rsidRPr="00D1498D">
        <w:rPr>
          <w:bCs/>
        </w:rPr>
        <w:t>samazin</w:t>
      </w:r>
      <w:r w:rsidR="001C407B">
        <w:rPr>
          <w:bCs/>
        </w:rPr>
        <w:t>ājies</w:t>
      </w:r>
      <w:r w:rsidR="0008661E">
        <w:rPr>
          <w:bCs/>
        </w:rPr>
        <w:t xml:space="preserve"> </w:t>
      </w:r>
      <w:r w:rsidR="00436295">
        <w:rPr>
          <w:bCs/>
        </w:rPr>
        <w:t xml:space="preserve">arī pabeigto </w:t>
      </w:r>
      <w:r w:rsidR="00D62DDD">
        <w:rPr>
          <w:bCs/>
        </w:rPr>
        <w:t xml:space="preserve">pirmstiesas </w:t>
      </w:r>
      <w:r w:rsidR="00436295">
        <w:rPr>
          <w:bCs/>
        </w:rPr>
        <w:t xml:space="preserve">kriminālprocesu </w:t>
      </w:r>
      <w:r w:rsidR="00373871">
        <w:rPr>
          <w:bCs/>
        </w:rPr>
        <w:t xml:space="preserve">par šīs kategorijas noziedzīgajiem nodarījumiem </w:t>
      </w:r>
      <w:r w:rsidR="00436295">
        <w:rPr>
          <w:bCs/>
        </w:rPr>
        <w:t>skait</w:t>
      </w:r>
      <w:r w:rsidR="001C407B">
        <w:rPr>
          <w:bCs/>
        </w:rPr>
        <w:t>s</w:t>
      </w:r>
      <w:r w:rsidR="00436295">
        <w:rPr>
          <w:bCs/>
        </w:rPr>
        <w:t>, proti,</w:t>
      </w:r>
      <w:r w:rsidR="00D1498D" w:rsidRPr="00D1498D">
        <w:rPr>
          <w:bCs/>
        </w:rPr>
        <w:t xml:space="preserve"> par </w:t>
      </w:r>
      <w:r w:rsidR="000F24D0">
        <w:rPr>
          <w:bCs/>
        </w:rPr>
        <w:t>25</w:t>
      </w:r>
      <w:r w:rsidR="00D1498D" w:rsidRPr="00D1498D">
        <w:rPr>
          <w:bCs/>
        </w:rPr>
        <w:t xml:space="preserve"> </w:t>
      </w:r>
      <w:r w:rsidR="0008661E">
        <w:rPr>
          <w:bCs/>
        </w:rPr>
        <w:t xml:space="preserve">kriminālprocesiem </w:t>
      </w:r>
      <w:r w:rsidR="000F24D0">
        <w:rPr>
          <w:bCs/>
        </w:rPr>
        <w:t>jeb</w:t>
      </w:r>
      <w:r w:rsidR="00D1498D" w:rsidRPr="00D1498D">
        <w:rPr>
          <w:bCs/>
        </w:rPr>
        <w:t xml:space="preserve"> 2</w:t>
      </w:r>
      <w:r w:rsidR="000F24D0">
        <w:rPr>
          <w:bCs/>
        </w:rPr>
        <w:t xml:space="preserve">7,5 </w:t>
      </w:r>
      <w:r w:rsidR="00D1498D" w:rsidRPr="00D1498D">
        <w:rPr>
          <w:bCs/>
        </w:rPr>
        <w:t>%</w:t>
      </w:r>
      <w:r w:rsidR="00436295">
        <w:rPr>
          <w:bCs/>
        </w:rPr>
        <w:t>.</w:t>
      </w:r>
      <w:r w:rsidR="0008661E">
        <w:rPr>
          <w:bCs/>
        </w:rPr>
        <w:t xml:space="preserve"> </w:t>
      </w:r>
      <w:r w:rsidR="00B14B47">
        <w:rPr>
          <w:bCs/>
        </w:rPr>
        <w:t xml:space="preserve">Tāpat arī apsūdzēto personu </w:t>
      </w:r>
      <w:r w:rsidR="0008661E">
        <w:rPr>
          <w:bCs/>
        </w:rPr>
        <w:t xml:space="preserve">par šīs kategorijas noziedzīgajiem nodarījumiem </w:t>
      </w:r>
      <w:r w:rsidR="00B14B47">
        <w:rPr>
          <w:bCs/>
        </w:rPr>
        <w:t xml:space="preserve">skaits </w:t>
      </w:r>
      <w:r w:rsidR="00D1498D" w:rsidRPr="00D1498D">
        <w:rPr>
          <w:bCs/>
        </w:rPr>
        <w:t>samazināj</w:t>
      </w:r>
      <w:r w:rsidR="00B14B47">
        <w:rPr>
          <w:bCs/>
        </w:rPr>
        <w:t>ie</w:t>
      </w:r>
      <w:r w:rsidR="00D1498D" w:rsidRPr="00D1498D">
        <w:rPr>
          <w:bCs/>
        </w:rPr>
        <w:t xml:space="preserve">s par </w:t>
      </w:r>
      <w:r w:rsidR="000F24D0">
        <w:rPr>
          <w:bCs/>
        </w:rPr>
        <w:t>33</w:t>
      </w:r>
      <w:r w:rsidR="00D1498D" w:rsidRPr="00D1498D">
        <w:rPr>
          <w:bCs/>
        </w:rPr>
        <w:t xml:space="preserve"> </w:t>
      </w:r>
      <w:r w:rsidR="0008661E">
        <w:rPr>
          <w:bCs/>
        </w:rPr>
        <w:t xml:space="preserve">apsūdzētajām personām </w:t>
      </w:r>
      <w:r w:rsidR="000F24D0">
        <w:rPr>
          <w:bCs/>
        </w:rPr>
        <w:t>jeb</w:t>
      </w:r>
      <w:r w:rsidR="00D1498D" w:rsidRPr="00D1498D">
        <w:rPr>
          <w:bCs/>
        </w:rPr>
        <w:t xml:space="preserve"> 3</w:t>
      </w:r>
      <w:r w:rsidR="000F24D0">
        <w:rPr>
          <w:bCs/>
        </w:rPr>
        <w:t>1</w:t>
      </w:r>
      <w:r w:rsidR="00D1498D" w:rsidRPr="00D1498D">
        <w:rPr>
          <w:bCs/>
        </w:rPr>
        <w:t>,</w:t>
      </w:r>
      <w:r w:rsidR="000F24D0">
        <w:rPr>
          <w:bCs/>
        </w:rPr>
        <w:t xml:space="preserve">7 </w:t>
      </w:r>
      <w:r w:rsidR="00D1498D" w:rsidRPr="00D1498D">
        <w:rPr>
          <w:bCs/>
        </w:rPr>
        <w:t>%</w:t>
      </w:r>
      <w:r w:rsidR="00774494">
        <w:rPr>
          <w:bCs/>
        </w:rPr>
        <w:t xml:space="preserve"> </w:t>
      </w:r>
      <w:r w:rsidR="00774494">
        <w:t xml:space="preserve">(sk. tabulu </w:t>
      </w:r>
      <w:r w:rsidR="00774494" w:rsidRPr="0008661E">
        <w:rPr>
          <w:b/>
          <w:bCs/>
        </w:rPr>
        <w:t>Pielikumā Nr.1 – 13.lpp.</w:t>
      </w:r>
      <w:r w:rsidR="00774494">
        <w:t>)</w:t>
      </w:r>
      <w:r w:rsidR="00B14B47">
        <w:rPr>
          <w:bCs/>
        </w:rPr>
        <w:t>.</w:t>
      </w:r>
    </w:p>
    <w:p w14:paraId="3E1EB53E" w14:textId="77777777" w:rsidR="000E6C6C" w:rsidRDefault="000E6C6C" w:rsidP="000E6C6C">
      <w:pPr>
        <w:spacing w:after="0"/>
        <w:ind w:firstLine="720"/>
        <w:jc w:val="both"/>
        <w:rPr>
          <w:bCs/>
        </w:rPr>
      </w:pPr>
    </w:p>
    <w:p w14:paraId="19556297" w14:textId="266F563D" w:rsidR="00C90B31" w:rsidRDefault="00C90B31" w:rsidP="00196D32">
      <w:pPr>
        <w:spacing w:after="0"/>
        <w:ind w:firstLine="720"/>
        <w:jc w:val="both"/>
      </w:pPr>
      <w:r>
        <w:t xml:space="preserve">2019.gadā </w:t>
      </w:r>
      <w:r w:rsidR="00D62DDD">
        <w:t xml:space="preserve">reģistrēto </w:t>
      </w:r>
      <w:r>
        <w:t>n</w:t>
      </w:r>
      <w:r w:rsidRPr="00815ABC">
        <w:t>oziedzīg</w:t>
      </w:r>
      <w:r w:rsidR="00D62DDD">
        <w:t>o</w:t>
      </w:r>
      <w:r w:rsidRPr="00815ABC">
        <w:t xml:space="preserve"> nodarījum</w:t>
      </w:r>
      <w:r w:rsidR="00D62DDD">
        <w:t>u</w:t>
      </w:r>
      <w:r w:rsidRPr="00815ABC">
        <w:t>, kas saistīti ar narkotiskajām, psihotropajām vai jaunām psihoaktīvām vielām (KL 248.</w:t>
      </w:r>
      <w:r w:rsidRPr="000E6C6C">
        <w:rPr>
          <w:vertAlign w:val="superscript"/>
        </w:rPr>
        <w:t>1</w:t>
      </w:r>
      <w:r w:rsidRPr="00815ABC">
        <w:t xml:space="preserve"> p. - 256.p</w:t>
      </w:r>
      <w:r w:rsidR="000E6C6C">
        <w:t>ants</w:t>
      </w:r>
      <w:r w:rsidRPr="00815ABC">
        <w:t>)</w:t>
      </w:r>
      <w:r>
        <w:t xml:space="preserve">, </w:t>
      </w:r>
      <w:r w:rsidR="00D62DDD">
        <w:t xml:space="preserve">skaits </w:t>
      </w:r>
      <w:r>
        <w:t>salīdzinājumā ar 2018.gadu ir samazināj</w:t>
      </w:r>
      <w:r w:rsidR="00D62DDD">
        <w:t>ies</w:t>
      </w:r>
      <w:r w:rsidRPr="00D1498D">
        <w:t xml:space="preserve"> par </w:t>
      </w:r>
      <w:r>
        <w:t>257</w:t>
      </w:r>
      <w:r w:rsidR="00D62DDD">
        <w:t xml:space="preserve"> noziedzīgajiem nodarījumiem</w:t>
      </w:r>
      <w:r w:rsidRPr="00D1498D">
        <w:t xml:space="preserve"> </w:t>
      </w:r>
      <w:r>
        <w:t>jeb</w:t>
      </w:r>
      <w:r w:rsidRPr="00D1498D">
        <w:t xml:space="preserve"> </w:t>
      </w:r>
      <w:r>
        <w:t xml:space="preserve">9,6 </w:t>
      </w:r>
      <w:r w:rsidRPr="00D1498D">
        <w:t>%</w:t>
      </w:r>
      <w:r>
        <w:t xml:space="preserve">. Attiecīgi arī redzams samazinājums </w:t>
      </w:r>
      <w:r>
        <w:lastRenderedPageBreak/>
        <w:t xml:space="preserve">pabeigto </w:t>
      </w:r>
      <w:r w:rsidR="00D62DDD">
        <w:t xml:space="preserve">pirmstiesas </w:t>
      </w:r>
      <w:r>
        <w:t xml:space="preserve">kriminālprocesu un apsūdzēto personu </w:t>
      </w:r>
      <w:r w:rsidR="00196D32">
        <w:rPr>
          <w:bCs/>
        </w:rPr>
        <w:t xml:space="preserve">par šīs kategorijas noziedzīgajiem nodarījumiem </w:t>
      </w:r>
      <w:r>
        <w:t xml:space="preserve">skaitā (sk. tabulu </w:t>
      </w:r>
      <w:r w:rsidRPr="00D62DDD">
        <w:rPr>
          <w:b/>
          <w:bCs/>
        </w:rPr>
        <w:t>Pielikumā Nr.1 – 14.lpp.</w:t>
      </w:r>
      <w:r>
        <w:t>)</w:t>
      </w:r>
      <w:r>
        <w:rPr>
          <w:bCs/>
        </w:rPr>
        <w:t>.</w:t>
      </w:r>
      <w:r>
        <w:t xml:space="preserve"> </w:t>
      </w:r>
    </w:p>
    <w:p w14:paraId="5B01EF34" w14:textId="77777777" w:rsidR="00196D32" w:rsidRPr="00D1498D" w:rsidRDefault="00196D32" w:rsidP="00196D32">
      <w:pPr>
        <w:spacing w:after="0"/>
        <w:ind w:firstLine="720"/>
        <w:jc w:val="both"/>
      </w:pPr>
    </w:p>
    <w:p w14:paraId="2D0CFDCA" w14:textId="37CE4C49" w:rsidR="00C90B31" w:rsidRDefault="00C90B31" w:rsidP="00397EA6">
      <w:pPr>
        <w:spacing w:after="0"/>
        <w:ind w:firstLine="720"/>
        <w:jc w:val="both"/>
      </w:pPr>
      <w:r>
        <w:t>2019.gadā</w:t>
      </w:r>
      <w:r w:rsidR="00D9439C">
        <w:t>,</w:t>
      </w:r>
      <w:r>
        <w:t xml:space="preserve"> </w:t>
      </w:r>
      <w:r w:rsidR="00D9439C">
        <w:t xml:space="preserve">salīdzinot ar 2018.gadu, ir samazinājies reģistrēto </w:t>
      </w:r>
      <w:r>
        <w:t>n</w:t>
      </w:r>
      <w:r w:rsidRPr="007E4866">
        <w:t>oziedzīg</w:t>
      </w:r>
      <w:r w:rsidR="00D9439C">
        <w:t>o</w:t>
      </w:r>
      <w:r w:rsidRPr="007E4866">
        <w:t xml:space="preserve"> nodarījum</w:t>
      </w:r>
      <w:r w:rsidR="00D9439C">
        <w:t>u</w:t>
      </w:r>
      <w:r w:rsidRPr="007E4866">
        <w:t>, kas saistīti ar preču un vielu, kuru aprite ir aizliegta vai speciāli reglamentēta, pārvietošanu pāri Latvijas Republikas valsts robežai (KL 190.</w:t>
      </w:r>
      <w:r w:rsidR="00196D32" w:rsidRPr="00196D32">
        <w:rPr>
          <w:vertAlign w:val="superscript"/>
        </w:rPr>
        <w:t>1</w:t>
      </w:r>
      <w:r w:rsidR="00196D32">
        <w:t xml:space="preserve"> </w:t>
      </w:r>
      <w:r w:rsidRPr="007E4866">
        <w:t>pants)</w:t>
      </w:r>
      <w:r>
        <w:t xml:space="preserve">, </w:t>
      </w:r>
      <w:r w:rsidR="00D9439C">
        <w:t>skaits</w:t>
      </w:r>
      <w:r w:rsidRPr="00D1498D">
        <w:t xml:space="preserve"> par </w:t>
      </w:r>
      <w:r>
        <w:t>190</w:t>
      </w:r>
      <w:r w:rsidR="00D9439C">
        <w:t xml:space="preserve"> noziedzīgajiem nodarījumiem</w:t>
      </w:r>
      <w:r w:rsidRPr="00D1498D">
        <w:t xml:space="preserve"> </w:t>
      </w:r>
      <w:r>
        <w:t>jeb</w:t>
      </w:r>
      <w:r w:rsidRPr="00D1498D">
        <w:t xml:space="preserve"> </w:t>
      </w:r>
      <w:r>
        <w:t xml:space="preserve">18,6 </w:t>
      </w:r>
      <w:r w:rsidRPr="00D1498D">
        <w:t>%</w:t>
      </w:r>
      <w:r w:rsidR="00D9439C">
        <w:t>.</w:t>
      </w:r>
      <w:r>
        <w:t xml:space="preserve"> Neskatoties</w:t>
      </w:r>
      <w:r w:rsidR="00D67FDC">
        <w:t xml:space="preserve"> </w:t>
      </w:r>
      <w:r>
        <w:t>uz</w:t>
      </w:r>
      <w:r w:rsidR="00D67FDC">
        <w:t xml:space="preserve"> to, ka</w:t>
      </w:r>
      <w:r w:rsidR="00431547">
        <w:t xml:space="preserve"> </w:t>
      </w:r>
      <w:r w:rsidR="00D67FDC">
        <w:t>ir samazinājies reģistrēto noziedzīgo nodarījumu</w:t>
      </w:r>
      <w:r w:rsidR="00431547">
        <w:t xml:space="preserve"> </w:t>
      </w:r>
      <w:r w:rsidR="00D67FDC">
        <w:t>pēc KL 190.</w:t>
      </w:r>
      <w:r w:rsidR="00D67FDC" w:rsidRPr="00D67FDC">
        <w:rPr>
          <w:vertAlign w:val="superscript"/>
        </w:rPr>
        <w:t>1</w:t>
      </w:r>
      <w:r w:rsidR="00D67FDC">
        <w:t xml:space="preserve"> panta skaits</w:t>
      </w:r>
      <w:r w:rsidR="00431547">
        <w:t xml:space="preserve">, </w:t>
      </w:r>
      <w:r>
        <w:t xml:space="preserve">2019.gadā pabeigto </w:t>
      </w:r>
      <w:r w:rsidR="00431547">
        <w:t xml:space="preserve">pirmstiesas </w:t>
      </w:r>
      <w:r>
        <w:t>kriminālproces</w:t>
      </w:r>
      <w:r w:rsidR="00431547">
        <w:t xml:space="preserve">u par </w:t>
      </w:r>
      <w:r w:rsidR="00397EA6">
        <w:t>šiem</w:t>
      </w:r>
      <w:r w:rsidR="00D67FDC">
        <w:t xml:space="preserve"> nozie</w:t>
      </w:r>
      <w:r w:rsidR="00431547">
        <w:t>dzīg</w:t>
      </w:r>
      <w:r w:rsidR="00D67FDC">
        <w:t xml:space="preserve">ajiem </w:t>
      </w:r>
      <w:r w:rsidR="00431547">
        <w:t>nodarījum</w:t>
      </w:r>
      <w:r w:rsidR="00D67FDC">
        <w:t>iem</w:t>
      </w:r>
      <w:r w:rsidR="00431547">
        <w:t xml:space="preserve"> </w:t>
      </w:r>
      <w:r>
        <w:t xml:space="preserve">skaits salīdzinājuma ar 2018.gadu </w:t>
      </w:r>
      <w:r w:rsidR="00D67FDC">
        <w:t xml:space="preserve">ir palielinājies par </w:t>
      </w:r>
      <w:r>
        <w:t>1</w:t>
      </w:r>
      <w:r w:rsidR="00D67FDC">
        <w:t>7 kriminālprocesiem</w:t>
      </w:r>
      <w:r>
        <w:t xml:space="preserve"> jeb 21 % (sk. tabulu </w:t>
      </w:r>
      <w:r w:rsidRPr="00D67FDC">
        <w:rPr>
          <w:b/>
          <w:bCs/>
        </w:rPr>
        <w:t>Pielikumā Nr.1 – 15.lpp.</w:t>
      </w:r>
      <w:r>
        <w:t>)</w:t>
      </w:r>
      <w:r w:rsidR="00397EA6">
        <w:t>.</w:t>
      </w:r>
    </w:p>
    <w:p w14:paraId="00514EFC" w14:textId="77777777" w:rsidR="00397EA6" w:rsidRDefault="00397EA6" w:rsidP="00397EA6">
      <w:pPr>
        <w:spacing w:after="0"/>
        <w:ind w:firstLine="720"/>
        <w:jc w:val="both"/>
      </w:pPr>
    </w:p>
    <w:p w14:paraId="16CBA19C" w14:textId="19ED44AB" w:rsidR="00C90B31" w:rsidRDefault="00C90B31" w:rsidP="00EC34FE">
      <w:pPr>
        <w:spacing w:after="0"/>
        <w:ind w:firstLine="720"/>
        <w:jc w:val="both"/>
        <w:rPr>
          <w:iCs/>
        </w:rPr>
      </w:pPr>
      <w:r>
        <w:t xml:space="preserve">Kā </w:t>
      </w:r>
      <w:r w:rsidR="00492D3E">
        <w:t xml:space="preserve">jau </w:t>
      </w:r>
      <w:r w:rsidR="00397EA6">
        <w:t>tika norādīts</w:t>
      </w:r>
      <w:r>
        <w:t xml:space="preserve"> iepriekš</w:t>
      </w:r>
      <w:r w:rsidR="00492D3E">
        <w:t>,</w:t>
      </w:r>
      <w:r w:rsidR="00F24881">
        <w:t xml:space="preserve"> </w:t>
      </w:r>
      <w:r w:rsidR="00492D3E">
        <w:rPr>
          <w:iCs/>
        </w:rPr>
        <w:t xml:space="preserve">2019.gadā būtiski pieaudzis </w:t>
      </w:r>
      <w:r w:rsidR="00705CA0">
        <w:rPr>
          <w:iCs/>
        </w:rPr>
        <w:t>(</w:t>
      </w:r>
      <w:r w:rsidR="00705CA0" w:rsidRPr="00D1498D">
        <w:t xml:space="preserve">par </w:t>
      </w:r>
      <w:r w:rsidR="00705CA0">
        <w:t>110</w:t>
      </w:r>
      <w:r w:rsidR="00705CA0" w:rsidRPr="00D1498D">
        <w:t xml:space="preserve"> </w:t>
      </w:r>
      <w:r w:rsidR="00705CA0">
        <w:t>noziedzīgajiem nodarījumiem jeb</w:t>
      </w:r>
      <w:r w:rsidR="00705CA0" w:rsidRPr="00D1498D">
        <w:t xml:space="preserve"> </w:t>
      </w:r>
      <w:r w:rsidR="00705CA0">
        <w:t xml:space="preserve">86 </w:t>
      </w:r>
      <w:r w:rsidR="00705CA0" w:rsidRPr="00D1498D">
        <w:t>%</w:t>
      </w:r>
      <w:r w:rsidR="00705CA0">
        <w:t xml:space="preserve">) </w:t>
      </w:r>
      <w:r w:rsidR="00492D3E">
        <w:t xml:space="preserve">reģistrēto </w:t>
      </w:r>
      <w:r w:rsidR="004E3909">
        <w:t>noziedzīgo nodarījumu pēc KL 195.panta trešās daļas (</w:t>
      </w:r>
      <w:r w:rsidR="004E3909" w:rsidRPr="00F447FA">
        <w:rPr>
          <w:i/>
          <w:iCs/>
        </w:rPr>
        <w:t>noziedzīgi iegūtu līdzekļu legalizēšana lielā apmērā vai ja to izdarījusi organizēta grupa</w:t>
      </w:r>
      <w:r w:rsidR="004E3909">
        <w:t>) skait</w:t>
      </w:r>
      <w:r w:rsidR="00492D3E">
        <w:t>s</w:t>
      </w:r>
      <w:r w:rsidR="00F24881">
        <w:t xml:space="preserve">. Attiecīgi </w:t>
      </w:r>
      <w:r w:rsidR="00847232">
        <w:rPr>
          <w:iCs/>
        </w:rPr>
        <w:t>kopumā pēc KL 195.panta</w:t>
      </w:r>
      <w:r w:rsidR="00705CA0">
        <w:rPr>
          <w:iCs/>
        </w:rPr>
        <w:t xml:space="preserve"> pirmās, otrās un trešās daļas</w:t>
      </w:r>
      <w:r w:rsidR="00847232">
        <w:rPr>
          <w:iCs/>
        </w:rPr>
        <w:t xml:space="preserve"> </w:t>
      </w:r>
      <w:r w:rsidR="00E96115">
        <w:rPr>
          <w:iCs/>
        </w:rPr>
        <w:t xml:space="preserve">reģistrēto noziedzīgo nodarījumu </w:t>
      </w:r>
      <w:r w:rsidR="00847232">
        <w:rPr>
          <w:iCs/>
        </w:rPr>
        <w:t>skaits</w:t>
      </w:r>
      <w:r w:rsidR="001B1BBC">
        <w:rPr>
          <w:iCs/>
        </w:rPr>
        <w:t xml:space="preserve">, salīdzinot ar 2018.gadu, </w:t>
      </w:r>
      <w:r w:rsidR="00DF156F">
        <w:rPr>
          <w:iCs/>
        </w:rPr>
        <w:t xml:space="preserve">palielinājies </w:t>
      </w:r>
      <w:r w:rsidR="00847232">
        <w:rPr>
          <w:iCs/>
        </w:rPr>
        <w:t>par 139 noziedzīgajiem nodarījumiem jeb</w:t>
      </w:r>
      <w:r w:rsidR="00F24881">
        <w:rPr>
          <w:iCs/>
        </w:rPr>
        <w:t xml:space="preserve"> 70,9 </w:t>
      </w:r>
      <w:r w:rsidR="00847232">
        <w:rPr>
          <w:iCs/>
        </w:rPr>
        <w:t xml:space="preserve">%. </w:t>
      </w:r>
      <w:r w:rsidR="00F24881">
        <w:rPr>
          <w:iCs/>
        </w:rPr>
        <w:t>Līdz ar to</w:t>
      </w:r>
      <w:r>
        <w:rPr>
          <w:iCs/>
        </w:rPr>
        <w:t xml:space="preserve"> </w:t>
      </w:r>
      <w:r w:rsidR="00EC34FE">
        <w:rPr>
          <w:iCs/>
        </w:rPr>
        <w:t xml:space="preserve">2019.gadā </w:t>
      </w:r>
      <w:r w:rsidR="00DF156F">
        <w:rPr>
          <w:iCs/>
        </w:rPr>
        <w:t xml:space="preserve">būtiski pieaudzis </w:t>
      </w:r>
      <w:r w:rsidR="00F24881">
        <w:rPr>
          <w:iCs/>
        </w:rPr>
        <w:t xml:space="preserve">arī </w:t>
      </w:r>
      <w:r w:rsidR="00397EA6">
        <w:rPr>
          <w:iCs/>
        </w:rPr>
        <w:t xml:space="preserve">prokuratūrā </w:t>
      </w:r>
      <w:r>
        <w:rPr>
          <w:iCs/>
        </w:rPr>
        <w:t>saņemt</w:t>
      </w:r>
      <w:r w:rsidR="00F24881">
        <w:rPr>
          <w:iCs/>
        </w:rPr>
        <w:t>o</w:t>
      </w:r>
      <w:r>
        <w:rPr>
          <w:iCs/>
        </w:rPr>
        <w:t xml:space="preserve"> </w:t>
      </w:r>
      <w:r w:rsidR="00F24881">
        <w:rPr>
          <w:iCs/>
        </w:rPr>
        <w:t>kriminālprocesu kriminālvajāšanas uzsākšanai pēc minētā KL panta</w:t>
      </w:r>
      <w:r w:rsidR="00F24881" w:rsidRPr="00D1498D">
        <w:rPr>
          <w:iCs/>
        </w:rPr>
        <w:t xml:space="preserve"> </w:t>
      </w:r>
      <w:r w:rsidR="00EC34FE">
        <w:rPr>
          <w:iCs/>
        </w:rPr>
        <w:t xml:space="preserve">skaits </w:t>
      </w:r>
      <w:r w:rsidRPr="00D1498D">
        <w:rPr>
          <w:iCs/>
        </w:rPr>
        <w:t xml:space="preserve">par </w:t>
      </w:r>
      <w:r>
        <w:rPr>
          <w:iCs/>
        </w:rPr>
        <w:t>46</w:t>
      </w:r>
      <w:r w:rsidRPr="00D1498D">
        <w:rPr>
          <w:iCs/>
        </w:rPr>
        <w:t xml:space="preserve"> </w:t>
      </w:r>
      <w:r w:rsidR="00EC34FE">
        <w:rPr>
          <w:iCs/>
        </w:rPr>
        <w:t xml:space="preserve">kriminālprocesiem </w:t>
      </w:r>
      <w:r>
        <w:rPr>
          <w:iCs/>
        </w:rPr>
        <w:t>jeb</w:t>
      </w:r>
      <w:r w:rsidRPr="00D1498D">
        <w:rPr>
          <w:iCs/>
        </w:rPr>
        <w:t xml:space="preserve"> </w:t>
      </w:r>
      <w:r>
        <w:rPr>
          <w:iCs/>
        </w:rPr>
        <w:t xml:space="preserve">230 </w:t>
      </w:r>
      <w:r w:rsidRPr="00D1498D">
        <w:rPr>
          <w:iCs/>
        </w:rPr>
        <w:t>%</w:t>
      </w:r>
      <w:r w:rsidR="001B1BBC">
        <w:rPr>
          <w:iCs/>
        </w:rPr>
        <w:t>,</w:t>
      </w:r>
      <w:r w:rsidR="007035B6">
        <w:rPr>
          <w:iCs/>
        </w:rPr>
        <w:t xml:space="preserve"> </w:t>
      </w:r>
      <w:r>
        <w:rPr>
          <w:iCs/>
        </w:rPr>
        <w:t>uz tiesu nosūtīt</w:t>
      </w:r>
      <w:r w:rsidR="00EC34FE">
        <w:rPr>
          <w:iCs/>
        </w:rPr>
        <w:t>as</w:t>
      </w:r>
      <w:r>
        <w:rPr>
          <w:iCs/>
        </w:rPr>
        <w:t xml:space="preserve"> par </w:t>
      </w:r>
      <w:r>
        <w:t>36</w:t>
      </w:r>
      <w:r w:rsidRPr="00D1498D">
        <w:t xml:space="preserve"> </w:t>
      </w:r>
      <w:r w:rsidR="00EC34FE">
        <w:t xml:space="preserve">krimināllietām </w:t>
      </w:r>
      <w:r>
        <w:t>jeb</w:t>
      </w:r>
      <w:r w:rsidRPr="00D1498D">
        <w:t xml:space="preserve"> </w:t>
      </w:r>
      <w:r>
        <w:t xml:space="preserve">156,5 </w:t>
      </w:r>
      <w:r w:rsidRPr="00D1498D">
        <w:t>%</w:t>
      </w:r>
      <w:r>
        <w:t xml:space="preserve"> vairāk</w:t>
      </w:r>
      <w:r w:rsidR="00EA00F6">
        <w:t xml:space="preserve"> un </w:t>
      </w:r>
      <w:r w:rsidR="00872C42">
        <w:t>pēc</w:t>
      </w:r>
      <w:r w:rsidR="007035B6">
        <w:t xml:space="preserve"> </w:t>
      </w:r>
      <w:r w:rsidR="00872C42">
        <w:t xml:space="preserve">KL 195.panta </w:t>
      </w:r>
      <w:r w:rsidR="007035B6">
        <w:t xml:space="preserve">apsūdzēto personu </w:t>
      </w:r>
      <w:r w:rsidR="00EA00F6">
        <w:t xml:space="preserve">skaits tiesai nosūtītajās krimināllietās </w:t>
      </w:r>
      <w:r w:rsidR="007035B6">
        <w:t xml:space="preserve">palielinājies par </w:t>
      </w:r>
      <w:r w:rsidR="00872C42">
        <w:t xml:space="preserve">48 apsūdzētajām personām </w:t>
      </w:r>
      <w:r w:rsidR="00705CA0">
        <w:t>jeb</w:t>
      </w:r>
      <w:r w:rsidR="00F24881">
        <w:t xml:space="preserve"> 88,9 </w:t>
      </w:r>
      <w:r w:rsidR="00705CA0">
        <w:t xml:space="preserve">% </w:t>
      </w:r>
      <w:r>
        <w:t xml:space="preserve">(sk. tabulu </w:t>
      </w:r>
      <w:r w:rsidRPr="001B1BBC">
        <w:rPr>
          <w:b/>
          <w:bCs/>
        </w:rPr>
        <w:t>Pielikumā Nr.1 – 16.lpp.</w:t>
      </w:r>
      <w:r>
        <w:t>)</w:t>
      </w:r>
      <w:r w:rsidR="00EC34FE">
        <w:rPr>
          <w:iCs/>
        </w:rPr>
        <w:t>.</w:t>
      </w:r>
    </w:p>
    <w:p w14:paraId="47CB0816" w14:textId="77777777" w:rsidR="00EC34FE" w:rsidRPr="00EC34FE" w:rsidRDefault="00EC34FE" w:rsidP="00EC34FE">
      <w:pPr>
        <w:spacing w:after="0"/>
        <w:ind w:firstLine="720"/>
        <w:jc w:val="both"/>
        <w:rPr>
          <w:iCs/>
        </w:rPr>
      </w:pPr>
    </w:p>
    <w:p w14:paraId="4CBC34D7" w14:textId="6D950B4C" w:rsidR="00D1498D" w:rsidRDefault="00C90B31" w:rsidP="00050B34">
      <w:pPr>
        <w:spacing w:after="0"/>
        <w:ind w:firstLine="720"/>
        <w:jc w:val="both"/>
      </w:pPr>
      <w:r>
        <w:t xml:space="preserve">2019.gadā  palielinājies </w:t>
      </w:r>
      <w:r w:rsidRPr="001071C1">
        <w:t xml:space="preserve">tiesai nodoto </w:t>
      </w:r>
      <w:r w:rsidR="00EA00F6">
        <w:t xml:space="preserve">apsūdzēto </w:t>
      </w:r>
      <w:r w:rsidRPr="001071C1">
        <w:t xml:space="preserve">personu </w:t>
      </w:r>
      <w:r w:rsidR="00EA00F6">
        <w:t xml:space="preserve">par </w:t>
      </w:r>
      <w:r w:rsidRPr="001071C1">
        <w:t>cilvēku tirdzniecību, sutenerismu un personu nosūtīšanu seksuālai izmantošanai (KL 154.</w:t>
      </w:r>
      <w:r w:rsidR="00372F23">
        <w:rPr>
          <w:vertAlign w:val="superscript"/>
        </w:rPr>
        <w:t>1</w:t>
      </w:r>
      <w:r w:rsidRPr="001071C1">
        <w:t>, 165., 165.</w:t>
      </w:r>
      <w:r w:rsidR="00372F23">
        <w:rPr>
          <w:vertAlign w:val="superscript"/>
        </w:rPr>
        <w:t xml:space="preserve">1 </w:t>
      </w:r>
      <w:r w:rsidRPr="001071C1">
        <w:t>p</w:t>
      </w:r>
      <w:r w:rsidR="00372F23">
        <w:t>ant</w:t>
      </w:r>
      <w:r w:rsidR="00EA00F6">
        <w:t>s</w:t>
      </w:r>
      <w:r w:rsidRPr="001071C1">
        <w:t>)</w:t>
      </w:r>
      <w:r w:rsidRPr="00D1498D">
        <w:t xml:space="preserve"> </w:t>
      </w:r>
      <w:r w:rsidR="00272FD6">
        <w:t>skaits</w:t>
      </w:r>
      <w:r w:rsidR="00272FD6" w:rsidRPr="00D1498D">
        <w:t xml:space="preserve"> </w:t>
      </w:r>
      <w:r w:rsidRPr="00D1498D">
        <w:t xml:space="preserve">par </w:t>
      </w:r>
      <w:r w:rsidR="00EA00F6">
        <w:t>4 apsūdzētajām personām</w:t>
      </w:r>
      <w:r w:rsidRPr="00D1498D">
        <w:t xml:space="preserve"> </w:t>
      </w:r>
      <w:r w:rsidR="00272FD6">
        <w:t>jeb</w:t>
      </w:r>
      <w:r w:rsidRPr="00D1498D">
        <w:t xml:space="preserve"> </w:t>
      </w:r>
      <w:r w:rsidR="00EA00F6">
        <w:t xml:space="preserve">36,4 </w:t>
      </w:r>
      <w:r w:rsidRPr="00D1498D">
        <w:t>%</w:t>
      </w:r>
      <w:r w:rsidR="00372F23">
        <w:t xml:space="preserve"> (sk. tabulu </w:t>
      </w:r>
      <w:r w:rsidR="00372F23" w:rsidRPr="00050B34">
        <w:rPr>
          <w:b/>
          <w:bCs/>
        </w:rPr>
        <w:t>Pielikumā Nr.1 – 17.lpp.</w:t>
      </w:r>
      <w:r w:rsidR="00372F23">
        <w:t>)</w:t>
      </w:r>
      <w:r w:rsidRPr="00D1498D">
        <w:t>.</w:t>
      </w:r>
    </w:p>
    <w:p w14:paraId="6FDEABF3" w14:textId="77777777" w:rsidR="00050B34" w:rsidRPr="00D1498D" w:rsidRDefault="00050B34" w:rsidP="00050B34">
      <w:pPr>
        <w:spacing w:after="0"/>
        <w:ind w:firstLine="720"/>
        <w:jc w:val="both"/>
      </w:pPr>
    </w:p>
    <w:p w14:paraId="1ABC8A93" w14:textId="5B55A495" w:rsidR="00CE0CE1" w:rsidRDefault="006741B8" w:rsidP="00272FD6">
      <w:pPr>
        <w:spacing w:after="0"/>
        <w:jc w:val="both"/>
      </w:pPr>
      <w:r>
        <w:rPr>
          <w:bCs/>
        </w:rPr>
        <w:tab/>
      </w:r>
      <w:r w:rsidR="006F32E0">
        <w:rPr>
          <w:bCs/>
        </w:rPr>
        <w:t>Prokuratūrā pabeigto pirmstiesas kriminālprocesu par k</w:t>
      </w:r>
      <w:r>
        <w:rPr>
          <w:bCs/>
        </w:rPr>
        <w:t>ontraband</w:t>
      </w:r>
      <w:r w:rsidR="006F32E0">
        <w:rPr>
          <w:bCs/>
        </w:rPr>
        <w:t>u</w:t>
      </w:r>
      <w:r>
        <w:rPr>
          <w:bCs/>
        </w:rPr>
        <w:t xml:space="preserve"> </w:t>
      </w:r>
      <w:r w:rsidR="006F32E0">
        <w:rPr>
          <w:bCs/>
        </w:rPr>
        <w:t xml:space="preserve">(KL 190.pants) </w:t>
      </w:r>
      <w:r>
        <w:rPr>
          <w:bCs/>
        </w:rPr>
        <w:t xml:space="preserve">skaits samazinājies par </w:t>
      </w:r>
      <w:r w:rsidR="006F32E0">
        <w:rPr>
          <w:bCs/>
        </w:rPr>
        <w:t xml:space="preserve">4 kriminālprocesiem jeb </w:t>
      </w:r>
      <w:r>
        <w:rPr>
          <w:bCs/>
        </w:rPr>
        <w:t xml:space="preserve">15,4 %, tāpat arī </w:t>
      </w:r>
      <w:r w:rsidR="006F32E0">
        <w:rPr>
          <w:bCs/>
        </w:rPr>
        <w:t>par 4 kriminālprocesiem jeb</w:t>
      </w:r>
      <w:r w:rsidR="00272FD6">
        <w:rPr>
          <w:bCs/>
        </w:rPr>
        <w:t xml:space="preserve"> </w:t>
      </w:r>
      <w:r w:rsidR="004B1668">
        <w:rPr>
          <w:bCs/>
        </w:rPr>
        <w:t>7,5</w:t>
      </w:r>
      <w:r w:rsidR="00272FD6">
        <w:rPr>
          <w:bCs/>
        </w:rPr>
        <w:t xml:space="preserve"> % </w:t>
      </w:r>
      <w:r w:rsidR="006F32E0">
        <w:rPr>
          <w:bCs/>
        </w:rPr>
        <w:t xml:space="preserve"> </w:t>
      </w:r>
      <w:r w:rsidR="00272FD6">
        <w:rPr>
          <w:bCs/>
        </w:rPr>
        <w:t>samazinājies pabeigto pirmstiesas kriminālprocesu</w:t>
      </w:r>
      <w:r>
        <w:rPr>
          <w:bCs/>
        </w:rPr>
        <w:t xml:space="preserve"> par izvairīšanos no nodokļu nomaksas (K</w:t>
      </w:r>
      <w:r w:rsidR="00272FD6">
        <w:rPr>
          <w:bCs/>
        </w:rPr>
        <w:t>L</w:t>
      </w:r>
      <w:r>
        <w:rPr>
          <w:bCs/>
        </w:rPr>
        <w:t xml:space="preserve"> 218.pants) </w:t>
      </w:r>
      <w:r w:rsidR="00272FD6">
        <w:rPr>
          <w:bCs/>
        </w:rPr>
        <w:t xml:space="preserve">skaits </w:t>
      </w:r>
      <w:r>
        <w:t xml:space="preserve">(sk. tabulu </w:t>
      </w:r>
      <w:r w:rsidRPr="00272FD6">
        <w:rPr>
          <w:b/>
          <w:bCs/>
        </w:rPr>
        <w:t>Pielikumā Nr.1 – 18.lpp.</w:t>
      </w:r>
      <w:r>
        <w:t>)</w:t>
      </w:r>
      <w:r w:rsidRPr="00D1498D">
        <w:t>.</w:t>
      </w:r>
    </w:p>
    <w:p w14:paraId="0126C2B0" w14:textId="77777777" w:rsidR="00026B34" w:rsidRDefault="00026B34" w:rsidP="00272FD6">
      <w:pPr>
        <w:spacing w:after="0"/>
        <w:jc w:val="both"/>
        <w:rPr>
          <w:bCs/>
        </w:rPr>
      </w:pPr>
    </w:p>
    <w:p w14:paraId="1CFF090A" w14:textId="72FCBB2A" w:rsidR="00D1498D" w:rsidRDefault="006741B8" w:rsidP="00A87963">
      <w:pPr>
        <w:spacing w:after="0"/>
        <w:rPr>
          <w:b/>
          <w:bCs/>
          <w:i/>
          <w:iCs/>
          <w:color w:val="000000" w:themeColor="text1"/>
        </w:rPr>
      </w:pPr>
      <w:r w:rsidRPr="00272FD6">
        <w:rPr>
          <w:b/>
          <w:bCs/>
          <w:i/>
          <w:iCs/>
          <w:color w:val="000000" w:themeColor="text1"/>
        </w:rPr>
        <w:t>Prokuroru uzraudzība</w:t>
      </w:r>
    </w:p>
    <w:p w14:paraId="64A52A93" w14:textId="77777777" w:rsidR="00A87963" w:rsidRPr="00272FD6" w:rsidRDefault="00A87963" w:rsidP="00A87963">
      <w:pPr>
        <w:spacing w:after="0"/>
        <w:rPr>
          <w:b/>
          <w:bCs/>
          <w:i/>
          <w:iCs/>
          <w:color w:val="000000" w:themeColor="text1"/>
        </w:rPr>
      </w:pPr>
    </w:p>
    <w:p w14:paraId="3D9D936A" w14:textId="09DF4FA2" w:rsidR="004F3E06" w:rsidRDefault="006741B8" w:rsidP="00A87963">
      <w:pPr>
        <w:spacing w:after="0"/>
        <w:ind w:firstLine="720"/>
        <w:jc w:val="both"/>
        <w:rPr>
          <w:color w:val="000000" w:themeColor="text1"/>
        </w:rPr>
      </w:pPr>
      <w:r w:rsidRPr="00272FD6">
        <w:rPr>
          <w:color w:val="000000" w:themeColor="text1"/>
        </w:rPr>
        <w:t xml:space="preserve">Tā kā </w:t>
      </w:r>
      <w:r w:rsidR="00A87963" w:rsidRPr="00272FD6">
        <w:rPr>
          <w:color w:val="000000" w:themeColor="text1"/>
        </w:rPr>
        <w:t xml:space="preserve">2019.gadā </w:t>
      </w:r>
      <w:r w:rsidRPr="00272FD6">
        <w:rPr>
          <w:color w:val="000000" w:themeColor="text1"/>
        </w:rPr>
        <w:t>samazinājies kopējais reģistrēt</w:t>
      </w:r>
      <w:r w:rsidR="00A87963">
        <w:rPr>
          <w:color w:val="000000" w:themeColor="text1"/>
        </w:rPr>
        <w:t>o</w:t>
      </w:r>
      <w:r w:rsidRPr="00272FD6">
        <w:rPr>
          <w:color w:val="000000" w:themeColor="text1"/>
        </w:rPr>
        <w:t xml:space="preserve"> noziedzīg</w:t>
      </w:r>
      <w:r w:rsidR="00A87963">
        <w:rPr>
          <w:color w:val="000000" w:themeColor="text1"/>
        </w:rPr>
        <w:t>o</w:t>
      </w:r>
      <w:r w:rsidRPr="00272FD6">
        <w:rPr>
          <w:color w:val="000000" w:themeColor="text1"/>
        </w:rPr>
        <w:t xml:space="preserve"> nodarījumu skaits, attiecīgi</w:t>
      </w:r>
      <w:r w:rsidR="005B155A">
        <w:rPr>
          <w:color w:val="000000" w:themeColor="text1"/>
        </w:rPr>
        <w:t>, salīdzinot ar 2018.gadu,</w:t>
      </w:r>
      <w:r w:rsidRPr="00272FD6">
        <w:rPr>
          <w:color w:val="000000" w:themeColor="text1"/>
        </w:rPr>
        <w:t xml:space="preserve"> samazinājies arī </w:t>
      </w:r>
      <w:r w:rsidR="006F30BC" w:rsidRPr="00272FD6">
        <w:rPr>
          <w:color w:val="000000" w:themeColor="text1"/>
        </w:rPr>
        <w:t xml:space="preserve">prokurora uzraudzībā pieņemto kriminālprocesu skaits. Tomēr </w:t>
      </w:r>
      <w:r w:rsidR="00D15F9A" w:rsidRPr="00272FD6">
        <w:rPr>
          <w:color w:val="000000" w:themeColor="text1"/>
        </w:rPr>
        <w:t xml:space="preserve">prokurora atcelto lēmumu </w:t>
      </w:r>
      <w:r w:rsidR="00714EC0" w:rsidRPr="00272FD6">
        <w:rPr>
          <w:color w:val="000000" w:themeColor="text1"/>
        </w:rPr>
        <w:t>par atteikšanos uzsākt kriminālprocesu</w:t>
      </w:r>
      <w:r w:rsidR="00D15F9A" w:rsidRPr="00272FD6">
        <w:rPr>
          <w:color w:val="000000" w:themeColor="text1"/>
        </w:rPr>
        <w:t xml:space="preserve"> </w:t>
      </w:r>
      <w:r w:rsidR="00A87963" w:rsidRPr="00272FD6">
        <w:rPr>
          <w:color w:val="000000" w:themeColor="text1"/>
        </w:rPr>
        <w:t xml:space="preserve">īpatsvars </w:t>
      </w:r>
      <w:r w:rsidR="00D15F9A" w:rsidRPr="00272FD6">
        <w:rPr>
          <w:color w:val="000000" w:themeColor="text1"/>
        </w:rPr>
        <w:t>nedaudz palielinājies</w:t>
      </w:r>
      <w:r w:rsidR="00714EC0" w:rsidRPr="00272FD6">
        <w:rPr>
          <w:color w:val="000000" w:themeColor="text1"/>
        </w:rPr>
        <w:t>. Samazināj</w:t>
      </w:r>
      <w:r w:rsidR="005B155A">
        <w:rPr>
          <w:color w:val="000000" w:themeColor="text1"/>
        </w:rPr>
        <w:t>ies</w:t>
      </w:r>
      <w:r w:rsidR="00714EC0" w:rsidRPr="00272FD6">
        <w:rPr>
          <w:color w:val="000000" w:themeColor="text1"/>
        </w:rPr>
        <w:t xml:space="preserve"> prokuror</w:t>
      </w:r>
      <w:r w:rsidR="00971B57">
        <w:rPr>
          <w:color w:val="000000" w:themeColor="text1"/>
        </w:rPr>
        <w:t>u</w:t>
      </w:r>
      <w:r w:rsidR="00714EC0" w:rsidRPr="00272FD6">
        <w:rPr>
          <w:color w:val="000000" w:themeColor="text1"/>
        </w:rPr>
        <w:t xml:space="preserve"> atcelt</w:t>
      </w:r>
      <w:r w:rsidR="005B155A">
        <w:rPr>
          <w:color w:val="000000" w:themeColor="text1"/>
        </w:rPr>
        <w:t>o</w:t>
      </w:r>
      <w:r w:rsidR="00714EC0" w:rsidRPr="00272FD6">
        <w:rPr>
          <w:color w:val="000000" w:themeColor="text1"/>
        </w:rPr>
        <w:t xml:space="preserve"> lēmumu par kriminālprocesa izbeigšanu </w:t>
      </w:r>
      <w:r w:rsidR="005B155A">
        <w:rPr>
          <w:color w:val="000000" w:themeColor="text1"/>
        </w:rPr>
        <w:t xml:space="preserve">skaits </w:t>
      </w:r>
      <w:r w:rsidR="00714EC0" w:rsidRPr="00272FD6">
        <w:rPr>
          <w:color w:val="000000" w:themeColor="text1"/>
        </w:rPr>
        <w:t>par 11,7 %, kā arī lēmum</w:t>
      </w:r>
      <w:r w:rsidR="005B155A">
        <w:rPr>
          <w:color w:val="000000" w:themeColor="text1"/>
        </w:rPr>
        <w:t>u</w:t>
      </w:r>
      <w:r w:rsidR="00714EC0" w:rsidRPr="00272FD6">
        <w:rPr>
          <w:color w:val="000000" w:themeColor="text1"/>
        </w:rPr>
        <w:t>, ar kuriem prokurors nodevis kriminālprocesu izmeklēšanas turpinā</w:t>
      </w:r>
      <w:r w:rsidR="004C5C4F" w:rsidRPr="00272FD6">
        <w:rPr>
          <w:color w:val="000000" w:themeColor="text1"/>
        </w:rPr>
        <w:t>šanai</w:t>
      </w:r>
      <w:r w:rsidR="00971B57">
        <w:rPr>
          <w:color w:val="000000" w:themeColor="text1"/>
        </w:rPr>
        <w:t xml:space="preserve">, </w:t>
      </w:r>
      <w:r w:rsidR="005B155A">
        <w:rPr>
          <w:color w:val="000000" w:themeColor="text1"/>
        </w:rPr>
        <w:t xml:space="preserve">skaits </w:t>
      </w:r>
      <w:r w:rsidR="004C5C4F" w:rsidRPr="00272FD6">
        <w:rPr>
          <w:color w:val="000000" w:themeColor="text1"/>
        </w:rPr>
        <w:t>par 11,1 %</w:t>
      </w:r>
      <w:r w:rsidR="00D15F9A" w:rsidRPr="00272FD6">
        <w:rPr>
          <w:color w:val="000000" w:themeColor="text1"/>
        </w:rPr>
        <w:t xml:space="preserve"> (sk. </w:t>
      </w:r>
      <w:r w:rsidR="00D15F9A" w:rsidRPr="005B155A">
        <w:rPr>
          <w:b/>
          <w:bCs/>
          <w:color w:val="000000" w:themeColor="text1"/>
        </w:rPr>
        <w:t>tabulu Pielikumā Nr.1 – 20.lpp.</w:t>
      </w:r>
      <w:r w:rsidR="00D15F9A" w:rsidRPr="00272FD6">
        <w:rPr>
          <w:color w:val="000000" w:themeColor="text1"/>
        </w:rPr>
        <w:t>).</w:t>
      </w:r>
      <w:r w:rsidR="004F3E06" w:rsidRPr="00272FD6">
        <w:rPr>
          <w:color w:val="000000" w:themeColor="text1"/>
        </w:rPr>
        <w:t xml:space="preserve"> Attiecīgs samazinājums vērojams arī prokuroru iesniegumu skaitā par likum</w:t>
      </w:r>
      <w:r w:rsidR="00971B57">
        <w:rPr>
          <w:color w:val="000000" w:themeColor="text1"/>
        </w:rPr>
        <w:t>u</w:t>
      </w:r>
      <w:r w:rsidR="004F3E06" w:rsidRPr="00272FD6">
        <w:rPr>
          <w:color w:val="000000" w:themeColor="text1"/>
        </w:rPr>
        <w:t xml:space="preserve"> pārkāpumiem </w:t>
      </w:r>
      <w:r w:rsidR="00971B57">
        <w:rPr>
          <w:color w:val="000000" w:themeColor="text1"/>
        </w:rPr>
        <w:t xml:space="preserve">pirmstiesas </w:t>
      </w:r>
      <w:r w:rsidR="004F3E06" w:rsidRPr="00272FD6">
        <w:rPr>
          <w:color w:val="000000" w:themeColor="text1"/>
        </w:rPr>
        <w:t>kriminālprocesā, t.i. par 140</w:t>
      </w:r>
      <w:r w:rsidR="00971B57">
        <w:rPr>
          <w:color w:val="000000" w:themeColor="text1"/>
        </w:rPr>
        <w:t xml:space="preserve"> iesniegumiem</w:t>
      </w:r>
      <w:r w:rsidR="004F3E06" w:rsidRPr="00272FD6">
        <w:rPr>
          <w:color w:val="000000" w:themeColor="text1"/>
        </w:rPr>
        <w:t xml:space="preserve"> jeb 18,5 % </w:t>
      </w:r>
      <w:r w:rsidR="00595249">
        <w:rPr>
          <w:color w:val="000000" w:themeColor="text1"/>
        </w:rPr>
        <w:t>mazāk nekā 2018.gadā</w:t>
      </w:r>
      <w:r w:rsidR="00FB23BB">
        <w:rPr>
          <w:color w:val="000000" w:themeColor="text1"/>
        </w:rPr>
        <w:t xml:space="preserve">. </w:t>
      </w:r>
      <w:r w:rsidR="004F3E06" w:rsidRPr="00272FD6">
        <w:rPr>
          <w:color w:val="000000" w:themeColor="text1"/>
        </w:rPr>
        <w:t xml:space="preserve">(sk. tabulu </w:t>
      </w:r>
      <w:r w:rsidR="004F3E06" w:rsidRPr="00971B57">
        <w:rPr>
          <w:b/>
          <w:bCs/>
          <w:color w:val="000000" w:themeColor="text1"/>
        </w:rPr>
        <w:t>Pielikumā Nr.1 – 21.lpp.</w:t>
      </w:r>
      <w:r w:rsidR="004F3E06" w:rsidRPr="00272FD6">
        <w:rPr>
          <w:color w:val="000000" w:themeColor="text1"/>
        </w:rPr>
        <w:t>).</w:t>
      </w:r>
    </w:p>
    <w:p w14:paraId="36AAACC4" w14:textId="77777777" w:rsidR="00A80C0A" w:rsidRDefault="00A80C0A" w:rsidP="00971B57">
      <w:pPr>
        <w:spacing w:after="0"/>
        <w:rPr>
          <w:b/>
          <w:bCs/>
          <w:i/>
          <w:iCs/>
        </w:rPr>
      </w:pPr>
    </w:p>
    <w:p w14:paraId="07D9F54A" w14:textId="7B7E485A" w:rsidR="004F3E06" w:rsidRDefault="004F3E06" w:rsidP="00971B57">
      <w:pPr>
        <w:spacing w:after="0"/>
        <w:rPr>
          <w:b/>
          <w:bCs/>
          <w:i/>
          <w:iCs/>
        </w:rPr>
      </w:pPr>
      <w:r w:rsidRPr="004F3E06">
        <w:rPr>
          <w:b/>
          <w:bCs/>
          <w:i/>
          <w:iCs/>
        </w:rPr>
        <w:t>Prokuroru darbs pirmstiesas kriminālprocesā</w:t>
      </w:r>
    </w:p>
    <w:p w14:paraId="6AAAD390" w14:textId="77777777" w:rsidR="00971B57" w:rsidRPr="004F3E06" w:rsidRDefault="00971B57" w:rsidP="00971B57">
      <w:pPr>
        <w:spacing w:after="0"/>
        <w:rPr>
          <w:b/>
          <w:bCs/>
          <w:i/>
          <w:iCs/>
        </w:rPr>
      </w:pPr>
    </w:p>
    <w:p w14:paraId="3124E0E6" w14:textId="56FEB86A" w:rsidR="004C5C4F" w:rsidRDefault="00EE569A" w:rsidP="00C60DE2">
      <w:pPr>
        <w:spacing w:after="0"/>
        <w:ind w:firstLine="720"/>
        <w:jc w:val="both"/>
      </w:pPr>
      <w:r>
        <w:t>Prokur</w:t>
      </w:r>
      <w:r w:rsidR="000D5ED9">
        <w:t>atūras</w:t>
      </w:r>
      <w:r>
        <w:t xml:space="preserve"> lietvedībā </w:t>
      </w:r>
      <w:r w:rsidR="004D6AAF">
        <w:t xml:space="preserve">2019. gadā </w:t>
      </w:r>
      <w:r>
        <w:t xml:space="preserve">kopumā </w:t>
      </w:r>
      <w:r w:rsidR="000D5ED9">
        <w:t>pieņemta</w:t>
      </w:r>
      <w:r>
        <w:t xml:space="preserve"> 12 631 k</w:t>
      </w:r>
      <w:r w:rsidR="000D5ED9">
        <w:t>rimināllieta</w:t>
      </w:r>
      <w:r>
        <w:t>, kas</w:t>
      </w:r>
      <w:r w:rsidR="004D6AAF">
        <w:t xml:space="preserve"> salīdzinājumā ar 2018.gadu</w:t>
      </w:r>
      <w:r>
        <w:t xml:space="preserve"> ir par 480</w:t>
      </w:r>
      <w:r w:rsidR="00971B57">
        <w:t xml:space="preserve"> krimināl</w:t>
      </w:r>
      <w:r w:rsidR="000D5ED9">
        <w:t>lietām</w:t>
      </w:r>
      <w:r w:rsidR="00971B57">
        <w:t xml:space="preserve"> </w:t>
      </w:r>
      <w:r>
        <w:t>jeb 3,7 % m</w:t>
      </w:r>
      <w:r w:rsidR="004D6AAF">
        <w:t>azāk</w:t>
      </w:r>
      <w:r>
        <w:t xml:space="preserve">. Attiecīgi arī prokuratūrā pabeigto </w:t>
      </w:r>
      <w:r>
        <w:lastRenderedPageBreak/>
        <w:t xml:space="preserve">kriminālprocesu skaits samazinājies par 285 kriminālprocesiem jeb 2,5 % (sk. tabulu </w:t>
      </w:r>
      <w:r w:rsidRPr="00971B57">
        <w:rPr>
          <w:b/>
          <w:bCs/>
        </w:rPr>
        <w:t>Pielikumā Nr.1 – 22.lpp.</w:t>
      </w:r>
      <w:r>
        <w:t>).</w:t>
      </w:r>
    </w:p>
    <w:p w14:paraId="3343572E" w14:textId="77777777" w:rsidR="00C60DE2" w:rsidRPr="00D1498D" w:rsidRDefault="00C60DE2" w:rsidP="00C60DE2">
      <w:pPr>
        <w:spacing w:after="0"/>
        <w:ind w:firstLine="720"/>
        <w:jc w:val="both"/>
      </w:pPr>
    </w:p>
    <w:p w14:paraId="4CBD5A9C" w14:textId="169A58F3" w:rsidR="004C5C4F" w:rsidRDefault="00831CCB" w:rsidP="00D02D05">
      <w:pPr>
        <w:spacing w:after="0"/>
        <w:ind w:firstLine="720"/>
        <w:jc w:val="both"/>
        <w:rPr>
          <w:bCs/>
        </w:rPr>
      </w:pPr>
      <w:r>
        <w:rPr>
          <w:bCs/>
        </w:rPr>
        <w:t>K</w:t>
      </w:r>
      <w:r w:rsidR="00EE569A" w:rsidRPr="0008131A">
        <w:rPr>
          <w:bCs/>
        </w:rPr>
        <w:t>riminālprocesu skait</w:t>
      </w:r>
      <w:r>
        <w:rPr>
          <w:bCs/>
        </w:rPr>
        <w:t>ā</w:t>
      </w:r>
      <w:r w:rsidR="00EE569A" w:rsidRPr="0008131A">
        <w:rPr>
          <w:bCs/>
        </w:rPr>
        <w:t>, kuri 2019.gadā pabeigti prokuratūrā uz nereabilitējošiem pamatiem, nenosūtot lietu tiesai</w:t>
      </w:r>
      <w:r>
        <w:rPr>
          <w:bCs/>
        </w:rPr>
        <w:t xml:space="preserve">, vērojama </w:t>
      </w:r>
      <w:r w:rsidR="00F51F04">
        <w:rPr>
          <w:bCs/>
        </w:rPr>
        <w:t>šāda tendence.</w:t>
      </w:r>
      <w:r>
        <w:rPr>
          <w:bCs/>
        </w:rPr>
        <w:t xml:space="preserve"> </w:t>
      </w:r>
      <w:r w:rsidR="005640F8">
        <w:rPr>
          <w:bCs/>
        </w:rPr>
        <w:t xml:space="preserve">Saskaņā ar </w:t>
      </w:r>
      <w:r>
        <w:rPr>
          <w:bCs/>
        </w:rPr>
        <w:t xml:space="preserve">Kriminālprocesa likuma </w:t>
      </w:r>
      <w:r w:rsidR="004D6AAF">
        <w:rPr>
          <w:bCs/>
        </w:rPr>
        <w:t xml:space="preserve">(turpmāk – KPL) </w:t>
      </w:r>
      <w:r>
        <w:rPr>
          <w:bCs/>
        </w:rPr>
        <w:t xml:space="preserve">379.panta </w:t>
      </w:r>
      <w:r w:rsidR="004D6AAF">
        <w:rPr>
          <w:bCs/>
        </w:rPr>
        <w:t>pirm</w:t>
      </w:r>
      <w:r w:rsidR="005640F8">
        <w:rPr>
          <w:bCs/>
        </w:rPr>
        <w:t>o</w:t>
      </w:r>
      <w:r>
        <w:rPr>
          <w:bCs/>
        </w:rPr>
        <w:t xml:space="preserve"> un </w:t>
      </w:r>
      <w:r w:rsidR="004D6AAF">
        <w:rPr>
          <w:bCs/>
        </w:rPr>
        <w:t>otr</w:t>
      </w:r>
      <w:r w:rsidR="005640F8">
        <w:rPr>
          <w:bCs/>
        </w:rPr>
        <w:t>o</w:t>
      </w:r>
      <w:r w:rsidR="004D6AAF">
        <w:rPr>
          <w:bCs/>
        </w:rPr>
        <w:t xml:space="preserve"> </w:t>
      </w:r>
      <w:r>
        <w:rPr>
          <w:bCs/>
        </w:rPr>
        <w:t>daļ</w:t>
      </w:r>
      <w:r w:rsidR="005640F8">
        <w:rPr>
          <w:bCs/>
        </w:rPr>
        <w:t>u</w:t>
      </w:r>
      <w:r w:rsidR="00E465D7">
        <w:rPr>
          <w:bCs/>
        </w:rPr>
        <w:t xml:space="preserve"> (nav radīts tāds kaitējums, lai piespriestu kriminālsodu, </w:t>
      </w:r>
      <w:r w:rsidR="00BA63CB">
        <w:rPr>
          <w:bCs/>
        </w:rPr>
        <w:t>izlīgums, konstatēti īpašie apstākļi attiecībā uz nepilngadīgu personu u.c.)</w:t>
      </w:r>
      <w:r w:rsidR="005640F8">
        <w:rPr>
          <w:bCs/>
        </w:rPr>
        <w:t xml:space="preserve"> izbeigto kriminālprocesu skaits samazinājies par</w:t>
      </w:r>
      <w:r w:rsidR="00EE569A" w:rsidRPr="0008131A">
        <w:rPr>
          <w:bCs/>
        </w:rPr>
        <w:t xml:space="preserve"> 77 kriminālprocesie</w:t>
      </w:r>
      <w:r w:rsidR="005640F8">
        <w:rPr>
          <w:bCs/>
        </w:rPr>
        <w:t xml:space="preserve">m </w:t>
      </w:r>
      <w:r w:rsidR="00F51F04">
        <w:rPr>
          <w:bCs/>
        </w:rPr>
        <w:t xml:space="preserve">jeb </w:t>
      </w:r>
      <w:r w:rsidR="00F51F04" w:rsidRPr="0008131A">
        <w:rPr>
          <w:bCs/>
        </w:rPr>
        <w:t>24,7</w:t>
      </w:r>
      <w:r w:rsidR="00F51F04">
        <w:rPr>
          <w:bCs/>
        </w:rPr>
        <w:t xml:space="preserve"> </w:t>
      </w:r>
      <w:r w:rsidR="00F51F04" w:rsidRPr="0008131A">
        <w:rPr>
          <w:bCs/>
        </w:rPr>
        <w:t>%</w:t>
      </w:r>
      <w:r w:rsidR="00F51F04">
        <w:rPr>
          <w:bCs/>
        </w:rPr>
        <w:t xml:space="preserve"> salīdzinājumā ar </w:t>
      </w:r>
      <w:r w:rsidR="0008131A" w:rsidRPr="0008131A">
        <w:rPr>
          <w:bCs/>
        </w:rPr>
        <w:t>2018.gad</w:t>
      </w:r>
      <w:r w:rsidR="00F51F04">
        <w:rPr>
          <w:bCs/>
        </w:rPr>
        <w:t>u</w:t>
      </w:r>
      <w:r w:rsidR="007E1585">
        <w:rPr>
          <w:bCs/>
        </w:rPr>
        <w:t>. S</w:t>
      </w:r>
      <w:r w:rsidR="00F51F04">
        <w:rPr>
          <w:bCs/>
        </w:rPr>
        <w:t>askaņā ar</w:t>
      </w:r>
      <w:r w:rsidR="0008131A">
        <w:rPr>
          <w:bCs/>
        </w:rPr>
        <w:t xml:space="preserve"> K</w:t>
      </w:r>
      <w:r w:rsidR="00F51F04">
        <w:rPr>
          <w:bCs/>
        </w:rPr>
        <w:t>PL</w:t>
      </w:r>
      <w:r w:rsidR="0008131A">
        <w:rPr>
          <w:bCs/>
        </w:rPr>
        <w:t xml:space="preserve"> 377.panta 9.punkt</w:t>
      </w:r>
      <w:r w:rsidR="00F51F04">
        <w:rPr>
          <w:bCs/>
        </w:rPr>
        <w:t>u</w:t>
      </w:r>
      <w:r w:rsidR="0008131A">
        <w:rPr>
          <w:bCs/>
        </w:rPr>
        <w:t xml:space="preserve"> (izlīgums</w:t>
      </w:r>
      <w:r w:rsidR="00BA63CB">
        <w:rPr>
          <w:bCs/>
        </w:rPr>
        <w:t xml:space="preserve"> kriminālprocesā, kuru var uzsākt tikai uz cietušās personas pieteikuma pamata</w:t>
      </w:r>
      <w:r w:rsidR="0008131A">
        <w:rPr>
          <w:bCs/>
        </w:rPr>
        <w:t>)</w:t>
      </w:r>
      <w:r w:rsidR="003A42EF">
        <w:rPr>
          <w:bCs/>
        </w:rPr>
        <w:t xml:space="preserve">, kā arī </w:t>
      </w:r>
      <w:r w:rsidR="00E465D7">
        <w:rPr>
          <w:bCs/>
        </w:rPr>
        <w:t xml:space="preserve">saskaņā ar </w:t>
      </w:r>
      <w:r w:rsidR="007E1585">
        <w:rPr>
          <w:bCs/>
        </w:rPr>
        <w:t xml:space="preserve">KPL </w:t>
      </w:r>
      <w:r w:rsidR="0008131A">
        <w:rPr>
          <w:bCs/>
        </w:rPr>
        <w:t>415.pant</w:t>
      </w:r>
      <w:r w:rsidR="00E465D7">
        <w:rPr>
          <w:bCs/>
        </w:rPr>
        <w:t>u</w:t>
      </w:r>
      <w:r w:rsidR="003A42EF">
        <w:rPr>
          <w:bCs/>
        </w:rPr>
        <w:t xml:space="preserve"> (nosacīta atbrīvošana no kriminālatbildības)</w:t>
      </w:r>
      <w:r w:rsidR="0008131A">
        <w:rPr>
          <w:bCs/>
        </w:rPr>
        <w:t xml:space="preserve"> </w:t>
      </w:r>
      <w:r w:rsidR="00E465D7">
        <w:rPr>
          <w:bCs/>
        </w:rPr>
        <w:t>izbeigto kriminālprocesu skaits, s</w:t>
      </w:r>
      <w:r w:rsidR="003A42EF">
        <w:rPr>
          <w:bCs/>
        </w:rPr>
        <w:t>alīdz</w:t>
      </w:r>
      <w:r w:rsidR="00AB378B">
        <w:rPr>
          <w:bCs/>
        </w:rPr>
        <w:t>inot</w:t>
      </w:r>
      <w:r w:rsidR="003A42EF">
        <w:rPr>
          <w:bCs/>
        </w:rPr>
        <w:t xml:space="preserve"> ar 2018.gadu</w:t>
      </w:r>
      <w:r w:rsidR="00E465D7">
        <w:rPr>
          <w:bCs/>
        </w:rPr>
        <w:t xml:space="preserve">, </w:t>
      </w:r>
      <w:r w:rsidR="003A42EF">
        <w:rPr>
          <w:bCs/>
        </w:rPr>
        <w:t>pali</w:t>
      </w:r>
      <w:r w:rsidR="00E465D7">
        <w:rPr>
          <w:bCs/>
        </w:rPr>
        <w:t>cis</w:t>
      </w:r>
      <w:r w:rsidR="003A42EF">
        <w:rPr>
          <w:bCs/>
        </w:rPr>
        <w:t xml:space="preserve"> bez būtiskām izmaiņām</w:t>
      </w:r>
      <w:r w:rsidR="00E465D7">
        <w:rPr>
          <w:bCs/>
        </w:rPr>
        <w:t>. Savukārt</w:t>
      </w:r>
      <w:r w:rsidR="00AB378B">
        <w:rPr>
          <w:bCs/>
        </w:rPr>
        <w:t xml:space="preserve"> ar prokurora priekšrakstu par sodu pabeigto pirmstiesas kriminālprocesu skaits palielinājies </w:t>
      </w:r>
      <w:r w:rsidR="007E1585">
        <w:rPr>
          <w:bCs/>
        </w:rPr>
        <w:t>par 82 kriminālprocesiem jeb 5,</w:t>
      </w:r>
      <w:r w:rsidR="004B1668">
        <w:rPr>
          <w:bCs/>
        </w:rPr>
        <w:t>2</w:t>
      </w:r>
      <w:r w:rsidR="007E1585">
        <w:rPr>
          <w:bCs/>
        </w:rPr>
        <w:t xml:space="preserve"> % </w:t>
      </w:r>
      <w:r w:rsidR="0008131A">
        <w:t xml:space="preserve">(sk. tabulu </w:t>
      </w:r>
      <w:r w:rsidR="0008131A" w:rsidRPr="005640F8">
        <w:rPr>
          <w:b/>
          <w:bCs/>
        </w:rPr>
        <w:t>Pielikumā Nr.1 – 23.lpp.</w:t>
      </w:r>
      <w:r w:rsidR="0008131A">
        <w:t>).</w:t>
      </w:r>
    </w:p>
    <w:p w14:paraId="4ED74F35" w14:textId="77777777" w:rsidR="00D02D05" w:rsidRPr="00D02D05" w:rsidRDefault="00D02D05" w:rsidP="00D02D05">
      <w:pPr>
        <w:spacing w:after="0"/>
        <w:ind w:firstLine="720"/>
        <w:jc w:val="both"/>
        <w:rPr>
          <w:bCs/>
        </w:rPr>
      </w:pPr>
    </w:p>
    <w:p w14:paraId="2A189ABF" w14:textId="6A449685" w:rsidR="004C5C4F" w:rsidRDefault="003A42EF" w:rsidP="00D02D05">
      <w:pPr>
        <w:spacing w:after="0"/>
        <w:rPr>
          <w:b/>
          <w:bCs/>
          <w:i/>
          <w:iCs/>
          <w:color w:val="000000" w:themeColor="text1"/>
        </w:rPr>
      </w:pPr>
      <w:r w:rsidRPr="003A42EF">
        <w:rPr>
          <w:b/>
          <w:bCs/>
          <w:i/>
          <w:iCs/>
          <w:color w:val="000000" w:themeColor="text1"/>
        </w:rPr>
        <w:t>Valsts apsūdzības uzturēšana tiesā</w:t>
      </w:r>
    </w:p>
    <w:p w14:paraId="644F5165" w14:textId="77777777" w:rsidR="00D02D05" w:rsidRDefault="00D02D05" w:rsidP="00D02D05">
      <w:pPr>
        <w:spacing w:after="0"/>
        <w:rPr>
          <w:b/>
          <w:bCs/>
          <w:i/>
          <w:iCs/>
          <w:color w:val="000000" w:themeColor="text1"/>
        </w:rPr>
      </w:pPr>
    </w:p>
    <w:p w14:paraId="740DF4B8" w14:textId="6022DFA5" w:rsidR="00662133" w:rsidRDefault="005E4D03" w:rsidP="00026B34">
      <w:pPr>
        <w:spacing w:after="0"/>
        <w:ind w:firstLine="720"/>
        <w:jc w:val="both"/>
      </w:pPr>
      <w:r>
        <w:rPr>
          <w:color w:val="000000" w:themeColor="text1"/>
        </w:rPr>
        <w:t xml:space="preserve">2019.gadā </w:t>
      </w:r>
      <w:r w:rsidR="003A42EF">
        <w:rPr>
          <w:color w:val="000000" w:themeColor="text1"/>
        </w:rPr>
        <w:t>tiesai nodoto lietu skaits ir</w:t>
      </w:r>
      <w:r w:rsidR="00662133">
        <w:rPr>
          <w:color w:val="000000" w:themeColor="text1"/>
        </w:rPr>
        <w:t xml:space="preserve"> nedaudz</w:t>
      </w:r>
      <w:r w:rsidR="003A42EF">
        <w:rPr>
          <w:color w:val="000000" w:themeColor="text1"/>
        </w:rPr>
        <w:t xml:space="preserve"> samazinājies par 295</w:t>
      </w:r>
      <w:r w:rsidR="00662133">
        <w:rPr>
          <w:color w:val="000000" w:themeColor="text1"/>
        </w:rPr>
        <w:t xml:space="preserve"> </w:t>
      </w:r>
      <w:r w:rsidR="00D02D05">
        <w:rPr>
          <w:color w:val="000000" w:themeColor="text1"/>
        </w:rPr>
        <w:t>krimināllietām</w:t>
      </w:r>
      <w:r w:rsidR="00662133">
        <w:rPr>
          <w:color w:val="000000" w:themeColor="text1"/>
        </w:rPr>
        <w:t xml:space="preserve"> jeb 3,3 %, </w:t>
      </w:r>
      <w:r w:rsidR="000341FF">
        <w:rPr>
          <w:color w:val="000000" w:themeColor="text1"/>
        </w:rPr>
        <w:t xml:space="preserve">arī </w:t>
      </w:r>
      <w:r w:rsidR="00662133">
        <w:rPr>
          <w:color w:val="000000" w:themeColor="text1"/>
        </w:rPr>
        <w:t>pirm</w:t>
      </w:r>
      <w:r w:rsidR="000341FF">
        <w:rPr>
          <w:color w:val="000000" w:themeColor="text1"/>
        </w:rPr>
        <w:t>ās</w:t>
      </w:r>
      <w:r w:rsidR="00662133">
        <w:rPr>
          <w:color w:val="000000" w:themeColor="text1"/>
        </w:rPr>
        <w:t xml:space="preserve"> instanc</w:t>
      </w:r>
      <w:r w:rsidR="000341FF">
        <w:rPr>
          <w:color w:val="000000" w:themeColor="text1"/>
        </w:rPr>
        <w:t>es tiesā</w:t>
      </w:r>
      <w:r w:rsidR="00662133">
        <w:rPr>
          <w:color w:val="000000" w:themeColor="text1"/>
        </w:rPr>
        <w:t xml:space="preserve"> izskatīto lietu skait</w:t>
      </w:r>
      <w:r w:rsidR="000341FF">
        <w:rPr>
          <w:color w:val="000000" w:themeColor="text1"/>
        </w:rPr>
        <w:t>s ir samazinājies</w:t>
      </w:r>
      <w:r w:rsidR="00662133">
        <w:rPr>
          <w:color w:val="000000" w:themeColor="text1"/>
        </w:rPr>
        <w:t xml:space="preserve"> par 560 lietām jeb 6,7 % </w:t>
      </w:r>
      <w:r w:rsidR="000341FF">
        <w:rPr>
          <w:color w:val="000000" w:themeColor="text1"/>
        </w:rPr>
        <w:t xml:space="preserve">salīdzinājumā ar </w:t>
      </w:r>
      <w:r w:rsidR="00662133">
        <w:rPr>
          <w:color w:val="000000" w:themeColor="text1"/>
        </w:rPr>
        <w:t xml:space="preserve"> 2018.gad</w:t>
      </w:r>
      <w:r w:rsidR="000341FF">
        <w:rPr>
          <w:color w:val="000000" w:themeColor="text1"/>
        </w:rPr>
        <w:t>u</w:t>
      </w:r>
      <w:r w:rsidR="00662133">
        <w:rPr>
          <w:color w:val="000000" w:themeColor="text1"/>
        </w:rPr>
        <w:t xml:space="preserve">. Apelācijas instances tiesā izskatīto lietu skaits praktiski palicis nemainīgs </w:t>
      </w:r>
      <w:r w:rsidR="00662133">
        <w:t xml:space="preserve">(sk. tabulu </w:t>
      </w:r>
      <w:r w:rsidR="00662133" w:rsidRPr="000341FF">
        <w:rPr>
          <w:b/>
          <w:bCs/>
        </w:rPr>
        <w:t>Pielikumā Nr.1 – 24.lpp.</w:t>
      </w:r>
      <w:r w:rsidR="00662133">
        <w:t>).</w:t>
      </w:r>
      <w:r w:rsidR="00785F0F">
        <w:t xml:space="preserve"> Būtisks samazinājums fiksējams rakstveida viedokļa sniegšanas rādītājā kasācijas instances tiesai – no 15 </w:t>
      </w:r>
      <w:r w:rsidR="00FB23BB">
        <w:t xml:space="preserve">rakstveida viedokļiem </w:t>
      </w:r>
      <w:r w:rsidR="00785F0F">
        <w:t xml:space="preserve">2018.gadā uz 5 </w:t>
      </w:r>
      <w:r w:rsidR="00FB23BB">
        <w:t xml:space="preserve">rakstveida viedokļiem </w:t>
      </w:r>
      <w:r w:rsidR="00785F0F">
        <w:t>2019.gadā.</w:t>
      </w:r>
    </w:p>
    <w:p w14:paraId="05F77FB8" w14:textId="77777777" w:rsidR="00C60DE2" w:rsidRDefault="00C60DE2" w:rsidP="00026B34">
      <w:pPr>
        <w:spacing w:after="0"/>
        <w:ind w:firstLine="720"/>
        <w:jc w:val="both"/>
      </w:pPr>
    </w:p>
    <w:p w14:paraId="498DFD08" w14:textId="20217BB9" w:rsidR="00785F0F" w:rsidRDefault="00336051" w:rsidP="0091244A">
      <w:pPr>
        <w:spacing w:after="0"/>
        <w:ind w:firstLine="720"/>
        <w:jc w:val="both"/>
      </w:pPr>
      <w:r>
        <w:t xml:space="preserve">Pilnībā attaisnoto personu skaits tiesā </w:t>
      </w:r>
      <w:r w:rsidR="0091244A">
        <w:t xml:space="preserve">un </w:t>
      </w:r>
      <w:r>
        <w:t xml:space="preserve">to personu, pret kurām prokurors atteicies no apsūdzības un </w:t>
      </w:r>
      <w:r w:rsidR="0091244A">
        <w:t>pret</w:t>
      </w:r>
      <w:r>
        <w:t xml:space="preserve"> kurām lieta izbeigta tiesā saskaņā ar K</w:t>
      </w:r>
      <w:r w:rsidR="000341FF">
        <w:t>PL</w:t>
      </w:r>
      <w:r>
        <w:t xml:space="preserve"> 377.panta 1. un 2.punkt</w:t>
      </w:r>
      <w:r w:rsidR="00552235">
        <w:t>u</w:t>
      </w:r>
      <w:r w:rsidR="0053549D">
        <w:t xml:space="preserve"> (turpmāk – pilnībā attaisnotas)</w:t>
      </w:r>
      <w:r w:rsidR="000341FF">
        <w:t>, skaits</w:t>
      </w:r>
      <w:r w:rsidR="00365033">
        <w:t xml:space="preserve"> 2019.gadā ievērojami samazinājies.</w:t>
      </w:r>
      <w:r w:rsidR="00552235">
        <w:t xml:space="preserve"> Ja 2018.gadā no tiesai nodotajām 10 046 </w:t>
      </w:r>
      <w:r w:rsidR="0091244A">
        <w:t xml:space="preserve">apsūdzētajām </w:t>
      </w:r>
      <w:r w:rsidR="00552235">
        <w:t xml:space="preserve">personām pilnībā attaisnota 91 persona, tad 2019.gadā no </w:t>
      </w:r>
      <w:r w:rsidR="0091244A">
        <w:t xml:space="preserve">tiesai nodotajām </w:t>
      </w:r>
      <w:r w:rsidR="00552235">
        <w:t xml:space="preserve">9 622 </w:t>
      </w:r>
      <w:r w:rsidR="0091244A">
        <w:t xml:space="preserve">apsūdzētajām personām </w:t>
      </w:r>
      <w:r w:rsidR="00552235">
        <w:t>pilnībā attaisnotas 74 personas</w:t>
      </w:r>
      <w:r w:rsidR="00296CCE">
        <w:t xml:space="preserve"> (sk. tabulu </w:t>
      </w:r>
      <w:r w:rsidR="00296CCE" w:rsidRPr="0091244A">
        <w:rPr>
          <w:b/>
          <w:bCs/>
        </w:rPr>
        <w:t>Pielikumā Nr.1 – 25.lpp.</w:t>
      </w:r>
      <w:r w:rsidR="00296CCE">
        <w:t>).</w:t>
      </w:r>
    </w:p>
    <w:p w14:paraId="352031F8" w14:textId="2F29C59F" w:rsidR="00EA0889" w:rsidRDefault="00EA0889" w:rsidP="0091244A">
      <w:pPr>
        <w:spacing w:after="0"/>
        <w:ind w:firstLine="720"/>
        <w:jc w:val="both"/>
      </w:pPr>
    </w:p>
    <w:p w14:paraId="3EB29609" w14:textId="77777777" w:rsidR="00EA0889" w:rsidRDefault="00EA0889" w:rsidP="00EA0889">
      <w:pPr>
        <w:spacing w:after="0"/>
        <w:rPr>
          <w:b/>
          <w:i/>
          <w:iCs/>
          <w:color w:val="000000" w:themeColor="text1"/>
        </w:rPr>
      </w:pPr>
      <w:r w:rsidRPr="006C6103">
        <w:rPr>
          <w:b/>
          <w:i/>
          <w:iCs/>
          <w:color w:val="000000" w:themeColor="text1"/>
        </w:rPr>
        <w:t>Iesniegto un apmierināto apelācijas protestu skaits</w:t>
      </w:r>
    </w:p>
    <w:p w14:paraId="6432B9CC" w14:textId="77777777" w:rsidR="00EA0889" w:rsidRDefault="00EA0889" w:rsidP="00EA0889">
      <w:pPr>
        <w:spacing w:after="0"/>
        <w:rPr>
          <w:b/>
          <w:i/>
          <w:iCs/>
          <w:color w:val="000000" w:themeColor="text1"/>
        </w:rPr>
      </w:pPr>
    </w:p>
    <w:p w14:paraId="090EC1D8" w14:textId="7E8ED7E4" w:rsidR="00EA0889" w:rsidRDefault="00EA0889" w:rsidP="00EA0889">
      <w:pPr>
        <w:spacing w:after="0"/>
        <w:ind w:firstLine="720"/>
        <w:jc w:val="both"/>
        <w:rPr>
          <w:bCs/>
          <w:color w:val="000000" w:themeColor="text1"/>
        </w:rPr>
      </w:pPr>
      <w:r w:rsidRPr="006C6103">
        <w:rPr>
          <w:bCs/>
          <w:color w:val="000000" w:themeColor="text1"/>
        </w:rPr>
        <w:t>Neskatoties uz to, ka kopumā tiesai nodoto lietu skaits ir samazinājies, 2019.gadā ievērojami pieaudzis iesniegto apelācijas protestu skaits kriminālprocesā. Ja 2018.gadā kopumā tika iesniegti 236 protesti,</w:t>
      </w:r>
      <w:r w:rsidR="00933029">
        <w:rPr>
          <w:bCs/>
          <w:color w:val="000000" w:themeColor="text1"/>
        </w:rPr>
        <w:t xml:space="preserve"> no kuriem apmierināti protesti par 157 apsūdzētajām personām,</w:t>
      </w:r>
      <w:r w:rsidRPr="006C6103">
        <w:rPr>
          <w:bCs/>
          <w:color w:val="000000" w:themeColor="text1"/>
        </w:rPr>
        <w:t xml:space="preserve"> tad 2019.gadā to skaits pieaudzis līdz 317 protestiem</w:t>
      </w:r>
      <w:r w:rsidR="00933029">
        <w:rPr>
          <w:bCs/>
          <w:color w:val="000000" w:themeColor="text1"/>
        </w:rPr>
        <w:t>, no kuriem apmierināti protesti par 186 personām</w:t>
      </w:r>
      <w:r w:rsidRPr="006C6103">
        <w:rPr>
          <w:bCs/>
          <w:color w:val="000000" w:themeColor="text1"/>
        </w:rPr>
        <w:t xml:space="preserve"> (sk. tabulu </w:t>
      </w:r>
      <w:r w:rsidRPr="00D101DC">
        <w:rPr>
          <w:b/>
          <w:color w:val="000000" w:themeColor="text1"/>
        </w:rPr>
        <w:t>Pielikumā Nr.1 – 26.lpp.</w:t>
      </w:r>
      <w:r w:rsidRPr="006C6103">
        <w:rPr>
          <w:bCs/>
          <w:color w:val="000000" w:themeColor="text1"/>
        </w:rPr>
        <w:t>).</w:t>
      </w:r>
    </w:p>
    <w:p w14:paraId="3A6B3DF2" w14:textId="3F343C90" w:rsidR="00DA6FBD" w:rsidRDefault="00DA6FBD" w:rsidP="00DA6FBD">
      <w:pPr>
        <w:spacing w:after="0"/>
        <w:jc w:val="both"/>
        <w:rPr>
          <w:bCs/>
          <w:color w:val="000000" w:themeColor="text1"/>
        </w:rPr>
      </w:pPr>
    </w:p>
    <w:p w14:paraId="47A8BA2D" w14:textId="4E856315" w:rsidR="00C03F9F" w:rsidRDefault="00C03F9F" w:rsidP="00C03F9F">
      <w:pPr>
        <w:spacing w:after="0"/>
        <w:rPr>
          <w:b/>
          <w:i/>
          <w:iCs/>
          <w:color w:val="000000" w:themeColor="text1"/>
        </w:rPr>
      </w:pPr>
      <w:r>
        <w:rPr>
          <w:b/>
          <w:i/>
          <w:iCs/>
          <w:color w:val="000000" w:themeColor="text1"/>
        </w:rPr>
        <w:t xml:space="preserve">Prokuratūras darbs </w:t>
      </w:r>
      <w:r w:rsidR="00DA6FBD" w:rsidRPr="006C6103">
        <w:rPr>
          <w:b/>
          <w:i/>
          <w:iCs/>
          <w:color w:val="000000" w:themeColor="text1"/>
        </w:rPr>
        <w:t>operatīvās darbības</w:t>
      </w:r>
      <w:r>
        <w:rPr>
          <w:b/>
          <w:i/>
          <w:iCs/>
          <w:color w:val="000000" w:themeColor="text1"/>
        </w:rPr>
        <w:t xml:space="preserve"> uzraudzības </w:t>
      </w:r>
      <w:r w:rsidR="00DA6FBD" w:rsidRPr="006C6103">
        <w:rPr>
          <w:b/>
          <w:i/>
          <w:iCs/>
          <w:color w:val="000000" w:themeColor="text1"/>
        </w:rPr>
        <w:t>jomā</w:t>
      </w:r>
    </w:p>
    <w:p w14:paraId="21DBFD8F" w14:textId="69E9C147" w:rsidR="00C03F9F" w:rsidRDefault="00C03F9F" w:rsidP="00C03F9F">
      <w:pPr>
        <w:spacing w:after="0"/>
        <w:rPr>
          <w:b/>
          <w:i/>
          <w:iCs/>
          <w:color w:val="000000" w:themeColor="text1"/>
        </w:rPr>
      </w:pPr>
      <w:r>
        <w:rPr>
          <w:b/>
          <w:i/>
          <w:iCs/>
          <w:color w:val="000000" w:themeColor="text1"/>
        </w:rPr>
        <w:t xml:space="preserve"> </w:t>
      </w:r>
    </w:p>
    <w:p w14:paraId="52043D5F" w14:textId="526736FD" w:rsidR="00DA6FBD" w:rsidRDefault="00DA6FBD" w:rsidP="00B55D6B">
      <w:pPr>
        <w:spacing w:after="0"/>
        <w:ind w:firstLine="720"/>
        <w:jc w:val="both"/>
        <w:rPr>
          <w:color w:val="000000" w:themeColor="text1"/>
        </w:rPr>
      </w:pPr>
      <w:r>
        <w:rPr>
          <w:bCs/>
          <w:color w:val="000000" w:themeColor="text1"/>
        </w:rPr>
        <w:t xml:space="preserve">2019.gadā, salīdzinot ar 2018.gadu, samazinājies ģenerālprokurora īpaši pilnvarotu prokuroru izskatīto amatpersonu lēmumu par operatīvās darbības pasākumiem skaits. </w:t>
      </w:r>
      <w:r w:rsidRPr="006C6103">
        <w:rPr>
          <w:bCs/>
          <w:color w:val="000000" w:themeColor="text1"/>
        </w:rPr>
        <w:t xml:space="preserve">2018.gadā kopumā tika akceptēti 152 operatīvās darbības pasākumi, bet 2019.gadā – 108 pasākumi (sk. tabulu </w:t>
      </w:r>
      <w:r w:rsidRPr="00840ACF">
        <w:rPr>
          <w:b/>
          <w:color w:val="000000" w:themeColor="text1"/>
        </w:rPr>
        <w:t>Pielikumā Nr.1 – 27.lpp.</w:t>
      </w:r>
      <w:r w:rsidRPr="006C6103">
        <w:rPr>
          <w:bCs/>
          <w:color w:val="000000" w:themeColor="text1"/>
        </w:rPr>
        <w:t xml:space="preserve">). Būtiski pieaudzis īpaši pilnvarotu prokuroru kompetencē esošo izskatīto iesniegumu skaits, proti, no 252 </w:t>
      </w:r>
      <w:r>
        <w:rPr>
          <w:bCs/>
          <w:color w:val="000000" w:themeColor="text1"/>
        </w:rPr>
        <w:t xml:space="preserve">iesniegumiem </w:t>
      </w:r>
      <w:r w:rsidRPr="006C6103">
        <w:rPr>
          <w:bCs/>
          <w:color w:val="000000" w:themeColor="text1"/>
        </w:rPr>
        <w:t>2018.gadā</w:t>
      </w:r>
      <w:r>
        <w:rPr>
          <w:bCs/>
          <w:color w:val="000000" w:themeColor="text1"/>
        </w:rPr>
        <w:t xml:space="preserve"> </w:t>
      </w:r>
      <w:r w:rsidRPr="006C6103">
        <w:rPr>
          <w:bCs/>
          <w:color w:val="000000" w:themeColor="text1"/>
        </w:rPr>
        <w:t xml:space="preserve">līdz 379 </w:t>
      </w:r>
      <w:r>
        <w:rPr>
          <w:bCs/>
          <w:color w:val="000000" w:themeColor="text1"/>
        </w:rPr>
        <w:t xml:space="preserve">iesniegumiem </w:t>
      </w:r>
      <w:r w:rsidRPr="006C6103">
        <w:rPr>
          <w:bCs/>
          <w:color w:val="000000" w:themeColor="text1"/>
        </w:rPr>
        <w:t xml:space="preserve">2019.gadā. Tāpat īpaši pilnvaroti prokurori 2019.gada laikā </w:t>
      </w:r>
      <w:r w:rsidRPr="006C6103">
        <w:rPr>
          <w:color w:val="000000" w:themeColor="text1"/>
        </w:rPr>
        <w:t>izvērtējuši 177 sūdzības par Finanšu izlūkošanas dienesta izdotajiem rīkojumiem saistībā ar finanšu līdzekļu pagaidu iesaldēšanu.</w:t>
      </w:r>
    </w:p>
    <w:p w14:paraId="15FEBD2F" w14:textId="77777777" w:rsidR="00026B34" w:rsidRPr="00026B34" w:rsidRDefault="00026B34" w:rsidP="00026B34">
      <w:pPr>
        <w:spacing w:after="0"/>
        <w:rPr>
          <w:b/>
          <w:color w:val="000000" w:themeColor="text1"/>
        </w:rPr>
      </w:pPr>
    </w:p>
    <w:p w14:paraId="4343D90C" w14:textId="4458C103" w:rsidR="003075E5" w:rsidRDefault="003075E5" w:rsidP="00026B34">
      <w:pPr>
        <w:spacing w:after="0"/>
        <w:rPr>
          <w:b/>
          <w:i/>
          <w:iCs/>
          <w:color w:val="000000" w:themeColor="text1"/>
        </w:rPr>
      </w:pPr>
      <w:r w:rsidRPr="006C6103">
        <w:rPr>
          <w:b/>
          <w:i/>
          <w:iCs/>
          <w:color w:val="000000" w:themeColor="text1"/>
        </w:rPr>
        <w:lastRenderedPageBreak/>
        <w:t>Prokuratūras darbs starptautiskās krimināltiesiskās sadarbības sfērā</w:t>
      </w:r>
    </w:p>
    <w:p w14:paraId="1BF15FE4" w14:textId="77777777" w:rsidR="00026B34" w:rsidRPr="006C6103" w:rsidRDefault="00026B34" w:rsidP="00026B34">
      <w:pPr>
        <w:spacing w:after="0"/>
        <w:rPr>
          <w:b/>
          <w:i/>
          <w:iCs/>
          <w:color w:val="000000" w:themeColor="text1"/>
        </w:rPr>
      </w:pPr>
    </w:p>
    <w:p w14:paraId="1CEA762E" w14:textId="57B790D5" w:rsidR="003075E5" w:rsidRPr="006C6103" w:rsidRDefault="003075E5" w:rsidP="003075E5">
      <w:pPr>
        <w:spacing w:after="0"/>
        <w:ind w:firstLine="720"/>
        <w:jc w:val="both"/>
        <w:rPr>
          <w:bCs/>
          <w:color w:val="000000" w:themeColor="text1"/>
        </w:rPr>
      </w:pPr>
      <w:r w:rsidRPr="006C6103">
        <w:rPr>
          <w:bCs/>
          <w:color w:val="000000" w:themeColor="text1"/>
        </w:rPr>
        <w:t xml:space="preserve">2019.gadā būtiski pieaudzis no ārvalstīm saņemto tiesiskās </w:t>
      </w:r>
      <w:r>
        <w:rPr>
          <w:bCs/>
          <w:color w:val="000000" w:themeColor="text1"/>
        </w:rPr>
        <w:t>palīdzības</w:t>
      </w:r>
      <w:r w:rsidRPr="006C6103">
        <w:rPr>
          <w:bCs/>
          <w:color w:val="000000" w:themeColor="text1"/>
        </w:rPr>
        <w:t xml:space="preserve"> lūgumu skaits – no 772 </w:t>
      </w:r>
      <w:r>
        <w:rPr>
          <w:bCs/>
          <w:color w:val="000000" w:themeColor="text1"/>
        </w:rPr>
        <w:t xml:space="preserve">lūgumiem </w:t>
      </w:r>
      <w:r w:rsidRPr="006C6103">
        <w:rPr>
          <w:bCs/>
          <w:color w:val="000000" w:themeColor="text1"/>
        </w:rPr>
        <w:t>2018.gadā līdz 929</w:t>
      </w:r>
      <w:r>
        <w:rPr>
          <w:bCs/>
          <w:color w:val="000000" w:themeColor="text1"/>
        </w:rPr>
        <w:t xml:space="preserve"> lūgumiem</w:t>
      </w:r>
      <w:r w:rsidRPr="006C6103">
        <w:rPr>
          <w:bCs/>
          <w:color w:val="000000" w:themeColor="text1"/>
        </w:rPr>
        <w:t xml:space="preserve"> 2019.gadā. Tāpat būtiski pieaudzis ārvalstīm nosūtīto tiesiskās palīdzības lūgumu skaits – no 358 lūgumiem 2018.gadā līdz 551 lūgumam 2019.gadā</w:t>
      </w:r>
      <w:r w:rsidR="004B5981">
        <w:rPr>
          <w:bCs/>
          <w:color w:val="000000" w:themeColor="text1"/>
        </w:rPr>
        <w:t xml:space="preserve">. Savukārt </w:t>
      </w:r>
      <w:r w:rsidR="006A7E60">
        <w:rPr>
          <w:bCs/>
          <w:color w:val="000000" w:themeColor="text1"/>
        </w:rPr>
        <w:t>starptautiskajā meklēšanā izsludināto personu skaits ir samazinājies no 169 personām 2018.gadā</w:t>
      </w:r>
      <w:r w:rsidR="00E11426">
        <w:rPr>
          <w:bCs/>
          <w:color w:val="000000" w:themeColor="text1"/>
        </w:rPr>
        <w:t xml:space="preserve"> līdz </w:t>
      </w:r>
      <w:r w:rsidR="006A7E60">
        <w:rPr>
          <w:bCs/>
          <w:color w:val="000000" w:themeColor="text1"/>
        </w:rPr>
        <w:t xml:space="preserve">112 personām 2019.gadā, kā arī nedaudz samazinājies </w:t>
      </w:r>
      <w:r w:rsidR="00E11426">
        <w:rPr>
          <w:bCs/>
          <w:color w:val="000000" w:themeColor="text1"/>
        </w:rPr>
        <w:t>ārvalstīm nosūtīto</w:t>
      </w:r>
      <w:r w:rsidR="006A7E60">
        <w:rPr>
          <w:bCs/>
          <w:color w:val="000000" w:themeColor="text1"/>
        </w:rPr>
        <w:t xml:space="preserve"> Eiropas apcietinājuma lēmumu skaits no 100 lēmumiem 2018.gadā </w:t>
      </w:r>
      <w:r w:rsidR="00E11426">
        <w:rPr>
          <w:bCs/>
          <w:color w:val="000000" w:themeColor="text1"/>
        </w:rPr>
        <w:t>līdz</w:t>
      </w:r>
      <w:r w:rsidR="006A7E60">
        <w:rPr>
          <w:bCs/>
          <w:color w:val="000000" w:themeColor="text1"/>
        </w:rPr>
        <w:t xml:space="preserve"> 91 lēmum</w:t>
      </w:r>
      <w:r w:rsidR="00E11426">
        <w:rPr>
          <w:bCs/>
          <w:color w:val="000000" w:themeColor="text1"/>
        </w:rPr>
        <w:t>am</w:t>
      </w:r>
      <w:r w:rsidR="006A7E60">
        <w:rPr>
          <w:bCs/>
          <w:color w:val="000000" w:themeColor="text1"/>
        </w:rPr>
        <w:t xml:space="preserve"> 2019.gadā </w:t>
      </w:r>
      <w:r w:rsidRPr="006C6103">
        <w:rPr>
          <w:bCs/>
          <w:color w:val="000000" w:themeColor="text1"/>
        </w:rPr>
        <w:t xml:space="preserve">(sk. tabulu </w:t>
      </w:r>
      <w:r w:rsidRPr="00C9146E">
        <w:rPr>
          <w:b/>
          <w:color w:val="000000" w:themeColor="text1"/>
        </w:rPr>
        <w:t>Pielikumā Nr.1 – 28.lpp.</w:t>
      </w:r>
      <w:r w:rsidRPr="006C6103">
        <w:rPr>
          <w:bCs/>
          <w:color w:val="000000" w:themeColor="text1"/>
        </w:rPr>
        <w:t>).</w:t>
      </w:r>
    </w:p>
    <w:p w14:paraId="2307AB7F" w14:textId="626B0174" w:rsidR="0069741E" w:rsidRDefault="003075E5" w:rsidP="006A7E60">
      <w:pPr>
        <w:spacing w:after="0"/>
        <w:ind w:firstLine="720"/>
        <w:jc w:val="both"/>
        <w:rPr>
          <w:bCs/>
          <w:color w:val="000000" w:themeColor="text1"/>
        </w:rPr>
      </w:pPr>
      <w:r w:rsidRPr="006C6103">
        <w:rPr>
          <w:bCs/>
          <w:color w:val="000000" w:themeColor="text1"/>
        </w:rPr>
        <w:t xml:space="preserve">2019.gadā notikušajā </w:t>
      </w:r>
      <w:r w:rsidR="009E7C76" w:rsidRPr="00E47B06">
        <w:t>Ekonomiskās sadarbības un attīstības organizācija</w:t>
      </w:r>
      <w:r w:rsidR="00CC6E66">
        <w:rPr>
          <w:bCs/>
          <w:color w:val="000000" w:themeColor="text1"/>
        </w:rPr>
        <w:t>s (</w:t>
      </w:r>
      <w:r w:rsidRPr="006C6103">
        <w:rPr>
          <w:bCs/>
          <w:color w:val="000000" w:themeColor="text1"/>
        </w:rPr>
        <w:t>OECD</w:t>
      </w:r>
      <w:r w:rsidR="00CC6E66">
        <w:rPr>
          <w:bCs/>
          <w:color w:val="000000" w:themeColor="text1"/>
        </w:rPr>
        <w:t>)</w:t>
      </w:r>
      <w:r w:rsidRPr="006C6103">
        <w:rPr>
          <w:bCs/>
          <w:color w:val="000000" w:themeColor="text1"/>
        </w:rPr>
        <w:t xml:space="preserve"> novērtēšanā, tāpat kā iepriekšējā gadā </w:t>
      </w:r>
      <w:r w:rsidR="0069741E" w:rsidRPr="00E47B06">
        <w:t xml:space="preserve">Eiropas Padomes Noziedzīgi iegūtu līdzekļu legalizācijas un terorisma finansēšanas novēršanas pasākumu novērtēšanas ekspertu komitejas </w:t>
      </w:r>
      <w:r w:rsidR="0069741E">
        <w:t>(</w:t>
      </w:r>
      <w:proofErr w:type="spellStart"/>
      <w:r w:rsidRPr="006C6103">
        <w:rPr>
          <w:bCs/>
          <w:i/>
          <w:iCs/>
          <w:color w:val="000000" w:themeColor="text1"/>
        </w:rPr>
        <w:t>Moneyval</w:t>
      </w:r>
      <w:proofErr w:type="spellEnd"/>
      <w:r w:rsidR="0069741E">
        <w:rPr>
          <w:bCs/>
          <w:color w:val="000000" w:themeColor="text1"/>
        </w:rPr>
        <w:t xml:space="preserve">) </w:t>
      </w:r>
      <w:r w:rsidRPr="006C6103">
        <w:rPr>
          <w:bCs/>
          <w:color w:val="000000" w:themeColor="text1"/>
        </w:rPr>
        <w:t xml:space="preserve">veiktajā novērtējumā, eksperti augsti novērtēja Latvijas sasniegumus starptautiskās </w:t>
      </w:r>
      <w:r w:rsidR="00E11426">
        <w:rPr>
          <w:bCs/>
          <w:color w:val="000000" w:themeColor="text1"/>
        </w:rPr>
        <w:t xml:space="preserve">krimināltiesiskās </w:t>
      </w:r>
      <w:r w:rsidRPr="006C6103">
        <w:rPr>
          <w:bCs/>
          <w:color w:val="000000" w:themeColor="text1"/>
        </w:rPr>
        <w:t>sadarbības nodrošināšanā, it īpaši, ņemot vērā tiesiskās palīdzības sniegšanas ātrumu Latvijai pieejamo resursu kontekstā.</w:t>
      </w:r>
    </w:p>
    <w:p w14:paraId="17FFA6E5" w14:textId="77777777" w:rsidR="00026B34" w:rsidRPr="006C6103" w:rsidRDefault="00026B34" w:rsidP="00026B34">
      <w:pPr>
        <w:spacing w:after="0"/>
        <w:ind w:firstLine="720"/>
        <w:jc w:val="both"/>
        <w:rPr>
          <w:bCs/>
          <w:color w:val="000000" w:themeColor="text1"/>
        </w:rPr>
      </w:pPr>
    </w:p>
    <w:p w14:paraId="1F1C0A9D" w14:textId="33020079" w:rsidR="003075E5" w:rsidRDefault="003075E5" w:rsidP="00026B34">
      <w:pPr>
        <w:spacing w:after="0"/>
        <w:jc w:val="both"/>
        <w:rPr>
          <w:b/>
          <w:i/>
          <w:iCs/>
          <w:color w:val="000000" w:themeColor="text1"/>
        </w:rPr>
      </w:pPr>
      <w:r w:rsidRPr="006C6103">
        <w:rPr>
          <w:b/>
          <w:i/>
          <w:iCs/>
          <w:color w:val="000000" w:themeColor="text1"/>
        </w:rPr>
        <w:t xml:space="preserve">Prokuratūras darbs </w:t>
      </w:r>
      <w:r>
        <w:rPr>
          <w:b/>
          <w:i/>
          <w:iCs/>
          <w:color w:val="000000" w:themeColor="text1"/>
        </w:rPr>
        <w:t xml:space="preserve">saistībā ar </w:t>
      </w:r>
      <w:r w:rsidRPr="006C6103">
        <w:rPr>
          <w:b/>
          <w:i/>
          <w:iCs/>
          <w:color w:val="000000" w:themeColor="text1"/>
        </w:rPr>
        <w:t>normatīvo aktu projekt</w:t>
      </w:r>
      <w:r>
        <w:rPr>
          <w:b/>
          <w:i/>
          <w:iCs/>
          <w:color w:val="000000" w:themeColor="text1"/>
        </w:rPr>
        <w:t>iem un citu dokumentu izstrādi</w:t>
      </w:r>
    </w:p>
    <w:p w14:paraId="6ED90310" w14:textId="77777777" w:rsidR="00026B34" w:rsidRPr="006C6103" w:rsidRDefault="00026B34" w:rsidP="00026B34">
      <w:pPr>
        <w:spacing w:after="0"/>
        <w:jc w:val="both"/>
        <w:rPr>
          <w:b/>
          <w:i/>
          <w:iCs/>
          <w:color w:val="000000" w:themeColor="text1"/>
        </w:rPr>
      </w:pPr>
    </w:p>
    <w:p w14:paraId="11CFF47E" w14:textId="35DA2C15" w:rsidR="003075E5" w:rsidRPr="006C6103" w:rsidRDefault="008D07AC" w:rsidP="00E45E36">
      <w:pPr>
        <w:spacing w:after="0"/>
        <w:ind w:firstLine="720"/>
        <w:jc w:val="both"/>
        <w:rPr>
          <w:bCs/>
          <w:color w:val="000000" w:themeColor="text1"/>
        </w:rPr>
      </w:pPr>
      <w:r>
        <w:rPr>
          <w:color w:val="000000" w:themeColor="text1"/>
        </w:rPr>
        <w:t>Metodikas nodaļas p</w:t>
      </w:r>
      <w:r w:rsidR="003075E5" w:rsidRPr="006C6103">
        <w:rPr>
          <w:color w:val="000000" w:themeColor="text1"/>
        </w:rPr>
        <w:t xml:space="preserve">rokurori 2019.gadā kopumā izstrādājuši 425 (2018.g. – 342) dažāda rakstura informatīvās un dienesta vēstules, </w:t>
      </w:r>
      <w:r w:rsidR="00587C02">
        <w:rPr>
          <w:color w:val="000000" w:themeColor="text1"/>
        </w:rPr>
        <w:t xml:space="preserve">tostarp atbildes uz ārvalstu institūciju pieprasījumiem, </w:t>
      </w:r>
      <w:r>
        <w:rPr>
          <w:color w:val="000000" w:themeColor="text1"/>
        </w:rPr>
        <w:t xml:space="preserve">prokuratūras iekšējo normatīvo aktu - </w:t>
      </w:r>
      <w:r w:rsidR="003075E5" w:rsidRPr="006C6103">
        <w:rPr>
          <w:color w:val="000000" w:themeColor="text1"/>
        </w:rPr>
        <w:t>instrukcij</w:t>
      </w:r>
      <w:r>
        <w:rPr>
          <w:color w:val="000000" w:themeColor="text1"/>
        </w:rPr>
        <w:t>u</w:t>
      </w:r>
      <w:r w:rsidR="003075E5" w:rsidRPr="006C6103">
        <w:rPr>
          <w:color w:val="000000" w:themeColor="text1"/>
        </w:rPr>
        <w:t>, nolikumu, pavē</w:t>
      </w:r>
      <w:r>
        <w:rPr>
          <w:color w:val="000000" w:themeColor="text1"/>
        </w:rPr>
        <w:t xml:space="preserve">ļu un </w:t>
      </w:r>
      <w:r w:rsidR="003075E5" w:rsidRPr="006C6103">
        <w:rPr>
          <w:color w:val="000000" w:themeColor="text1"/>
        </w:rPr>
        <w:t>rīkojumu</w:t>
      </w:r>
      <w:r w:rsidR="00A80C0A">
        <w:rPr>
          <w:color w:val="000000" w:themeColor="text1"/>
        </w:rPr>
        <w:t xml:space="preserve"> – </w:t>
      </w:r>
      <w:r>
        <w:rPr>
          <w:color w:val="000000" w:themeColor="text1"/>
        </w:rPr>
        <w:t>projektus</w:t>
      </w:r>
      <w:r w:rsidR="00587C02">
        <w:rPr>
          <w:color w:val="000000" w:themeColor="text1"/>
        </w:rPr>
        <w:t>, sagatavojuši apkopojumus</w:t>
      </w:r>
      <w:r>
        <w:rPr>
          <w:color w:val="000000" w:themeColor="text1"/>
        </w:rPr>
        <w:t xml:space="preserve"> </w:t>
      </w:r>
      <w:r w:rsidR="003075E5" w:rsidRPr="006C6103">
        <w:rPr>
          <w:color w:val="000000" w:themeColor="text1"/>
        </w:rPr>
        <w:t>u.c. dokumentus</w:t>
      </w:r>
      <w:r>
        <w:rPr>
          <w:color w:val="000000" w:themeColor="text1"/>
        </w:rPr>
        <w:t>.</w:t>
      </w:r>
      <w:r w:rsidR="003075E5" w:rsidRPr="006C6103">
        <w:rPr>
          <w:color w:val="000000" w:themeColor="text1"/>
        </w:rPr>
        <w:t xml:space="preserve"> Tāpat prokurori piedalījušies 510 (2018.g. – 426) </w:t>
      </w:r>
      <w:r w:rsidR="00587C02">
        <w:rPr>
          <w:color w:val="000000" w:themeColor="text1"/>
        </w:rPr>
        <w:t xml:space="preserve">Ministru kabineta kārtības rullī paredzētajās starpinstitūciju </w:t>
      </w:r>
      <w:r w:rsidR="003075E5" w:rsidRPr="006C6103">
        <w:rPr>
          <w:color w:val="000000" w:themeColor="text1"/>
        </w:rPr>
        <w:t>saskaņošanas sanāksmēs, Saeimas komisiju un apakškomisiju sēdēs, dažādu darba grupu</w:t>
      </w:r>
      <w:r w:rsidR="004D575C">
        <w:rPr>
          <w:color w:val="000000" w:themeColor="text1"/>
        </w:rPr>
        <w:t>, komisiju</w:t>
      </w:r>
      <w:r w:rsidR="003075E5" w:rsidRPr="006C6103">
        <w:rPr>
          <w:color w:val="000000" w:themeColor="text1"/>
        </w:rPr>
        <w:t xml:space="preserve"> </w:t>
      </w:r>
      <w:r w:rsidR="00B55D6B">
        <w:rPr>
          <w:color w:val="000000" w:themeColor="text1"/>
        </w:rPr>
        <w:t xml:space="preserve">un starpinstitūciju </w:t>
      </w:r>
      <w:r w:rsidR="003075E5" w:rsidRPr="006C6103">
        <w:rPr>
          <w:color w:val="000000" w:themeColor="text1"/>
        </w:rPr>
        <w:t xml:space="preserve">sanāksmēs. Ir nodrošināta prokuratūras pārstāvju piedalīšanās praktiski visās </w:t>
      </w:r>
      <w:r w:rsidR="00587C02">
        <w:rPr>
          <w:color w:val="000000" w:themeColor="text1"/>
        </w:rPr>
        <w:t xml:space="preserve">starpinstitūciju </w:t>
      </w:r>
      <w:r w:rsidR="003075E5" w:rsidRPr="006C6103">
        <w:rPr>
          <w:color w:val="000000" w:themeColor="text1"/>
        </w:rPr>
        <w:t>darba grupās grozījumu izstrādei normatīvajos aktos, kur</w:t>
      </w:r>
      <w:r w:rsidR="00587C02">
        <w:rPr>
          <w:color w:val="000000" w:themeColor="text1"/>
        </w:rPr>
        <w:t>i</w:t>
      </w:r>
      <w:r w:rsidR="003075E5" w:rsidRPr="006C6103">
        <w:rPr>
          <w:color w:val="000000" w:themeColor="text1"/>
        </w:rPr>
        <w:t xml:space="preserve"> aptver prokuratūras darbības virzien</w:t>
      </w:r>
      <w:r w:rsidR="00587C02">
        <w:rPr>
          <w:color w:val="000000" w:themeColor="text1"/>
        </w:rPr>
        <w:t>us</w:t>
      </w:r>
      <w:r w:rsidR="003075E5" w:rsidRPr="006C6103">
        <w:rPr>
          <w:color w:val="000000" w:themeColor="text1"/>
        </w:rPr>
        <w:t xml:space="preserve"> un funkcijas. Prokurori snieguši 84 (2018.g. – 116) atzinumus par tiesību aktu un politikas dokumentu projektiem </w:t>
      </w:r>
      <w:r w:rsidR="003075E5" w:rsidRPr="006C6103">
        <w:rPr>
          <w:bCs/>
          <w:color w:val="000000" w:themeColor="text1"/>
        </w:rPr>
        <w:t xml:space="preserve">(sk. tabulu </w:t>
      </w:r>
      <w:r w:rsidR="003075E5" w:rsidRPr="00DA6FBD">
        <w:rPr>
          <w:b/>
          <w:color w:val="000000" w:themeColor="text1"/>
        </w:rPr>
        <w:t>Pielikumā Nr.1 – 29.lpp.</w:t>
      </w:r>
      <w:r w:rsidR="003075E5" w:rsidRPr="006C6103">
        <w:rPr>
          <w:bCs/>
          <w:color w:val="000000" w:themeColor="text1"/>
        </w:rPr>
        <w:t>).</w:t>
      </w:r>
    </w:p>
    <w:p w14:paraId="61C07125" w14:textId="77777777" w:rsidR="0091244A" w:rsidRPr="0091244A" w:rsidRDefault="0091244A" w:rsidP="00EA0889">
      <w:pPr>
        <w:spacing w:after="0"/>
        <w:jc w:val="both"/>
        <w:rPr>
          <w:bCs/>
        </w:rPr>
      </w:pPr>
    </w:p>
    <w:p w14:paraId="61DC974D" w14:textId="54EE1BBF" w:rsidR="00785F0F" w:rsidRDefault="00785F0F" w:rsidP="0091244A">
      <w:pPr>
        <w:spacing w:after="0"/>
        <w:rPr>
          <w:b/>
          <w:i/>
          <w:iCs/>
          <w:color w:val="000000" w:themeColor="text1"/>
        </w:rPr>
      </w:pPr>
      <w:r w:rsidRPr="006C6103">
        <w:rPr>
          <w:b/>
          <w:i/>
          <w:iCs/>
          <w:color w:val="000000" w:themeColor="text1"/>
        </w:rPr>
        <w:t xml:space="preserve">Prokuratūras darbs </w:t>
      </w:r>
      <w:r w:rsidR="008A2DA0">
        <w:rPr>
          <w:b/>
          <w:i/>
          <w:iCs/>
          <w:color w:val="000000" w:themeColor="text1"/>
        </w:rPr>
        <w:t>civillietu izskatīšanā tiesā</w:t>
      </w:r>
    </w:p>
    <w:p w14:paraId="709CF1E0" w14:textId="77777777" w:rsidR="0091244A" w:rsidRPr="006C6103" w:rsidRDefault="0091244A" w:rsidP="0091244A">
      <w:pPr>
        <w:spacing w:after="0"/>
        <w:rPr>
          <w:b/>
          <w:i/>
          <w:iCs/>
          <w:color w:val="000000" w:themeColor="text1"/>
        </w:rPr>
      </w:pPr>
    </w:p>
    <w:p w14:paraId="48D223BB" w14:textId="6B2D8DBB" w:rsidR="00336051" w:rsidRDefault="00785F0F" w:rsidP="009D06D7">
      <w:pPr>
        <w:spacing w:after="0"/>
        <w:ind w:firstLine="720"/>
        <w:jc w:val="both"/>
        <w:rPr>
          <w:color w:val="000000" w:themeColor="text1"/>
        </w:rPr>
      </w:pPr>
      <w:r w:rsidRPr="006C6103">
        <w:rPr>
          <w:color w:val="000000" w:themeColor="text1"/>
        </w:rPr>
        <w:t xml:space="preserve">2019.gadā prokurori piedalījušies 601 civillietas izskatīšanā pirmās instances tiesās. Salīdzinot ar 2018. gadu, </w:t>
      </w:r>
      <w:r w:rsidR="00D07EE0" w:rsidRPr="006C6103">
        <w:rPr>
          <w:color w:val="000000" w:themeColor="text1"/>
        </w:rPr>
        <w:t>būtiskas izmaiņas</w:t>
      </w:r>
      <w:r w:rsidR="00D07EE0">
        <w:rPr>
          <w:color w:val="000000" w:themeColor="text1"/>
        </w:rPr>
        <w:t xml:space="preserve"> nav notikušas (</w:t>
      </w:r>
      <w:r w:rsidR="003B5632">
        <w:rPr>
          <w:color w:val="000000" w:themeColor="text1"/>
        </w:rPr>
        <w:t xml:space="preserve">2018.gadā </w:t>
      </w:r>
      <w:r w:rsidR="00D07EE0">
        <w:rPr>
          <w:color w:val="000000" w:themeColor="text1"/>
        </w:rPr>
        <w:t xml:space="preserve">prokurori </w:t>
      </w:r>
      <w:r w:rsidR="008A2DA0">
        <w:rPr>
          <w:color w:val="000000" w:themeColor="text1"/>
        </w:rPr>
        <w:t>piedalīj</w:t>
      </w:r>
      <w:r w:rsidR="00D07EE0">
        <w:rPr>
          <w:color w:val="000000" w:themeColor="text1"/>
        </w:rPr>
        <w:t>ās</w:t>
      </w:r>
      <w:r w:rsidR="008A2DA0">
        <w:rPr>
          <w:color w:val="000000" w:themeColor="text1"/>
        </w:rPr>
        <w:t xml:space="preserve"> 598 civillietu izskatīšanā pirmās instances tiesā</w:t>
      </w:r>
      <w:r w:rsidR="00D07EE0">
        <w:rPr>
          <w:color w:val="000000" w:themeColor="text1"/>
        </w:rPr>
        <w:t>)</w:t>
      </w:r>
      <w:r w:rsidRPr="006C6103">
        <w:rPr>
          <w:color w:val="000000" w:themeColor="text1"/>
        </w:rPr>
        <w:t xml:space="preserve">. </w:t>
      </w:r>
      <w:r w:rsidR="00D07EE0">
        <w:rPr>
          <w:color w:val="000000" w:themeColor="text1"/>
        </w:rPr>
        <w:t>A</w:t>
      </w:r>
      <w:r w:rsidRPr="006C6103">
        <w:rPr>
          <w:color w:val="000000" w:themeColor="text1"/>
        </w:rPr>
        <w:t>pelācijas instanc</w:t>
      </w:r>
      <w:r w:rsidR="004D575C">
        <w:rPr>
          <w:color w:val="000000" w:themeColor="text1"/>
        </w:rPr>
        <w:t>es tiesā</w:t>
      </w:r>
      <w:r w:rsidR="00D07EE0">
        <w:rPr>
          <w:color w:val="000000" w:themeColor="text1"/>
        </w:rPr>
        <w:t xml:space="preserve"> ar prokurora piedalīšanos</w:t>
      </w:r>
      <w:r w:rsidR="00D07EE0" w:rsidRPr="006C6103">
        <w:rPr>
          <w:color w:val="000000" w:themeColor="text1"/>
        </w:rPr>
        <w:t xml:space="preserve"> </w:t>
      </w:r>
      <w:r w:rsidRPr="006C6103">
        <w:rPr>
          <w:color w:val="000000" w:themeColor="text1"/>
        </w:rPr>
        <w:t>izskatīto civillietu skaits ir samazinājies. 2019.gadā apelācijas instanc</w:t>
      </w:r>
      <w:r w:rsidR="00595249">
        <w:rPr>
          <w:color w:val="000000" w:themeColor="text1"/>
        </w:rPr>
        <w:t>es tiesā</w:t>
      </w:r>
      <w:r w:rsidRPr="006C6103">
        <w:rPr>
          <w:color w:val="000000" w:themeColor="text1"/>
        </w:rPr>
        <w:t xml:space="preserve"> izskatītas 14 civillietas</w:t>
      </w:r>
      <w:r w:rsidR="00595249">
        <w:rPr>
          <w:color w:val="000000" w:themeColor="text1"/>
        </w:rPr>
        <w:t xml:space="preserve"> ar prokurora piedalīšanos</w:t>
      </w:r>
      <w:r w:rsidRPr="006C6103">
        <w:rPr>
          <w:color w:val="000000" w:themeColor="text1"/>
        </w:rPr>
        <w:t xml:space="preserve">, kas ir par 6 </w:t>
      </w:r>
      <w:r w:rsidR="00595249">
        <w:rPr>
          <w:color w:val="000000" w:themeColor="text1"/>
        </w:rPr>
        <w:t>civil</w:t>
      </w:r>
      <w:r w:rsidRPr="006C6103">
        <w:rPr>
          <w:color w:val="000000" w:themeColor="text1"/>
        </w:rPr>
        <w:t>lietām jeb 30% mazāk</w:t>
      </w:r>
      <w:r w:rsidR="00D07EE0">
        <w:rPr>
          <w:color w:val="000000" w:themeColor="text1"/>
        </w:rPr>
        <w:t xml:space="preserve"> nekā 2018.gadā</w:t>
      </w:r>
      <w:r w:rsidRPr="006C6103">
        <w:rPr>
          <w:color w:val="000000" w:themeColor="text1"/>
        </w:rPr>
        <w:t xml:space="preserve">. </w:t>
      </w:r>
      <w:r w:rsidR="00FB23BB">
        <w:rPr>
          <w:color w:val="000000" w:themeColor="text1"/>
        </w:rPr>
        <w:t xml:space="preserve">Savukārt </w:t>
      </w:r>
      <w:r w:rsidRPr="006C6103">
        <w:rPr>
          <w:color w:val="000000" w:themeColor="text1"/>
        </w:rPr>
        <w:t>2019.gadā kasācijas instanc</w:t>
      </w:r>
      <w:r w:rsidR="009D06D7">
        <w:rPr>
          <w:color w:val="000000" w:themeColor="text1"/>
        </w:rPr>
        <w:t>es tiesā</w:t>
      </w:r>
      <w:r w:rsidRPr="006C6103">
        <w:rPr>
          <w:color w:val="000000" w:themeColor="text1"/>
        </w:rPr>
        <w:t xml:space="preserve"> izskatīta 31 </w:t>
      </w:r>
      <w:r w:rsidR="00595249">
        <w:rPr>
          <w:color w:val="000000" w:themeColor="text1"/>
        </w:rPr>
        <w:t>civil</w:t>
      </w:r>
      <w:r w:rsidRPr="006C6103">
        <w:rPr>
          <w:color w:val="000000" w:themeColor="text1"/>
        </w:rPr>
        <w:t>lieta</w:t>
      </w:r>
      <w:r w:rsidR="009D06D7">
        <w:rPr>
          <w:color w:val="000000" w:themeColor="text1"/>
        </w:rPr>
        <w:t xml:space="preserve"> ar prokurora piedalīšanos</w:t>
      </w:r>
      <w:r w:rsidRPr="006C6103">
        <w:rPr>
          <w:color w:val="000000" w:themeColor="text1"/>
        </w:rPr>
        <w:t xml:space="preserve">, kas ir par 7 </w:t>
      </w:r>
      <w:r w:rsidR="00595249">
        <w:rPr>
          <w:color w:val="000000" w:themeColor="text1"/>
        </w:rPr>
        <w:t>civil</w:t>
      </w:r>
      <w:r w:rsidRPr="006C6103">
        <w:rPr>
          <w:color w:val="000000" w:themeColor="text1"/>
        </w:rPr>
        <w:t xml:space="preserve">lietām jeb 29,2 % vairāk </w:t>
      </w:r>
      <w:r w:rsidR="00595249">
        <w:rPr>
          <w:color w:val="000000" w:themeColor="text1"/>
        </w:rPr>
        <w:t>ne</w:t>
      </w:r>
      <w:r w:rsidRPr="006C6103">
        <w:rPr>
          <w:color w:val="000000" w:themeColor="text1"/>
        </w:rPr>
        <w:t>kā 2018.gadā</w:t>
      </w:r>
      <w:r w:rsidR="00BE369B" w:rsidRPr="006C6103">
        <w:rPr>
          <w:color w:val="000000" w:themeColor="text1"/>
        </w:rPr>
        <w:t xml:space="preserve"> (sk. tabulu </w:t>
      </w:r>
      <w:r w:rsidR="00BE369B" w:rsidRPr="009D06D7">
        <w:rPr>
          <w:b/>
          <w:bCs/>
          <w:color w:val="000000" w:themeColor="text1"/>
        </w:rPr>
        <w:t xml:space="preserve">Pielikumā Nr.1 – </w:t>
      </w:r>
      <w:r w:rsidR="00A029B8" w:rsidRPr="009D06D7">
        <w:rPr>
          <w:b/>
          <w:bCs/>
          <w:color w:val="000000" w:themeColor="text1"/>
        </w:rPr>
        <w:t>30</w:t>
      </w:r>
      <w:r w:rsidR="00BE369B" w:rsidRPr="009D06D7">
        <w:rPr>
          <w:b/>
          <w:bCs/>
          <w:color w:val="000000" w:themeColor="text1"/>
        </w:rPr>
        <w:t>.lpp.</w:t>
      </w:r>
      <w:r w:rsidR="00BE369B" w:rsidRPr="006C6103">
        <w:rPr>
          <w:color w:val="000000" w:themeColor="text1"/>
        </w:rPr>
        <w:t>).</w:t>
      </w:r>
    </w:p>
    <w:p w14:paraId="3DCFCBEF" w14:textId="77777777" w:rsidR="009D06D7" w:rsidRPr="006C6103" w:rsidRDefault="009D06D7" w:rsidP="009D06D7">
      <w:pPr>
        <w:spacing w:after="0"/>
        <w:ind w:firstLine="720"/>
        <w:jc w:val="both"/>
        <w:rPr>
          <w:color w:val="000000" w:themeColor="text1"/>
        </w:rPr>
      </w:pPr>
    </w:p>
    <w:p w14:paraId="4EA62975" w14:textId="7B792BFE" w:rsidR="009D06D7" w:rsidRDefault="00336051" w:rsidP="009D06D7">
      <w:pPr>
        <w:spacing w:after="0"/>
        <w:jc w:val="both"/>
        <w:rPr>
          <w:b/>
          <w:bCs/>
          <w:i/>
          <w:iCs/>
          <w:color w:val="000000" w:themeColor="text1"/>
        </w:rPr>
      </w:pPr>
      <w:r w:rsidRPr="006C6103">
        <w:rPr>
          <w:b/>
          <w:bCs/>
          <w:i/>
          <w:iCs/>
          <w:color w:val="000000" w:themeColor="text1"/>
        </w:rPr>
        <w:t>Sūdzības un iesniegumi</w:t>
      </w:r>
    </w:p>
    <w:p w14:paraId="72999A6B" w14:textId="77777777" w:rsidR="009D06D7" w:rsidRPr="006C6103" w:rsidRDefault="009D06D7" w:rsidP="009D06D7">
      <w:pPr>
        <w:spacing w:after="0"/>
        <w:jc w:val="both"/>
        <w:rPr>
          <w:b/>
          <w:bCs/>
          <w:i/>
          <w:iCs/>
          <w:color w:val="000000" w:themeColor="text1"/>
        </w:rPr>
      </w:pPr>
    </w:p>
    <w:p w14:paraId="4B1E99BB" w14:textId="77777777" w:rsidR="00BE5703" w:rsidRDefault="00336051" w:rsidP="00BE5703">
      <w:pPr>
        <w:spacing w:after="0"/>
        <w:ind w:firstLine="720"/>
        <w:jc w:val="both"/>
        <w:rPr>
          <w:color w:val="000000" w:themeColor="text1"/>
        </w:rPr>
      </w:pPr>
      <w:r w:rsidRPr="006C6103">
        <w:rPr>
          <w:color w:val="000000" w:themeColor="text1"/>
        </w:rPr>
        <w:t>2019.gadā</w:t>
      </w:r>
      <w:r w:rsidR="009D06D7">
        <w:rPr>
          <w:color w:val="000000" w:themeColor="text1"/>
        </w:rPr>
        <w:t xml:space="preserve"> prokuratūrā</w:t>
      </w:r>
      <w:r w:rsidRPr="006C6103">
        <w:rPr>
          <w:color w:val="000000" w:themeColor="text1"/>
        </w:rPr>
        <w:t xml:space="preserve"> izskatītas 10 088 sūdzības un iesniegumi, kas ir par 422 sūdzībām</w:t>
      </w:r>
      <w:r w:rsidR="00D101DC">
        <w:rPr>
          <w:color w:val="000000" w:themeColor="text1"/>
        </w:rPr>
        <w:t xml:space="preserve"> un iesniegumiem </w:t>
      </w:r>
      <w:r w:rsidRPr="006C6103">
        <w:rPr>
          <w:color w:val="000000" w:themeColor="text1"/>
        </w:rPr>
        <w:t>jeb 4 %</w:t>
      </w:r>
      <w:r w:rsidR="009D06D7">
        <w:rPr>
          <w:color w:val="000000" w:themeColor="text1"/>
        </w:rPr>
        <w:t xml:space="preserve"> </w:t>
      </w:r>
      <w:r w:rsidRPr="006C6103">
        <w:rPr>
          <w:color w:val="000000" w:themeColor="text1"/>
        </w:rPr>
        <w:t>mazāk nekā 2018.gadā. No 2019.gadā saņemtajām sūdzībām</w:t>
      </w:r>
      <w:r w:rsidR="009D06D7">
        <w:rPr>
          <w:color w:val="000000" w:themeColor="text1"/>
        </w:rPr>
        <w:t xml:space="preserve"> un </w:t>
      </w:r>
      <w:r w:rsidRPr="006C6103">
        <w:rPr>
          <w:color w:val="000000" w:themeColor="text1"/>
        </w:rPr>
        <w:t>iesniegumiem 8 324 bijušas saistībā ar kriminālprocesiem. Tāpat kā kopējais sūdzību</w:t>
      </w:r>
      <w:r w:rsidR="009D06D7">
        <w:rPr>
          <w:color w:val="000000" w:themeColor="text1"/>
        </w:rPr>
        <w:t xml:space="preserve"> un </w:t>
      </w:r>
      <w:r w:rsidRPr="006C6103">
        <w:rPr>
          <w:color w:val="000000" w:themeColor="text1"/>
        </w:rPr>
        <w:t>iesniegumu skaits ir samazinājies, tā arī sūdzīb</w:t>
      </w:r>
      <w:r w:rsidR="00D101DC">
        <w:rPr>
          <w:color w:val="000000" w:themeColor="text1"/>
        </w:rPr>
        <w:t>u</w:t>
      </w:r>
      <w:r w:rsidR="009D06D7">
        <w:rPr>
          <w:color w:val="000000" w:themeColor="text1"/>
        </w:rPr>
        <w:t xml:space="preserve"> un</w:t>
      </w:r>
      <w:r w:rsidRPr="006C6103">
        <w:rPr>
          <w:color w:val="000000" w:themeColor="text1"/>
        </w:rPr>
        <w:t xml:space="preserve"> iesniegum</w:t>
      </w:r>
      <w:r w:rsidR="00D101DC">
        <w:rPr>
          <w:color w:val="000000" w:themeColor="text1"/>
        </w:rPr>
        <w:t xml:space="preserve">u </w:t>
      </w:r>
      <w:r w:rsidRPr="006C6103">
        <w:rPr>
          <w:color w:val="000000" w:themeColor="text1"/>
        </w:rPr>
        <w:t xml:space="preserve">saistībā ar kriminālprocesiem </w:t>
      </w:r>
      <w:r w:rsidR="00D101DC">
        <w:rPr>
          <w:color w:val="000000" w:themeColor="text1"/>
        </w:rPr>
        <w:t xml:space="preserve">skaits </w:t>
      </w:r>
      <w:r w:rsidRPr="006C6103">
        <w:rPr>
          <w:color w:val="000000" w:themeColor="text1"/>
        </w:rPr>
        <w:t>salīdzinājumā ar 2018.gadu ir samazināj</w:t>
      </w:r>
      <w:r w:rsidR="00D101DC">
        <w:rPr>
          <w:color w:val="000000" w:themeColor="text1"/>
        </w:rPr>
        <w:t>ies</w:t>
      </w:r>
      <w:r w:rsidRPr="006C6103">
        <w:rPr>
          <w:color w:val="000000" w:themeColor="text1"/>
        </w:rPr>
        <w:t>, proti, par 554 sūdzībām</w:t>
      </w:r>
      <w:r w:rsidR="00D101DC">
        <w:rPr>
          <w:color w:val="000000" w:themeColor="text1"/>
        </w:rPr>
        <w:t xml:space="preserve"> un iesniegumiem</w:t>
      </w:r>
      <w:r w:rsidRPr="006C6103">
        <w:rPr>
          <w:color w:val="000000" w:themeColor="text1"/>
        </w:rPr>
        <w:t xml:space="preserve"> jeb 6,2 %</w:t>
      </w:r>
      <w:r w:rsidR="00A029B8" w:rsidRPr="006C6103">
        <w:rPr>
          <w:color w:val="000000" w:themeColor="text1"/>
        </w:rPr>
        <w:t xml:space="preserve"> (sk. tabulu </w:t>
      </w:r>
      <w:r w:rsidR="00A029B8" w:rsidRPr="00D101DC">
        <w:rPr>
          <w:b/>
          <w:bCs/>
          <w:color w:val="000000" w:themeColor="text1"/>
        </w:rPr>
        <w:t>Pielikumā Nr.1 – 31.lpp.</w:t>
      </w:r>
      <w:r w:rsidR="00A029B8" w:rsidRPr="006C6103">
        <w:rPr>
          <w:color w:val="000000" w:themeColor="text1"/>
        </w:rPr>
        <w:t>)</w:t>
      </w:r>
    </w:p>
    <w:p w14:paraId="32647EB9" w14:textId="2D1649EB" w:rsidR="00614952" w:rsidRPr="00BE5703" w:rsidRDefault="00100242" w:rsidP="00BE5703">
      <w:pPr>
        <w:spacing w:after="0"/>
        <w:jc w:val="both"/>
        <w:rPr>
          <w:color w:val="000000" w:themeColor="text1"/>
        </w:rPr>
      </w:pPr>
      <w:r w:rsidRPr="006C6103">
        <w:rPr>
          <w:b/>
          <w:i/>
          <w:iCs/>
          <w:color w:val="000000" w:themeColor="text1"/>
        </w:rPr>
        <w:lastRenderedPageBreak/>
        <w:t>Ar prokuroru personālu saistīti jautājumi</w:t>
      </w:r>
    </w:p>
    <w:p w14:paraId="7BB9C872" w14:textId="77777777" w:rsidR="00A80C0A" w:rsidRDefault="00A80C0A" w:rsidP="00E45E36">
      <w:pPr>
        <w:spacing w:after="0"/>
        <w:jc w:val="both"/>
        <w:rPr>
          <w:b/>
          <w:i/>
          <w:iCs/>
          <w:color w:val="000000" w:themeColor="text1"/>
        </w:rPr>
      </w:pPr>
    </w:p>
    <w:p w14:paraId="2D45F189" w14:textId="2C10C59B" w:rsidR="008C190A" w:rsidRDefault="00BE369B" w:rsidP="00A80C0A">
      <w:pPr>
        <w:spacing w:after="0"/>
        <w:ind w:firstLine="720"/>
        <w:jc w:val="both"/>
        <w:rPr>
          <w:color w:val="000000" w:themeColor="text1"/>
        </w:rPr>
      </w:pPr>
      <w:r w:rsidRPr="006C6103">
        <w:rPr>
          <w:color w:val="000000" w:themeColor="text1"/>
        </w:rPr>
        <w:t>2019.gada 31.decembrī prokuratūrā strādāja 459 prokurori (92 % no amata vietu skaita). Kopumā no 2005.gada vērojams pakāpenisks prokurora amata vietu skaita samazinājums. 60,1% no kopējā skaita prokurora amat</w:t>
      </w:r>
      <w:r w:rsidR="00454BF4">
        <w:rPr>
          <w:color w:val="000000" w:themeColor="text1"/>
        </w:rPr>
        <w:t>a pienākumus pilda</w:t>
      </w:r>
      <w:r w:rsidRPr="006C6103">
        <w:rPr>
          <w:color w:val="000000" w:themeColor="text1"/>
        </w:rPr>
        <w:t xml:space="preserve"> sievietes. No kopumā 50 virsprokurora amatiem sieviešu un vīriešu  īpatsvars ir vienāds – 25 sievietes un 25 </w:t>
      </w:r>
      <w:r w:rsidR="004B1668">
        <w:rPr>
          <w:color w:val="000000" w:themeColor="text1"/>
        </w:rPr>
        <w:t>vīrieši</w:t>
      </w:r>
      <w:r w:rsidR="00A029B8" w:rsidRPr="006C6103">
        <w:rPr>
          <w:color w:val="000000" w:themeColor="text1"/>
        </w:rPr>
        <w:t xml:space="preserve"> (sk. tabulu </w:t>
      </w:r>
      <w:r w:rsidR="00A029B8" w:rsidRPr="00E45E36">
        <w:rPr>
          <w:b/>
          <w:bCs/>
          <w:color w:val="000000" w:themeColor="text1"/>
        </w:rPr>
        <w:t>Pielikumā Nr.1 – 32. un 33.lpp.</w:t>
      </w:r>
      <w:r w:rsidR="00A029B8" w:rsidRPr="006C6103">
        <w:rPr>
          <w:color w:val="000000" w:themeColor="text1"/>
        </w:rPr>
        <w:t>). Analizējot prokuroru darba stāža ilgumu</w:t>
      </w:r>
      <w:r w:rsidR="00E45E36">
        <w:rPr>
          <w:color w:val="000000" w:themeColor="text1"/>
        </w:rPr>
        <w:t>,</w:t>
      </w:r>
      <w:r w:rsidR="00A029B8" w:rsidRPr="006C6103">
        <w:rPr>
          <w:color w:val="000000" w:themeColor="text1"/>
        </w:rPr>
        <w:t xml:space="preserve"> redzams, ka 41,2 % prokuroru darba stāžs ir virs 20 gadiem</w:t>
      </w:r>
      <w:r w:rsidR="00E45E36">
        <w:rPr>
          <w:color w:val="000000" w:themeColor="text1"/>
        </w:rPr>
        <w:t xml:space="preserve">, </w:t>
      </w:r>
      <w:r w:rsidR="00A029B8" w:rsidRPr="006C6103">
        <w:rPr>
          <w:color w:val="000000" w:themeColor="text1"/>
        </w:rPr>
        <w:t xml:space="preserve">20,7 % prokurori ir ar darba stāžu no 15 līdz 20 gadiem (sk. tabulu </w:t>
      </w:r>
      <w:r w:rsidR="00A029B8" w:rsidRPr="00E45E36">
        <w:rPr>
          <w:b/>
          <w:bCs/>
          <w:color w:val="000000" w:themeColor="text1"/>
        </w:rPr>
        <w:t>Pielikumā Nr.1 – 34.lpp.</w:t>
      </w:r>
      <w:r w:rsidR="00A029B8" w:rsidRPr="006C6103">
        <w:rPr>
          <w:color w:val="000000" w:themeColor="text1"/>
        </w:rPr>
        <w:t>).</w:t>
      </w:r>
      <w:r w:rsidR="00100242" w:rsidRPr="006C6103">
        <w:rPr>
          <w:color w:val="000000" w:themeColor="text1"/>
        </w:rPr>
        <w:t xml:space="preserve"> Pozitīva tendence vērojam</w:t>
      </w:r>
      <w:r w:rsidR="00E45E36">
        <w:rPr>
          <w:color w:val="000000" w:themeColor="text1"/>
        </w:rPr>
        <w:t>a</w:t>
      </w:r>
      <w:r w:rsidR="00100242" w:rsidRPr="006C6103">
        <w:rPr>
          <w:color w:val="000000" w:themeColor="text1"/>
        </w:rPr>
        <w:t xml:space="preserve"> prokuroru kadru mainības ziņā. 2019.gads bijis viens no retajiem gadiem, kad amatā iecelts vairāk prokuroru</w:t>
      </w:r>
      <w:r w:rsidR="00E45E36">
        <w:rPr>
          <w:color w:val="000000" w:themeColor="text1"/>
        </w:rPr>
        <w:t xml:space="preserve"> ne</w:t>
      </w:r>
      <w:r w:rsidR="00100242" w:rsidRPr="006C6103">
        <w:rPr>
          <w:color w:val="000000" w:themeColor="text1"/>
        </w:rPr>
        <w:t xml:space="preserve">kā no </w:t>
      </w:r>
      <w:r w:rsidR="007A225E">
        <w:rPr>
          <w:color w:val="000000" w:themeColor="text1"/>
        </w:rPr>
        <w:t>amata</w:t>
      </w:r>
      <w:r w:rsidR="00100242" w:rsidRPr="006C6103">
        <w:rPr>
          <w:color w:val="000000" w:themeColor="text1"/>
        </w:rPr>
        <w:t xml:space="preserve"> atbrīvot</w:t>
      </w:r>
      <w:r w:rsidR="00E45E36">
        <w:rPr>
          <w:color w:val="000000" w:themeColor="text1"/>
        </w:rPr>
        <w:t>i</w:t>
      </w:r>
      <w:bookmarkStart w:id="5" w:name="_Hlk33732971"/>
      <w:r w:rsidR="00F12CDF">
        <w:rPr>
          <w:color w:val="000000" w:themeColor="text1"/>
        </w:rPr>
        <w:t xml:space="preserve"> </w:t>
      </w:r>
      <w:r w:rsidR="00100242" w:rsidRPr="006C6103">
        <w:rPr>
          <w:color w:val="000000" w:themeColor="text1"/>
        </w:rPr>
        <w:t xml:space="preserve">(sk. tabulu </w:t>
      </w:r>
      <w:r w:rsidR="00100242" w:rsidRPr="00632C0E">
        <w:rPr>
          <w:b/>
          <w:bCs/>
          <w:color w:val="000000" w:themeColor="text1"/>
        </w:rPr>
        <w:t>Pielikumā Nr.1 – 35.lpp.</w:t>
      </w:r>
      <w:r w:rsidR="00100242" w:rsidRPr="006C6103">
        <w:rPr>
          <w:color w:val="000000" w:themeColor="text1"/>
        </w:rPr>
        <w:t>)</w:t>
      </w:r>
      <w:bookmarkEnd w:id="5"/>
      <w:r w:rsidR="00100242" w:rsidRPr="006C6103">
        <w:rPr>
          <w:color w:val="000000" w:themeColor="text1"/>
        </w:rPr>
        <w:t xml:space="preserve">. Krasi samazinājies pie disciplināratbildības saukto prokuroru skaits. Ja 2018.gadā </w:t>
      </w:r>
      <w:r w:rsidR="007A225E">
        <w:rPr>
          <w:color w:val="000000" w:themeColor="text1"/>
        </w:rPr>
        <w:t>disciplinārsods</w:t>
      </w:r>
      <w:r w:rsidR="00100242" w:rsidRPr="006C6103">
        <w:rPr>
          <w:color w:val="000000" w:themeColor="text1"/>
        </w:rPr>
        <w:t xml:space="preserve"> kopumā </w:t>
      </w:r>
      <w:r w:rsidR="007A225E">
        <w:rPr>
          <w:color w:val="000000" w:themeColor="text1"/>
        </w:rPr>
        <w:t xml:space="preserve">piemērots </w:t>
      </w:r>
      <w:r w:rsidR="00100242" w:rsidRPr="006C6103">
        <w:rPr>
          <w:color w:val="000000" w:themeColor="text1"/>
        </w:rPr>
        <w:t>12 prokurori</w:t>
      </w:r>
      <w:r w:rsidR="007A225E">
        <w:rPr>
          <w:color w:val="000000" w:themeColor="text1"/>
        </w:rPr>
        <w:t>em</w:t>
      </w:r>
      <w:r w:rsidR="00100242" w:rsidRPr="006C6103">
        <w:rPr>
          <w:color w:val="000000" w:themeColor="text1"/>
        </w:rPr>
        <w:t xml:space="preserve">, tad 2019.gadā </w:t>
      </w:r>
      <w:r w:rsidR="007A225E">
        <w:rPr>
          <w:color w:val="000000" w:themeColor="text1"/>
        </w:rPr>
        <w:t xml:space="preserve">– </w:t>
      </w:r>
      <w:r w:rsidR="004B1668">
        <w:rPr>
          <w:color w:val="000000" w:themeColor="text1"/>
        </w:rPr>
        <w:t>4</w:t>
      </w:r>
      <w:r w:rsidR="00100242" w:rsidRPr="006C6103">
        <w:rPr>
          <w:color w:val="000000" w:themeColor="text1"/>
        </w:rPr>
        <w:t xml:space="preserve"> prokuroriem</w:t>
      </w:r>
      <w:r w:rsidR="00F12CDF">
        <w:rPr>
          <w:color w:val="000000" w:themeColor="text1"/>
        </w:rPr>
        <w:t xml:space="preserve"> </w:t>
      </w:r>
      <w:r w:rsidR="00F12CDF" w:rsidRPr="006C6103">
        <w:rPr>
          <w:color w:val="000000" w:themeColor="text1"/>
        </w:rPr>
        <w:t xml:space="preserve">(sk. tabulu </w:t>
      </w:r>
      <w:r w:rsidR="00F12CDF" w:rsidRPr="00632C0E">
        <w:rPr>
          <w:b/>
          <w:bCs/>
          <w:color w:val="000000" w:themeColor="text1"/>
        </w:rPr>
        <w:t>Pielikumā Nr.1 – 3</w:t>
      </w:r>
      <w:r w:rsidR="00F12CDF">
        <w:rPr>
          <w:b/>
          <w:bCs/>
          <w:color w:val="000000" w:themeColor="text1"/>
        </w:rPr>
        <w:t>6</w:t>
      </w:r>
      <w:r w:rsidR="00F12CDF" w:rsidRPr="00632C0E">
        <w:rPr>
          <w:b/>
          <w:bCs/>
          <w:color w:val="000000" w:themeColor="text1"/>
        </w:rPr>
        <w:t>.lpp.</w:t>
      </w:r>
      <w:r w:rsidR="00F12CDF" w:rsidRPr="006C6103">
        <w:rPr>
          <w:color w:val="000000" w:themeColor="text1"/>
        </w:rPr>
        <w:t>)</w:t>
      </w:r>
      <w:r w:rsidR="003B5632">
        <w:rPr>
          <w:color w:val="000000" w:themeColor="text1"/>
        </w:rPr>
        <w:t xml:space="preserve"> </w:t>
      </w:r>
      <w:r w:rsidR="00100242" w:rsidRPr="006C6103">
        <w:rPr>
          <w:color w:val="000000" w:themeColor="text1"/>
        </w:rPr>
        <w:t>.</w:t>
      </w:r>
    </w:p>
    <w:p w14:paraId="253AFD49" w14:textId="77777777" w:rsidR="005D0236" w:rsidRDefault="005D0236" w:rsidP="00632C0E">
      <w:pPr>
        <w:spacing w:after="0"/>
        <w:ind w:firstLine="720"/>
        <w:jc w:val="both"/>
        <w:rPr>
          <w:color w:val="000000" w:themeColor="text1"/>
        </w:rPr>
      </w:pPr>
    </w:p>
    <w:p w14:paraId="59B57DAB" w14:textId="1D43AA68" w:rsidR="005D0236" w:rsidRDefault="005D0236" w:rsidP="005D0236">
      <w:pPr>
        <w:spacing w:after="0"/>
        <w:rPr>
          <w:b/>
          <w:i/>
          <w:iCs/>
        </w:rPr>
      </w:pPr>
      <w:r w:rsidRPr="00E47B06">
        <w:rPr>
          <w:b/>
          <w:i/>
          <w:iCs/>
        </w:rPr>
        <w:t>Prokuroru profesionālās izaugsmes veicināšana</w:t>
      </w:r>
    </w:p>
    <w:p w14:paraId="47ED0796" w14:textId="77777777" w:rsidR="005D0236" w:rsidRPr="005D0236" w:rsidRDefault="005D0236" w:rsidP="005D0236">
      <w:pPr>
        <w:spacing w:after="0"/>
        <w:rPr>
          <w:b/>
          <w:i/>
          <w:iCs/>
        </w:rPr>
      </w:pPr>
    </w:p>
    <w:p w14:paraId="22A2DF97" w14:textId="61A99F2C" w:rsidR="005D0236" w:rsidRPr="00E47B06" w:rsidRDefault="005D0236" w:rsidP="005D0236">
      <w:pPr>
        <w:spacing w:after="0"/>
        <w:ind w:firstLine="720"/>
        <w:jc w:val="both"/>
      </w:pPr>
      <w:r w:rsidRPr="00E47B06">
        <w:t>2018.gadā prokuratūru uzņēma par Eiropas Juridiskās tālākizglītības tīkla (EJTN) dalībnieci, kas dod iespēju prokuroriem</w:t>
      </w:r>
      <w:r w:rsidR="004B1668">
        <w:t xml:space="preserve"> biežāk</w:t>
      </w:r>
      <w:r w:rsidRPr="00E47B06">
        <w:t xml:space="preserve"> piedalīties starptautiskās apmācībās. </w:t>
      </w:r>
      <w:r w:rsidRPr="00E47B06">
        <w:rPr>
          <w:lang w:val="de-DE"/>
        </w:rPr>
        <w:t>2019.gadā</w:t>
      </w:r>
      <w:r w:rsidRPr="00E47B06">
        <w:rPr>
          <w:b/>
          <w:bCs/>
          <w:lang w:val="de-DE"/>
        </w:rPr>
        <w:t xml:space="preserve"> </w:t>
      </w:r>
      <w:r w:rsidRPr="00E47B06">
        <w:t>prokurori piedalījās 65 EJTN un 7 Eiropas Tiesību akadēmijas (ERA) rīkotajos mācību pasākumos – semināros, mācībās, konferencēs, kursos, pieredzes apmaiņas programmās un vasaras skolās.</w:t>
      </w:r>
    </w:p>
    <w:p w14:paraId="5D686EDB" w14:textId="77777777" w:rsidR="005D0236" w:rsidRPr="00E47B06" w:rsidRDefault="005D0236" w:rsidP="0069741E">
      <w:pPr>
        <w:spacing w:after="0"/>
        <w:ind w:firstLine="720"/>
        <w:jc w:val="both"/>
      </w:pPr>
      <w:r w:rsidRPr="00E47B06">
        <w:t>Turklāt 20 prokurori kā lektori iesaistījās dažādu apmācību organizēšanā un vadīšanā Latvijā, kā arī 2 prokurori kā lektori iesaistījās starptautiskās mācībās.</w:t>
      </w:r>
    </w:p>
    <w:p w14:paraId="0A71C0F2" w14:textId="77777777" w:rsidR="005D0236" w:rsidRPr="00E47B06" w:rsidRDefault="005D0236" w:rsidP="00BF5D3C">
      <w:pPr>
        <w:spacing w:after="0"/>
        <w:ind w:firstLine="720"/>
        <w:jc w:val="both"/>
      </w:pPr>
      <w:r w:rsidRPr="00E47B06">
        <w:t>Saistībā ar Ekonomiskās sadarbības un attīstības organizācijas (OECD) un Eiropas Padomes Noziedzīgi iegūtu līdzekļu legalizācijas un terorisma finansēšanas novēršanas pasākumu novērtēšanas ekspertu komitejas (MONEYVAL) ziņojumiem Latvijai ir aktuāla noziedzīgi iegūtu līdzekļu legalizācijas joma, proti, finanšu un ekonomisko noziegumu aktīva izmeklēšana, kriminālvajāšana un tiesas nolēmuma pieņemšana. Izpildot rekomendācijās minēto, prokurori personiski izveidoja mācību programmu un saturu, kā ietvaros 2019.gadā apmācīja 211 prokurorus par noziedzīgi iegūtu līdzekļu legalizācijas novēršanu un mantas īpašo konfiskāciju.</w:t>
      </w:r>
    </w:p>
    <w:p w14:paraId="4903C148" w14:textId="77777777" w:rsidR="005D0236" w:rsidRDefault="005D0236" w:rsidP="00BF5D3C">
      <w:pPr>
        <w:spacing w:after="0"/>
        <w:ind w:firstLine="720"/>
        <w:jc w:val="both"/>
      </w:pPr>
      <w:r w:rsidRPr="00E47B06">
        <w:t>Kopumā 2019.gadā Latvijā 98 apmācību pasākumos piedalījās 404 prokurori, bet ārvalstu 172 apmācību pasākumos piedalījās 96 prokurori.</w:t>
      </w:r>
    </w:p>
    <w:p w14:paraId="0C0EF7F6" w14:textId="48A661CB" w:rsidR="005D0236" w:rsidRDefault="005D0236" w:rsidP="00BF5D3C">
      <w:pPr>
        <w:spacing w:after="0"/>
        <w:ind w:firstLine="720"/>
        <w:jc w:val="both"/>
      </w:pPr>
      <w:r>
        <w:t>Atbilstoši Prokuratūras likumā noteiktajam, tiek turpināta prokuroru profesionālās darbības  novērtēšanas realizācija.</w:t>
      </w:r>
      <w:r w:rsidR="00BF5D3C">
        <w:t xml:space="preserve"> </w:t>
      </w:r>
      <w:r>
        <w:t xml:space="preserve">2019.gadā kopumā profesionālās darbības novērtēšana veikta 69 prokuroriem, no kuriem 3 prokuroriem un vienam virsprokurora </w:t>
      </w:r>
      <w:proofErr w:type="spellStart"/>
      <w:r>
        <w:t>p.i</w:t>
      </w:r>
      <w:proofErr w:type="spellEnd"/>
      <w:r>
        <w:t>. profesionālās darbības novērtēšana atlikta, uzdodot veikt papildu profesionālās darbības pārbaudes pasākumus. 65 prokuroru profesionālā darbība novērtēta pozitīvi.</w:t>
      </w:r>
    </w:p>
    <w:p w14:paraId="354B4B52" w14:textId="77777777" w:rsidR="005D0236" w:rsidRDefault="005D0236" w:rsidP="00BF5D3C">
      <w:pPr>
        <w:spacing w:after="0"/>
        <w:ind w:firstLine="720"/>
        <w:jc w:val="both"/>
      </w:pPr>
      <w:r w:rsidRPr="00E47B06">
        <w:t>Turpinot īstenot prokuroru apmācības par Latvijai aktuālo noziedzīgi iegūtu līdzekļu legalizācijas jomu, proti, par sodu politiku ārvalstu kukuļošanas lietās un noziedzīgi iegūtu līdzekļu legalizācijas lietās, Ģenerālprokuratūras prokurori izveidojuši mācību programmu un saturu, kā ietvaros 2020.gadā plānots apmācīt 90 prokurorus un 90 tiesnešus par noziedzīgi iegūtu līdzekļu legalizācijas izmeklēšanai nepieciešamā pierādījumu apjoma nodrošināšanu, arī par sodu politiku, noziedzīgi iegūtu līdzekļu konfiskāciju un mantas īpašās konfiskācijas tiesisko regulējumu un piemērošanu praksē.</w:t>
      </w:r>
    </w:p>
    <w:p w14:paraId="2495500C" w14:textId="736D0854" w:rsidR="005D0236" w:rsidRDefault="005D0236" w:rsidP="00BF5D3C">
      <w:pPr>
        <w:spacing w:after="0"/>
        <w:ind w:firstLine="720"/>
        <w:jc w:val="both"/>
      </w:pPr>
      <w:r w:rsidRPr="00E47B06">
        <w:t>Turklāt prokuratūra 20</w:t>
      </w:r>
      <w:r w:rsidR="004B1668">
        <w:t>19</w:t>
      </w:r>
      <w:r w:rsidRPr="00E47B06">
        <w:t>.gadā iesaistīj</w:t>
      </w:r>
      <w:r w:rsidR="008E1F38">
        <w:t>usies</w:t>
      </w:r>
      <w:r w:rsidRPr="00E47B06">
        <w:t xml:space="preserve"> Eiropas Komisijas Tieslietu direktorāta līdzfinansētā projektā “Baltics”, </w:t>
      </w:r>
      <w:r w:rsidR="00BF5D3C">
        <w:t xml:space="preserve">kurā </w:t>
      </w:r>
      <w:r w:rsidRPr="00E47B06">
        <w:t xml:space="preserve">kā vadošais koordinators ir Lietuvas prokuratūra, savukārt </w:t>
      </w:r>
      <w:r w:rsidR="00BF5D3C">
        <w:t xml:space="preserve">Latvijas </w:t>
      </w:r>
      <w:r w:rsidRPr="00E47B06">
        <w:t xml:space="preserve">prokuratūra un Igaunijas prokuratūra piedalās projektā kā partneri. Projekta ilgums ir 30 mēneši un tā mērķis ir stiprināt sadarbību Baltijas valstu starpā, lai veicinātu izmeklēšanu un </w:t>
      </w:r>
      <w:r w:rsidRPr="00E47B06">
        <w:lastRenderedPageBreak/>
        <w:t>kriminālvajāšanu finanšu un ekonomiskajos noziegumos, kuriem ir tieša vai netieša ietekme uz Eiropas Savienības finanšu interesēm. Projektā iesaistītas visas Baltijas valstu prokuratūras, tiesu pārstāvji, nodokļu administrēšanas iestādes un izmeklēšanas iestādes. Galvenās aktivitātes ir pārrobežu apmācības izmeklēšanas un kriminālvajāšanas jomā, konferences, pārrobežu mācību vizītes, angļu valodas apmācības, kā arī rokasgrāmatu un mācību materiālu izstrāde.</w:t>
      </w:r>
    </w:p>
    <w:p w14:paraId="0F2CAC3C" w14:textId="53874E37" w:rsidR="005D0236" w:rsidRDefault="005D0236" w:rsidP="00BF5D3C">
      <w:pPr>
        <w:spacing w:after="0"/>
        <w:ind w:firstLine="720"/>
        <w:jc w:val="both"/>
      </w:pPr>
      <w:r w:rsidRPr="00E47B06">
        <w:t xml:space="preserve">Prokuratūra aktīvi piedalās un sniedz priekšlikumus Eiropas Sociālā fonda projekta “Valsts pārvaldes cilvēkresursu profesionālā pilnveide korupcijas novēršanas un ēnu ekonomikas mazināšanas jomā” ietvaros par nepieciešamām specializētām mācībām par pirmstiesas kriminālprocesu izmeklēšanu un kriminālvajāšanu noziedzīgi iegūtu līdzekļu legalizācijas jomā un izvairīšanās no nodokļu nomaksas lielā apmērā, kā arī piedalās šo mācību satura izstrādē Valsts administrācijas skolā. Mācību mērķis ir novērst atšķirīgu izpratni šo noziedzīgo nodarījumu identificēšanai, izmeklēšanai, panākt vienotu metodoloģiju minēto noziedzīgo nodarījumu apkarošanā, novēršanā un izmeklēšanā, tādējādi sekmējot pirmstiesas izmeklēšanas darbības kvalitāti un ātrāku to iztiesāšanas norisi. Veicināt izpratni par noziedzīgi iegūtu līdzekļu identifikāciju un to arestu, t.sk. ārvalstīs, kā arī veidot vienotu sodu politiku. </w:t>
      </w:r>
    </w:p>
    <w:p w14:paraId="3FD84566" w14:textId="77777777" w:rsidR="005D0236" w:rsidRDefault="005D0236" w:rsidP="00BF5D3C">
      <w:pPr>
        <w:spacing w:after="0"/>
        <w:ind w:firstLine="720"/>
        <w:jc w:val="both"/>
      </w:pPr>
      <w:r w:rsidRPr="00E47B06">
        <w:t>2019.gadā prokuratūra organizēja 3 dažādu jomu apmācības prokuroriem (kopumā apmācīti 50 prokurori), kas tika apmaksātas no Noziedzīgi iegūtu līdzekļu konfiskācijas fonda piešķirtajiem līdzekļiem. 2020.gadā tiks turpināts apgūt piešķirtos līdzekļus no Noziedzīgi iegūtu līdzekļu konfiskācijas fonda, rīkojot apmācības prokuroriem banku tiesībās, finanšu un ekonomisko noziegumu apkarošanas jomā, un noziedzīgi iegūtu līdzekļu legalizācijas un terorisma finansēšanas novēršanas jomā.</w:t>
      </w:r>
    </w:p>
    <w:p w14:paraId="66EB3E75" w14:textId="21964065" w:rsidR="005D0236" w:rsidRDefault="005D0236" w:rsidP="009E7C76">
      <w:pPr>
        <w:spacing w:after="0"/>
        <w:ind w:firstLine="720"/>
        <w:jc w:val="both"/>
      </w:pPr>
      <w:r w:rsidRPr="00E47B06">
        <w:t xml:space="preserve">Vienlaikus </w:t>
      </w:r>
      <w:r w:rsidR="009E7C76">
        <w:t xml:space="preserve">2020.gadā </w:t>
      </w:r>
      <w:r w:rsidRPr="00E47B06">
        <w:t>prokuratūra iesaistīsies Eiropas Tiesību akadēmijas (ERA) sadarbībā ar Eiropas Juridiskās tālākizglītības tīkla (EJTN) rīkotajos mācību pasākumos nolūkā organizēt un vadīt apmācības prokuroriem par Eiropas prokuratūru (EPPO), lai veicinātu izmeklētāju un prokuroru izpratni par EPPO darbību, tās kompetenci un tai piekritīgajām lietām.</w:t>
      </w:r>
    </w:p>
    <w:p w14:paraId="55F16EAF" w14:textId="7E028DCD" w:rsidR="005D0236" w:rsidRDefault="005D0236" w:rsidP="009E7C76">
      <w:pPr>
        <w:spacing w:after="0"/>
        <w:ind w:firstLine="720"/>
        <w:jc w:val="both"/>
      </w:pPr>
      <w:r w:rsidRPr="00E47B06">
        <w:t xml:space="preserve">Turklāt nolūkā veicināt prokuroru profesionālo izaugsmi prokuratūra 2020.gadā ieguvusi finansiālu atbalstu </w:t>
      </w:r>
      <w:r w:rsidRPr="00E47B06">
        <w:rPr>
          <w:rFonts w:eastAsia="Calibri"/>
        </w:rPr>
        <w:t xml:space="preserve">no </w:t>
      </w:r>
      <w:r w:rsidRPr="00E47B06">
        <w:t xml:space="preserve">Tiesu administrācijas Eiropas Sociālā fonda projekta “Justīcija attīstībai” </w:t>
      </w:r>
      <w:r w:rsidRPr="00E47B06">
        <w:rPr>
          <w:rFonts w:eastAsia="Calibri"/>
        </w:rPr>
        <w:t xml:space="preserve">dalībai </w:t>
      </w:r>
      <w:r w:rsidRPr="00E47B06">
        <w:t>7 pieredzes apmaiņas braucienos 17 prokuroriem. Kā arī prokuratūra ieguvusi finansiālu atbalstu vairāku konferenču un mācību pasākumu organizēšanai (pieteikti 9 pasākumi), kuru vajadzību noteica un saturu izstrādāja prokuratūra.</w:t>
      </w:r>
    </w:p>
    <w:p w14:paraId="4306ECA8" w14:textId="77777777" w:rsidR="009E7C76" w:rsidRPr="009E7C76" w:rsidRDefault="009E7C76" w:rsidP="009E7C76">
      <w:pPr>
        <w:spacing w:after="0"/>
        <w:ind w:firstLine="720"/>
        <w:jc w:val="both"/>
      </w:pPr>
    </w:p>
    <w:p w14:paraId="0F5BFF64" w14:textId="6F0C6253" w:rsidR="005D0236" w:rsidRPr="00CC6E66" w:rsidRDefault="00CC6E66" w:rsidP="009E7C76">
      <w:pPr>
        <w:spacing w:after="0"/>
        <w:jc w:val="both"/>
        <w:rPr>
          <w:b/>
          <w:bCs/>
          <w:i/>
          <w:iCs/>
          <w:color w:val="000000" w:themeColor="text1"/>
          <w:lang w:val="de-DE"/>
        </w:rPr>
      </w:pPr>
      <w:r w:rsidRPr="00CC6E66">
        <w:rPr>
          <w:b/>
          <w:bCs/>
          <w:i/>
          <w:iCs/>
        </w:rPr>
        <w:t>Ekonomiskās sadarbības un attīstības organizācija</w:t>
      </w:r>
      <w:r w:rsidR="007223A3">
        <w:rPr>
          <w:b/>
          <w:bCs/>
          <w:i/>
          <w:iCs/>
        </w:rPr>
        <w:t>s</w:t>
      </w:r>
      <w:r w:rsidRPr="00CC6E66">
        <w:rPr>
          <w:b/>
          <w:bCs/>
          <w:i/>
          <w:iCs/>
          <w:color w:val="000000" w:themeColor="text1"/>
          <w:lang w:val="de-DE"/>
        </w:rPr>
        <w:t xml:space="preserve"> </w:t>
      </w:r>
      <w:r>
        <w:rPr>
          <w:b/>
          <w:bCs/>
          <w:i/>
          <w:iCs/>
          <w:color w:val="000000" w:themeColor="text1"/>
          <w:lang w:val="de-DE"/>
        </w:rPr>
        <w:t>(</w:t>
      </w:r>
      <w:r w:rsidR="005D0236" w:rsidRPr="00CC6E66">
        <w:rPr>
          <w:b/>
          <w:bCs/>
          <w:i/>
          <w:iCs/>
          <w:color w:val="000000" w:themeColor="text1"/>
          <w:lang w:val="de-DE"/>
        </w:rPr>
        <w:t>OECD</w:t>
      </w:r>
      <w:r>
        <w:rPr>
          <w:b/>
          <w:bCs/>
          <w:i/>
          <w:iCs/>
          <w:color w:val="000000" w:themeColor="text1"/>
          <w:lang w:val="de-DE"/>
        </w:rPr>
        <w:t>)</w:t>
      </w:r>
      <w:r w:rsidR="005D0236" w:rsidRPr="00CC6E66">
        <w:rPr>
          <w:b/>
          <w:bCs/>
          <w:i/>
          <w:iCs/>
          <w:color w:val="000000" w:themeColor="text1"/>
          <w:lang w:val="de-DE"/>
        </w:rPr>
        <w:t xml:space="preserve"> </w:t>
      </w:r>
      <w:r w:rsidR="005D0236" w:rsidRPr="00CC6E66">
        <w:rPr>
          <w:b/>
          <w:bCs/>
          <w:i/>
          <w:iCs/>
          <w:color w:val="000000" w:themeColor="text1"/>
        </w:rPr>
        <w:t>rekomendāciju izpilde</w:t>
      </w:r>
    </w:p>
    <w:p w14:paraId="7E120D39" w14:textId="77777777" w:rsidR="009E7C76" w:rsidRPr="00CC6E66" w:rsidRDefault="009E7C76" w:rsidP="009E7C76">
      <w:pPr>
        <w:spacing w:after="0"/>
        <w:jc w:val="both"/>
        <w:rPr>
          <w:b/>
          <w:bCs/>
          <w:i/>
          <w:iCs/>
          <w:color w:val="000000" w:themeColor="text1"/>
          <w:lang w:val="de-DE"/>
        </w:rPr>
      </w:pPr>
    </w:p>
    <w:p w14:paraId="57615859" w14:textId="77777777" w:rsidR="005D0236" w:rsidRPr="00E47B06" w:rsidRDefault="005D0236" w:rsidP="00CC6E66">
      <w:pPr>
        <w:spacing w:after="0"/>
        <w:ind w:firstLine="720"/>
        <w:jc w:val="both"/>
      </w:pPr>
      <w:bookmarkStart w:id="6" w:name="_Hlk33730648"/>
      <w:r w:rsidRPr="00E47B06">
        <w:t>Ekonomiskās sadarbības un attīstības organizācija</w:t>
      </w:r>
      <w:bookmarkEnd w:id="6"/>
      <w:r w:rsidRPr="00E47B06">
        <w:t xml:space="preserve"> (OECD) 2019.gada 10.oktobra ziņojumā rekomendēja Latvijai veikt papildu pasākumus, lai būtiski palielinātu notiesāto personu skaitu par noziedzīgi iegūtu līdzekļu legalizāciju, vienlaicīgi akcentējot nepieciešamību vērtēt arī finanšu institūciju un to amatpersonu iespējamo iesaisti noziedzīgu līdzekļu legalizācijas shēmās.</w:t>
      </w:r>
    </w:p>
    <w:p w14:paraId="4C8730F0" w14:textId="241E2A5A" w:rsidR="005D0236" w:rsidRPr="00E47B06" w:rsidRDefault="005D0236" w:rsidP="00CC6E66">
      <w:pPr>
        <w:spacing w:after="0"/>
        <w:ind w:firstLine="720"/>
        <w:jc w:val="both"/>
      </w:pPr>
      <w:r w:rsidRPr="00E47B06">
        <w:t xml:space="preserve">Nolūkā nodrošināt finanšu un ekonomisko noziegumu jomā specializējušos kompetentāko prokuroru motivēšanu, lai stimulētu prokuroru pozitīvu attieksmi pret amata pienākumu veikšanu, tajā pašā laikā novērtējot konkrēto prokuroru ieguldījumu prokuratūras prioritāšu īstenošanā, 2019.gada 8.novembrī izdots ģenerālprokurora rīkojums “Par </w:t>
      </w:r>
      <w:bookmarkStart w:id="7" w:name="_Hlk20244890"/>
      <w:r w:rsidRPr="00E47B06">
        <w:t>Finanšu un ekonomisko noziegumu izmeklēšanas prokuratūras un Organizētās noziedzības un citu nozaru specializētās prokuratūras</w:t>
      </w:r>
      <w:bookmarkEnd w:id="7"/>
      <w:r w:rsidRPr="00E47B06">
        <w:t xml:space="preserve"> kapacitātes stiprināšanu ekonomisko noziedzīgo nodarījumu apkarošanā”. </w:t>
      </w:r>
    </w:p>
    <w:p w14:paraId="1A580C56" w14:textId="69F24D71" w:rsidR="005D0236" w:rsidRDefault="005D0236" w:rsidP="0069741E">
      <w:pPr>
        <w:spacing w:after="0"/>
        <w:ind w:firstLine="720"/>
        <w:jc w:val="both"/>
      </w:pPr>
      <w:r w:rsidRPr="00E47B06">
        <w:t xml:space="preserve">Viens no prokuratūras pasākuma plāna </w:t>
      </w:r>
      <w:r w:rsidR="00CC6E66" w:rsidRPr="00E47B06">
        <w:t>Ekonomiskās sadarbības un attīstības organizācija</w:t>
      </w:r>
      <w:r w:rsidR="00CC6E66">
        <w:t>s</w:t>
      </w:r>
      <w:r w:rsidR="00CC6E66" w:rsidRPr="00E47B06">
        <w:t xml:space="preserve"> </w:t>
      </w:r>
      <w:r w:rsidR="00CC6E66">
        <w:t>(</w:t>
      </w:r>
      <w:r w:rsidRPr="00E47B06">
        <w:t>OECD</w:t>
      </w:r>
      <w:r w:rsidR="00CC6E66">
        <w:t>)</w:t>
      </w:r>
      <w:r w:rsidRPr="00E47B06">
        <w:t xml:space="preserve"> Latvijas 3.novērtēšanas kārtas rekomendāciju izpildei punktiem ir veicināt efektīvu, proporcionālu un preventīvu kriminālsodu piemērošanu ārvalstu kukuļošanas un noziedzīgi iegūtu līdzekļu legalizācijas lietās. Tādējādi 2020.gadā </w:t>
      </w:r>
      <w:r w:rsidR="00CC6E66">
        <w:t xml:space="preserve">tiks </w:t>
      </w:r>
      <w:r w:rsidRPr="00E47B06">
        <w:t>turpinā</w:t>
      </w:r>
      <w:r w:rsidR="00CC6E66">
        <w:t>ts</w:t>
      </w:r>
      <w:r w:rsidRPr="00E47B06">
        <w:t xml:space="preserve"> darbs pie prokuroru apmācībām </w:t>
      </w:r>
      <w:r w:rsidRPr="00E47B06">
        <w:lastRenderedPageBreak/>
        <w:t xml:space="preserve">minētajā jomā. Papildus apmācībām, prokuroru motivēšanai un vakanto prokurora amata vietu aizpildīšanu Finanšu un ekonomisko noziegumu izmeklēšanas prokuratūras un Organizētās noziedzības un citu nozaru specializētās prokuratūrās, šo krimināllietu izmeklēšanas, kriminālvajāšanas un iztiesāšanas stadijās aizvien vairāk tiks iesaistīti arī citu tiesas apgabala prokuratūru prokurori. Vienlaikus plānots arī pastiprināti uzraudzīt prokuroru darbu, kuri strādā ar šīs jomas lietām, nolūkā nodrošināt atbilstoša soda veida un mēra piemērošanu. </w:t>
      </w:r>
    </w:p>
    <w:p w14:paraId="0F91DB98" w14:textId="77777777" w:rsidR="0069741E" w:rsidRPr="0069741E" w:rsidRDefault="0069741E" w:rsidP="0069741E">
      <w:pPr>
        <w:spacing w:after="0"/>
        <w:ind w:firstLine="720"/>
        <w:jc w:val="both"/>
      </w:pPr>
    </w:p>
    <w:p w14:paraId="6530BD71" w14:textId="18A20BF5" w:rsidR="005D0236" w:rsidRDefault="005D0236" w:rsidP="0069741E">
      <w:pPr>
        <w:spacing w:after="0"/>
        <w:jc w:val="both"/>
        <w:rPr>
          <w:b/>
          <w:bCs/>
          <w:i/>
          <w:iCs/>
        </w:rPr>
      </w:pPr>
      <w:r w:rsidRPr="00E47B06">
        <w:rPr>
          <w:b/>
          <w:bCs/>
          <w:i/>
          <w:iCs/>
        </w:rPr>
        <w:t>Prokuroru kā ekspertu iesaiste starptautiskās darba grupās un sanāksmēs</w:t>
      </w:r>
    </w:p>
    <w:p w14:paraId="1BB17BFD" w14:textId="77777777" w:rsidR="0069741E" w:rsidRPr="0069741E" w:rsidRDefault="0069741E" w:rsidP="0069741E">
      <w:pPr>
        <w:spacing w:after="0"/>
        <w:jc w:val="both"/>
        <w:rPr>
          <w:b/>
          <w:bCs/>
          <w:i/>
          <w:iCs/>
        </w:rPr>
      </w:pPr>
    </w:p>
    <w:p w14:paraId="19E090EA" w14:textId="77777777" w:rsidR="005D0236" w:rsidRPr="00E47B06" w:rsidRDefault="005D0236" w:rsidP="0069741E">
      <w:pPr>
        <w:spacing w:after="0"/>
        <w:ind w:firstLine="357"/>
        <w:jc w:val="both"/>
      </w:pPr>
      <w:r w:rsidRPr="00E47B06">
        <w:t xml:space="preserve">Prokuroru zināšanas un pieredze ir novērtēta starptautiskā līmenī, proti, 2019.gadā prokurori aicināti piedalīties dažādās ekspertu darba grupās un starptautiskās sanāksmēs. Prokurori pārstāvēja prokuratūru šādās ekspertu darba grupās un starptautiskās sanāksmēs: </w:t>
      </w:r>
    </w:p>
    <w:p w14:paraId="572413F5" w14:textId="77777777" w:rsidR="005D0236" w:rsidRPr="00E47B06" w:rsidRDefault="005D0236" w:rsidP="005D0236">
      <w:pPr>
        <w:numPr>
          <w:ilvl w:val="0"/>
          <w:numId w:val="22"/>
        </w:numPr>
        <w:spacing w:after="0" w:line="240" w:lineRule="auto"/>
        <w:contextualSpacing/>
        <w:jc w:val="both"/>
      </w:pPr>
      <w:bookmarkStart w:id="8" w:name="_Hlk33730959"/>
      <w:r w:rsidRPr="00E47B06">
        <w:t xml:space="preserve">Eiropas Padomes Noziedzīgi iegūtu līdzekļu legalizācijas un terorisma finansēšanas novēršanas pasākumu novērtēšanas ekspertu komitejas </w:t>
      </w:r>
      <w:bookmarkEnd w:id="8"/>
      <w:r w:rsidRPr="00E47B06">
        <w:t>(MONEYVAL) plenārsēdēs;</w:t>
      </w:r>
    </w:p>
    <w:p w14:paraId="1E1E8BA0" w14:textId="77777777" w:rsidR="005D0236" w:rsidRPr="00E47B06" w:rsidRDefault="005D0236" w:rsidP="005D0236">
      <w:pPr>
        <w:numPr>
          <w:ilvl w:val="0"/>
          <w:numId w:val="22"/>
        </w:numPr>
        <w:spacing w:after="0" w:line="240" w:lineRule="auto"/>
        <w:contextualSpacing/>
        <w:jc w:val="both"/>
      </w:pPr>
      <w:r w:rsidRPr="00E47B06">
        <w:t>Finanšu darījumu darba grupas (FATF) komitejas plenārsēdēs;</w:t>
      </w:r>
    </w:p>
    <w:p w14:paraId="14DF4900" w14:textId="77777777" w:rsidR="005D0236" w:rsidRPr="00E47B06" w:rsidRDefault="005D0236" w:rsidP="005D0236">
      <w:pPr>
        <w:numPr>
          <w:ilvl w:val="0"/>
          <w:numId w:val="22"/>
        </w:numPr>
        <w:spacing w:after="0" w:line="240" w:lineRule="auto"/>
        <w:contextualSpacing/>
        <w:jc w:val="both"/>
      </w:pPr>
      <w:r w:rsidRPr="00E47B06">
        <w:t>Ekonomiskās sadarbības un attīstības organizācijas (OECD) sanāksmēs un plenārsēdēs;</w:t>
      </w:r>
    </w:p>
    <w:p w14:paraId="5500509A" w14:textId="77777777" w:rsidR="005D0236" w:rsidRPr="00E47B06" w:rsidRDefault="005D0236" w:rsidP="005D0236">
      <w:pPr>
        <w:numPr>
          <w:ilvl w:val="0"/>
          <w:numId w:val="22"/>
        </w:numPr>
        <w:spacing w:after="0" w:line="240" w:lineRule="auto"/>
        <w:contextualSpacing/>
        <w:jc w:val="both"/>
      </w:pPr>
      <w:r w:rsidRPr="00E47B06">
        <w:t>Eiropas Komisijas rīkotajās sanāksmēs par Eiropas Parlamenta un Padomes Direktīvas 2014/42/ES par nozieguma rīku un noziedzīgi iegūtu līdzekļu iesaldēšanu un konfiskāciju Eiropas Savienībā;</w:t>
      </w:r>
    </w:p>
    <w:p w14:paraId="0821085A" w14:textId="77777777" w:rsidR="005D0236" w:rsidRPr="00E47B06" w:rsidRDefault="005D0236" w:rsidP="005D0236">
      <w:pPr>
        <w:numPr>
          <w:ilvl w:val="0"/>
          <w:numId w:val="22"/>
        </w:numPr>
        <w:spacing w:after="0" w:line="240" w:lineRule="auto"/>
        <w:contextualSpacing/>
        <w:jc w:val="both"/>
      </w:pPr>
      <w:r w:rsidRPr="00E47B06">
        <w:t>Eiropas Prokuratūras (EPPO) ekspertu darba grupas sanāksmēs;</w:t>
      </w:r>
    </w:p>
    <w:p w14:paraId="764A2774" w14:textId="77777777" w:rsidR="005D0236" w:rsidRPr="00E47B06" w:rsidRDefault="005D0236" w:rsidP="005D0236">
      <w:pPr>
        <w:numPr>
          <w:ilvl w:val="0"/>
          <w:numId w:val="22"/>
        </w:numPr>
        <w:spacing w:after="0" w:line="240" w:lineRule="auto"/>
        <w:contextualSpacing/>
        <w:jc w:val="both"/>
      </w:pPr>
      <w:r w:rsidRPr="00E47B06">
        <w:t>Eiropas Savienības dalībvalstu ekspertu sanāksmēs par Eiropas apcietinājuma lēmuma praktisko piemērošanu;</w:t>
      </w:r>
    </w:p>
    <w:p w14:paraId="259BBD91" w14:textId="551415A2" w:rsidR="005D0236" w:rsidRDefault="005D0236" w:rsidP="005D0236">
      <w:pPr>
        <w:numPr>
          <w:ilvl w:val="0"/>
          <w:numId w:val="22"/>
        </w:numPr>
        <w:spacing w:after="0" w:line="240" w:lineRule="auto"/>
        <w:ind w:left="714" w:hanging="357"/>
        <w:contextualSpacing/>
        <w:jc w:val="both"/>
      </w:pPr>
      <w:r w:rsidRPr="00E47B06">
        <w:t xml:space="preserve">Eiropas Savienības tiesībaizsardzības aģentūras (EUROPOL) rīkotajā </w:t>
      </w:r>
      <w:proofErr w:type="spellStart"/>
      <w:r w:rsidRPr="00E47B06">
        <w:t>European</w:t>
      </w:r>
      <w:proofErr w:type="spellEnd"/>
      <w:r w:rsidRPr="00E47B06">
        <w:t xml:space="preserve"> Money </w:t>
      </w:r>
      <w:proofErr w:type="spellStart"/>
      <w:r w:rsidRPr="00E47B06">
        <w:t>Mule</w:t>
      </w:r>
      <w:proofErr w:type="spellEnd"/>
      <w:r w:rsidRPr="00E47B06">
        <w:t xml:space="preserve"> </w:t>
      </w:r>
      <w:proofErr w:type="spellStart"/>
      <w:r w:rsidRPr="00E47B06">
        <w:t>Action</w:t>
      </w:r>
      <w:proofErr w:type="spellEnd"/>
      <w:r w:rsidRPr="00E47B06">
        <w:t xml:space="preserve"> (EMMA5) sanāksmē.</w:t>
      </w:r>
    </w:p>
    <w:p w14:paraId="7E8ED6F7" w14:textId="5C52E136" w:rsidR="007223A3" w:rsidRDefault="007223A3" w:rsidP="007223A3">
      <w:pPr>
        <w:spacing w:after="0" w:line="240" w:lineRule="auto"/>
        <w:ind w:left="714"/>
        <w:contextualSpacing/>
        <w:jc w:val="both"/>
      </w:pPr>
    </w:p>
    <w:p w14:paraId="7296C349" w14:textId="77777777" w:rsidR="0064749F" w:rsidRPr="007223A3" w:rsidRDefault="0064749F" w:rsidP="007223A3">
      <w:pPr>
        <w:spacing w:after="0" w:line="240" w:lineRule="auto"/>
        <w:ind w:left="714"/>
        <w:contextualSpacing/>
        <w:jc w:val="both"/>
      </w:pPr>
    </w:p>
    <w:p w14:paraId="62C431AD" w14:textId="77777777" w:rsidR="005D0236" w:rsidRPr="005D0236" w:rsidRDefault="005D0236" w:rsidP="007223A3">
      <w:pPr>
        <w:spacing w:after="0"/>
        <w:rPr>
          <w:b/>
          <w:i/>
          <w:iCs/>
        </w:rPr>
      </w:pPr>
      <w:r w:rsidRPr="005D0236">
        <w:rPr>
          <w:b/>
          <w:i/>
          <w:iCs/>
        </w:rPr>
        <w:t>Prokurora amata kandidātu atlase un apmācības</w:t>
      </w:r>
    </w:p>
    <w:p w14:paraId="1BB29710" w14:textId="77777777" w:rsidR="005D0236" w:rsidRPr="00E47B06" w:rsidRDefault="005D0236" w:rsidP="005D0236">
      <w:pPr>
        <w:pStyle w:val="ListParagraph"/>
        <w:rPr>
          <w:b/>
          <w:lang w:val="de-DE"/>
        </w:rPr>
      </w:pPr>
    </w:p>
    <w:p w14:paraId="2D59F2CB" w14:textId="77777777" w:rsidR="005D0236" w:rsidRDefault="005D0236" w:rsidP="00FC0ED0">
      <w:pPr>
        <w:spacing w:after="0"/>
        <w:ind w:firstLine="720"/>
        <w:jc w:val="both"/>
      </w:pPr>
      <w:r w:rsidRPr="00E47B06">
        <w:t>Nolūkā aizpildīt rajona (pilsētas) prokuratūras prokuroru amata vakances  prokuratūrā tiek veikta prokuroru amata kandidātu (turpmāk – pretendentu) atlase. Iepriekšējos gados atlase veikta vienu reizi gadā, bet 2019.gadā, izvērtējot 2018.gada atlases rezultātus un nepieciešamību aizpildīt vakantās prokurora amata vietas, atlase veikta divas reizes.</w:t>
      </w:r>
    </w:p>
    <w:p w14:paraId="6EC40F23" w14:textId="77777777" w:rsidR="005D0236" w:rsidRDefault="005D0236" w:rsidP="00FC0ED0">
      <w:pPr>
        <w:spacing w:after="0"/>
        <w:ind w:firstLine="720"/>
        <w:jc w:val="both"/>
      </w:pPr>
      <w:r w:rsidRPr="00E47B06">
        <w:t>2019.gada janvārī izsludinātājā atlasē pieteicās 91 pretendents, no kuriem 17 nokārtoja vispārējo un juridisko zināšanu pārbaudījumu. Stažēšanās līgums noslēgts ar 16 pretendentiem. Stažēšanās programmu izpildīja un kvalifikācijas eksāmenu nokārtoja 12 pretendenti, kuri 2019.gadā iecelti prokurora amatā.</w:t>
      </w:r>
    </w:p>
    <w:p w14:paraId="7285B729" w14:textId="77777777" w:rsidR="005D0236" w:rsidRDefault="005D0236" w:rsidP="00FC0ED0">
      <w:pPr>
        <w:spacing w:after="0"/>
        <w:ind w:firstLine="720"/>
        <w:jc w:val="both"/>
      </w:pPr>
      <w:r w:rsidRPr="00E47B06">
        <w:t>2019.gada jūlijā izsludinātajā atlasē pieteicās 97 pretendenti, no kuriem 10 nokārtoja vispārējo un juridisko zināšanu pārbaudījumu. Stažēšanās līgums noslēgts ar 10 pretendentiem, un šobrīd stažēšanās vēl nav pabeigta.</w:t>
      </w:r>
    </w:p>
    <w:p w14:paraId="16A55DAC" w14:textId="01F946AB" w:rsidR="005D0236" w:rsidRDefault="005D0236" w:rsidP="00FC0ED0">
      <w:pPr>
        <w:spacing w:after="0"/>
        <w:ind w:firstLine="720"/>
        <w:jc w:val="both"/>
        <w:rPr>
          <w:bCs/>
        </w:rPr>
      </w:pPr>
      <w:r w:rsidRPr="00E47B06">
        <w:t>Lai veicinātu</w:t>
      </w:r>
      <w:r w:rsidRPr="00E47B06">
        <w:rPr>
          <w:bCs/>
        </w:rPr>
        <w:t xml:space="preserve"> prokurora amatam nepieciešamo iemaņu apguvi</w:t>
      </w:r>
      <w:r w:rsidRPr="00E47B06">
        <w:t xml:space="preserve">, pieredzējušie prokurori organizē un vada apmācības </w:t>
      </w:r>
      <w:r w:rsidRPr="00E47B06">
        <w:rPr>
          <w:bCs/>
        </w:rPr>
        <w:t xml:space="preserve">prokurora amata kandidātiem. Turklāt 2020.gadā mācību pasākumos plānots iesaistīt arī Latvijas Universitātes pasniedzējus, nodrošinot vēl pilnīgāku prokurora amatam nepieciešamo iemaņu apguvi. </w:t>
      </w:r>
    </w:p>
    <w:p w14:paraId="5C484A2F" w14:textId="77777777" w:rsidR="0064749F" w:rsidRDefault="0064749F" w:rsidP="00B94432">
      <w:pPr>
        <w:spacing w:after="0"/>
        <w:jc w:val="both"/>
        <w:rPr>
          <w:bCs/>
        </w:rPr>
      </w:pPr>
    </w:p>
    <w:p w14:paraId="48A86EDF" w14:textId="24A51430" w:rsidR="0064749F" w:rsidRDefault="0064749F" w:rsidP="0064749F">
      <w:pPr>
        <w:spacing w:after="0" w:line="240" w:lineRule="auto"/>
        <w:rPr>
          <w:b/>
          <w:bCs/>
          <w:i/>
          <w:iCs/>
        </w:rPr>
      </w:pPr>
      <w:r w:rsidRPr="002D69B0">
        <w:rPr>
          <w:b/>
          <w:bCs/>
          <w:i/>
          <w:iCs/>
        </w:rPr>
        <w:t>Prokuratūras informācijas sistēm</w:t>
      </w:r>
      <w:r w:rsidR="00BE5703">
        <w:rPr>
          <w:b/>
          <w:bCs/>
          <w:i/>
          <w:iCs/>
        </w:rPr>
        <w:t>as</w:t>
      </w:r>
      <w:r w:rsidRPr="002D69B0">
        <w:rPr>
          <w:b/>
          <w:bCs/>
          <w:i/>
          <w:iCs/>
        </w:rPr>
        <w:t xml:space="preserve"> attīstība</w:t>
      </w:r>
    </w:p>
    <w:p w14:paraId="7A5B6BD1" w14:textId="77777777" w:rsidR="0064749F" w:rsidRPr="002D69B0" w:rsidRDefault="0064749F" w:rsidP="0064749F">
      <w:pPr>
        <w:spacing w:after="0" w:line="240" w:lineRule="auto"/>
        <w:rPr>
          <w:b/>
          <w:bCs/>
          <w:i/>
          <w:iCs/>
        </w:rPr>
      </w:pPr>
    </w:p>
    <w:p w14:paraId="00B24246" w14:textId="713E6FEE" w:rsidR="0064749F" w:rsidRDefault="0064749F" w:rsidP="0064749F">
      <w:pPr>
        <w:spacing w:after="0" w:line="240" w:lineRule="auto"/>
        <w:ind w:firstLine="720"/>
        <w:jc w:val="both"/>
      </w:pPr>
      <w:r>
        <w:t xml:space="preserve">Šobrīd pilnībā ieviesta un visās prokuratūras struktūrvienībās darbojas Prokuratūras informācijas sistēma (turpmāk – </w:t>
      </w:r>
      <w:proofErr w:type="spellStart"/>
      <w:r>
        <w:t>ProIS</w:t>
      </w:r>
      <w:proofErr w:type="spellEnd"/>
      <w:r>
        <w:t xml:space="preserve">), kura </w:t>
      </w:r>
      <w:r w:rsidR="00B94432">
        <w:t xml:space="preserve">prokuroriem </w:t>
      </w:r>
      <w:r>
        <w:t xml:space="preserve">nodrošina pilnībā digitalizētu </w:t>
      </w:r>
      <w:r>
        <w:lastRenderedPageBreak/>
        <w:t>kriminālprocesu uzraudzības sistēmu, paralēli nodrošinot  dokumentu elektronisko apriti starp visām prokuratūras struktūrvienībām</w:t>
      </w:r>
      <w:r w:rsidR="00B94432">
        <w:t xml:space="preserve"> un citām institūcijām</w:t>
      </w:r>
      <w:r>
        <w:t xml:space="preserve">. Arī prokuratūras darbības pārskati gan par prokuroru individuālo darbu, gan arī par prokuratūras struktūrvienību darbu tiek izgūti elektroniski, izmantojot </w:t>
      </w:r>
      <w:proofErr w:type="spellStart"/>
      <w:r>
        <w:t>ProIS</w:t>
      </w:r>
      <w:proofErr w:type="spellEnd"/>
      <w:r>
        <w:t xml:space="preserve"> atskaišu sistēmas moduli. </w:t>
      </w:r>
    </w:p>
    <w:p w14:paraId="51A52210" w14:textId="4E1018F0" w:rsidR="0064749F" w:rsidRDefault="0064749F" w:rsidP="0064749F">
      <w:pPr>
        <w:spacing w:after="0" w:line="240" w:lineRule="auto"/>
        <w:ind w:firstLine="720"/>
        <w:jc w:val="both"/>
      </w:pPr>
      <w:proofErr w:type="spellStart"/>
      <w:r>
        <w:t>ProIS</w:t>
      </w:r>
      <w:proofErr w:type="spellEnd"/>
      <w:r>
        <w:t xml:space="preserve"> pilnībā </w:t>
      </w:r>
      <w:proofErr w:type="spellStart"/>
      <w:r>
        <w:t>digitalizēts</w:t>
      </w:r>
      <w:proofErr w:type="spellEnd"/>
      <w:r>
        <w:t xml:space="preserve"> prokuroru profesionālās darbības novērtēšanas process. Prokuroru personāla pārvaldība notiek elektroniskā vidē </w:t>
      </w:r>
      <w:proofErr w:type="spellStart"/>
      <w:r>
        <w:t>ProIS</w:t>
      </w:r>
      <w:proofErr w:type="spellEnd"/>
      <w:r>
        <w:t xml:space="preserve"> personāla modulī. Turklāt elektroniskā vidē darbojas prokuratūras </w:t>
      </w:r>
      <w:r w:rsidR="00AD2026">
        <w:t>A</w:t>
      </w:r>
      <w:r>
        <w:t>dministratīvā direktora dienesta nodrošināti prokuratūras saimniecisko un citu pārvaldības jautājumu risinājumi. Elektroniski tiek nodrošināti arī prokuratūras iepirkumu procesi un citi prokuratūras darbības atbalst</w:t>
      </w:r>
      <w:r w:rsidR="00AD2026">
        <w:t>a</w:t>
      </w:r>
      <w:r>
        <w:t xml:space="preserve"> procesi. </w:t>
      </w:r>
    </w:p>
    <w:p w14:paraId="4718A737" w14:textId="1A41039E" w:rsidR="0064749F" w:rsidRDefault="0064749F" w:rsidP="0064749F">
      <w:pPr>
        <w:spacing w:after="0" w:line="240" w:lineRule="auto"/>
        <w:ind w:firstLine="720"/>
        <w:jc w:val="both"/>
      </w:pPr>
      <w:proofErr w:type="spellStart"/>
      <w:r>
        <w:t>ProIS</w:t>
      </w:r>
      <w:proofErr w:type="spellEnd"/>
      <w:r>
        <w:t xml:space="preserve"> informācijas resursi integrēti ar Kriminālprocesu informācijas sistēmu (KRASS), kas dod iespēju gan uzraugošajam prokuroram, gan amatā augstākam prokuroram elektroniskā vidē organizēt kriminālprocesu virzību saskaņā ar K</w:t>
      </w:r>
      <w:r w:rsidR="00AD2026">
        <w:t>PL</w:t>
      </w:r>
      <w:r>
        <w:t xml:space="preserve">. Minētais rīks būtiski atvieglo un paātrina izmeklētāja un prokurora savstarpējo komunikāciju un profesionālo pilnvaru savlaicīgu un efektīvu realizāciju kriminālprocesā. Būtiski uzsvērt, ka </w:t>
      </w:r>
      <w:proofErr w:type="spellStart"/>
      <w:r>
        <w:t>ProIS</w:t>
      </w:r>
      <w:proofErr w:type="spellEnd"/>
      <w:r>
        <w:t xml:space="preserve"> ir integrētas arī ārējās informācijas datu bāzes, kuru meklēšanas pārlūkus prokurors izmanto vienotā informācijas sistēmā, kas dod iespēju </w:t>
      </w:r>
      <w:proofErr w:type="spellStart"/>
      <w:r w:rsidR="00AD2026">
        <w:t>P</w:t>
      </w:r>
      <w:r>
        <w:t>roIS</w:t>
      </w:r>
      <w:proofErr w:type="spellEnd"/>
      <w:r w:rsidR="00AD2026">
        <w:t xml:space="preserve"> </w:t>
      </w:r>
      <w:r>
        <w:t xml:space="preserve"> izgūt visu informāciju, kas atrodas integrētajās datu bāzēs.</w:t>
      </w:r>
    </w:p>
    <w:p w14:paraId="70B66C68" w14:textId="77777777" w:rsidR="0064749F" w:rsidRDefault="0064749F" w:rsidP="0064749F">
      <w:pPr>
        <w:spacing w:after="0" w:line="240" w:lineRule="auto"/>
        <w:ind w:firstLine="720"/>
        <w:jc w:val="both"/>
      </w:pPr>
    </w:p>
    <w:p w14:paraId="16EB6CC6" w14:textId="41471BDC" w:rsidR="007F2721" w:rsidRPr="007F2721" w:rsidRDefault="0064749F" w:rsidP="007F2721">
      <w:pPr>
        <w:spacing w:after="0" w:line="240" w:lineRule="auto"/>
        <w:ind w:firstLine="720"/>
        <w:jc w:val="both"/>
      </w:pPr>
      <w:r>
        <w:t>Vienlaicīgi prokuratūrā turpinās darbs pie E-lietas programmas projekta “Prokuratūras informācijas sistēmas attīstība” (turpmāk</w:t>
      </w:r>
      <w:r w:rsidR="00AD2026">
        <w:t xml:space="preserve"> </w:t>
      </w:r>
      <w:r w:rsidR="007F2721">
        <w:t xml:space="preserve">– </w:t>
      </w:r>
      <w:r>
        <w:t xml:space="preserve">Projekts) īstenošanas, kura mērķis ir turpināt uzlabot prokuratūras darbības efektivitāti un mazināt ar tiesu </w:t>
      </w:r>
      <w:r w:rsidRPr="002D69B0">
        <w:rPr>
          <w:rFonts w:eastAsia="Times New Roman" w:cs="Times New Roman"/>
          <w:color w:val="000000" w:themeColor="text1"/>
          <w:szCs w:val="24"/>
          <w:lang w:eastAsia="lv-LV"/>
        </w:rPr>
        <w:t>nozares procesiem saistīto procesu norises laiku</w:t>
      </w:r>
      <w:r w:rsidRPr="005A7AA2">
        <w:rPr>
          <w:rFonts w:eastAsia="Times New Roman" w:cs="Times New Roman"/>
          <w:color w:val="000000" w:themeColor="text1"/>
          <w:szCs w:val="24"/>
          <w:lang w:eastAsia="lv-LV"/>
        </w:rPr>
        <w:t>.</w:t>
      </w:r>
      <w:r w:rsidRPr="001B0F3D">
        <w:rPr>
          <w:rFonts w:eastAsia="Times New Roman" w:cs="Times New Roman"/>
          <w:color w:val="000000" w:themeColor="text1"/>
          <w:szCs w:val="24"/>
          <w:lang w:eastAsia="lv-LV"/>
        </w:rPr>
        <w:t xml:space="preserve"> </w:t>
      </w:r>
      <w:r w:rsidRPr="002D69B0">
        <w:rPr>
          <w:rFonts w:eastAsia="Times New Roman" w:cs="Times New Roman"/>
          <w:color w:val="000000" w:themeColor="text1"/>
          <w:szCs w:val="24"/>
          <w:lang w:eastAsia="lv-LV"/>
        </w:rPr>
        <w:t xml:space="preserve">Projekta mērķis ir procesuālo dokumentu, uzdevumu un informācijas apmaiņas efektivitātes uzlabošana starp kriminālprocesa dalībniekiem, ar izmeklēšanu un tiesvedību saistītajām institūcijām, Prokuratūras darbības procesu integrēšana tiesu nozares procesos elektroniskās </w:t>
      </w:r>
      <w:r w:rsidRPr="005A7AA2">
        <w:rPr>
          <w:rFonts w:eastAsia="Times New Roman" w:cs="Times New Roman"/>
          <w:color w:val="000000" w:themeColor="text1"/>
          <w:szCs w:val="24"/>
          <w:lang w:eastAsia="lv-LV"/>
        </w:rPr>
        <w:t>E</w:t>
      </w:r>
      <w:r w:rsidRPr="002D69B0">
        <w:rPr>
          <w:rFonts w:eastAsia="Times New Roman" w:cs="Times New Roman"/>
          <w:color w:val="000000" w:themeColor="text1"/>
          <w:szCs w:val="24"/>
          <w:lang w:eastAsia="lv-LV"/>
        </w:rPr>
        <w:t xml:space="preserve">-lietas kontekstā un racionāla </w:t>
      </w:r>
      <w:proofErr w:type="spellStart"/>
      <w:r w:rsidRPr="002D69B0">
        <w:rPr>
          <w:rFonts w:eastAsia="Times New Roman" w:cs="Times New Roman"/>
          <w:color w:val="000000" w:themeColor="text1"/>
          <w:szCs w:val="24"/>
          <w:lang w:eastAsia="lv-LV"/>
        </w:rPr>
        <w:t>ProIS</w:t>
      </w:r>
      <w:proofErr w:type="spellEnd"/>
      <w:r w:rsidRPr="002D69B0">
        <w:rPr>
          <w:rFonts w:eastAsia="Times New Roman" w:cs="Times New Roman"/>
          <w:color w:val="000000" w:themeColor="text1"/>
          <w:szCs w:val="24"/>
          <w:lang w:eastAsia="lv-LV"/>
        </w:rPr>
        <w:t xml:space="preserve"> pilnveide, izmantojot E-lietas un valsts centralizētos koplietošanas risinājumus. </w:t>
      </w:r>
      <w:r w:rsidR="007F2721">
        <w:rPr>
          <w:rFonts w:eastAsia="Times New Roman" w:cs="Times New Roman"/>
          <w:color w:val="000000" w:themeColor="text1"/>
          <w:szCs w:val="24"/>
          <w:lang w:eastAsia="lv-LV"/>
        </w:rPr>
        <w:t xml:space="preserve">Tāpat paredzēta </w:t>
      </w:r>
      <w:proofErr w:type="spellStart"/>
      <w:r w:rsidRPr="002D69B0">
        <w:rPr>
          <w:rFonts w:eastAsia="Times New Roman" w:cs="Times New Roman"/>
          <w:color w:val="000000" w:themeColor="text1"/>
          <w:szCs w:val="24"/>
          <w:lang w:eastAsia="lv-LV"/>
        </w:rPr>
        <w:t>ProIS</w:t>
      </w:r>
      <w:proofErr w:type="spellEnd"/>
      <w:r w:rsidRPr="002D69B0">
        <w:rPr>
          <w:rFonts w:eastAsia="Times New Roman" w:cs="Times New Roman"/>
          <w:color w:val="000000" w:themeColor="text1"/>
          <w:szCs w:val="24"/>
          <w:lang w:eastAsia="lv-LV"/>
        </w:rPr>
        <w:t xml:space="preserve"> pilnveidošana, nodrošinot E-lietas platformas un VRAA koplietošanas komponenšu izmantošanu, izvietojot elektroniskos pakalpojumus E-lietas publiskajā portālā</w:t>
      </w:r>
      <w:r>
        <w:rPr>
          <w:rFonts w:eastAsia="Times New Roman" w:cs="Times New Roman"/>
          <w:color w:val="000000" w:themeColor="text1"/>
          <w:szCs w:val="24"/>
          <w:lang w:eastAsia="lv-LV"/>
        </w:rPr>
        <w:t xml:space="preserve"> </w:t>
      </w:r>
      <w:r>
        <w:t xml:space="preserve">(sk. tabulu </w:t>
      </w:r>
      <w:r w:rsidRPr="005640F8">
        <w:rPr>
          <w:b/>
          <w:bCs/>
        </w:rPr>
        <w:t xml:space="preserve">Pielikumā Nr.1 – </w:t>
      </w:r>
      <w:r>
        <w:rPr>
          <w:b/>
          <w:bCs/>
        </w:rPr>
        <w:t>37</w:t>
      </w:r>
      <w:r w:rsidRPr="005640F8">
        <w:rPr>
          <w:b/>
          <w:bCs/>
        </w:rPr>
        <w:t>.lpp.</w:t>
      </w:r>
      <w:r>
        <w:t>).</w:t>
      </w:r>
    </w:p>
    <w:p w14:paraId="31AF266B" w14:textId="77777777" w:rsidR="0064749F" w:rsidRDefault="0064749F" w:rsidP="0064749F">
      <w:pPr>
        <w:spacing w:after="0" w:line="240" w:lineRule="auto"/>
        <w:ind w:firstLine="720"/>
        <w:jc w:val="both"/>
        <w:rPr>
          <w:rFonts w:eastAsia="Calibri" w:cs="Arial"/>
          <w:color w:val="000000" w:themeColor="text1"/>
        </w:rPr>
      </w:pPr>
      <w:r>
        <w:t>Šobrīd</w:t>
      </w:r>
      <w:r w:rsidRPr="001B0F3D">
        <w:rPr>
          <w:rFonts w:eastAsia="Times New Roman" w:cs="Times New Roman"/>
          <w:color w:val="000000" w:themeColor="text1"/>
          <w:szCs w:val="24"/>
          <w:lang w:eastAsia="lv-LV"/>
        </w:rPr>
        <w:t xml:space="preserve"> </w:t>
      </w:r>
      <w:r w:rsidRPr="002D69B0">
        <w:rPr>
          <w:rFonts w:eastAsia="Times New Roman" w:cs="Times New Roman"/>
          <w:color w:val="000000" w:themeColor="text1"/>
          <w:szCs w:val="24"/>
          <w:lang w:eastAsia="lv-LV"/>
        </w:rPr>
        <w:t xml:space="preserve">pilnībā izstrādātas un uzstādītas </w:t>
      </w:r>
      <w:proofErr w:type="spellStart"/>
      <w:r w:rsidRPr="002D69B0">
        <w:rPr>
          <w:rFonts w:eastAsia="Times New Roman" w:cs="Times New Roman"/>
          <w:color w:val="000000" w:themeColor="text1"/>
          <w:szCs w:val="24"/>
          <w:lang w:eastAsia="lv-LV"/>
        </w:rPr>
        <w:t>ProIS</w:t>
      </w:r>
      <w:proofErr w:type="spellEnd"/>
      <w:r w:rsidRPr="002D69B0">
        <w:rPr>
          <w:rFonts w:eastAsia="Times New Roman" w:cs="Times New Roman"/>
          <w:color w:val="000000" w:themeColor="text1"/>
          <w:szCs w:val="24"/>
          <w:lang w:eastAsia="lv-LV"/>
        </w:rPr>
        <w:t xml:space="preserve"> akcepttesta vidē iekšējai lietošanai dinamiskās atskaites ar parametru izvēli, kā arī testa vidē piegādāti prokuratūras darbības pārskati ar grafiskas attēlošanas iespēju. Pēc drošības audita veikšanas pārskati par prokuratūras darbu būs publiski pieejami un tiks atjaunoti</w:t>
      </w:r>
      <w:r w:rsidRPr="005A7AA2">
        <w:rPr>
          <w:rFonts w:eastAsia="Times New Roman" w:cs="Times New Roman"/>
          <w:color w:val="000000" w:themeColor="text1"/>
          <w:szCs w:val="24"/>
          <w:lang w:eastAsia="lv-LV"/>
        </w:rPr>
        <w:t>,</w:t>
      </w:r>
      <w:r w:rsidRPr="002D69B0">
        <w:rPr>
          <w:rFonts w:eastAsia="Times New Roman" w:cs="Times New Roman"/>
          <w:color w:val="000000" w:themeColor="text1"/>
          <w:szCs w:val="24"/>
          <w:lang w:eastAsia="lv-LV"/>
        </w:rPr>
        <w:t xml:space="preserve"> automātiski attēlojot aktuālo informāciju no </w:t>
      </w:r>
      <w:proofErr w:type="spellStart"/>
      <w:r w:rsidRPr="002D69B0">
        <w:rPr>
          <w:rFonts w:eastAsia="Times New Roman" w:cs="Times New Roman"/>
          <w:color w:val="000000" w:themeColor="text1"/>
          <w:szCs w:val="24"/>
          <w:lang w:eastAsia="lv-LV"/>
        </w:rPr>
        <w:t>ProIS</w:t>
      </w:r>
      <w:proofErr w:type="spellEnd"/>
      <w:r w:rsidRPr="002D69B0">
        <w:rPr>
          <w:rFonts w:eastAsia="Times New Roman" w:cs="Times New Roman"/>
          <w:color w:val="000000" w:themeColor="text1"/>
          <w:szCs w:val="24"/>
          <w:lang w:eastAsia="lv-LV"/>
        </w:rPr>
        <w:t xml:space="preserve"> esošajiem elektroniskajiem žurnāliem. Turklāt testa vidē ir piegādāta izstrādātā </w:t>
      </w:r>
      <w:proofErr w:type="spellStart"/>
      <w:r w:rsidRPr="002D69B0">
        <w:rPr>
          <w:rFonts w:eastAsia="Calibri" w:cs="Arial"/>
          <w:color w:val="000000" w:themeColor="text1"/>
        </w:rPr>
        <w:t>saskarne</w:t>
      </w:r>
      <w:proofErr w:type="spellEnd"/>
      <w:r w:rsidRPr="002D69B0">
        <w:rPr>
          <w:rFonts w:eastAsia="Calibri" w:cs="Arial"/>
          <w:color w:val="000000" w:themeColor="text1"/>
        </w:rPr>
        <w:t xml:space="preserve"> atvērto datu nodošanai atvērto datu portālam.</w:t>
      </w:r>
    </w:p>
    <w:p w14:paraId="2761B1D6" w14:textId="252616D8" w:rsidR="0064749F" w:rsidRDefault="0064749F" w:rsidP="0064749F">
      <w:pPr>
        <w:spacing w:after="0" w:line="240" w:lineRule="auto"/>
        <w:ind w:firstLine="720"/>
        <w:jc w:val="both"/>
      </w:pPr>
      <w:r>
        <w:rPr>
          <w:rFonts w:eastAsia="Times New Roman" w:cs="Times New Roman"/>
          <w:color w:val="000000" w:themeColor="text1"/>
          <w:szCs w:val="24"/>
          <w:lang w:eastAsia="lv-LV"/>
        </w:rPr>
        <w:t>S</w:t>
      </w:r>
      <w:r w:rsidRPr="002D69B0">
        <w:rPr>
          <w:rFonts w:eastAsia="Times New Roman" w:cs="Times New Roman"/>
          <w:color w:val="000000" w:themeColor="text1"/>
          <w:szCs w:val="24"/>
          <w:lang w:eastAsia="lv-LV"/>
        </w:rPr>
        <w:t xml:space="preserve">adarbībā ar izmeklēšanas iestāžu pārstāvjiem, </w:t>
      </w:r>
      <w:r>
        <w:rPr>
          <w:rFonts w:eastAsia="Times New Roman" w:cs="Times New Roman"/>
          <w:color w:val="000000" w:themeColor="text1"/>
          <w:szCs w:val="24"/>
          <w:lang w:eastAsia="lv-LV"/>
        </w:rPr>
        <w:t>p</w:t>
      </w:r>
      <w:r w:rsidRPr="002D69B0">
        <w:rPr>
          <w:rFonts w:eastAsia="Times New Roman" w:cs="Times New Roman"/>
          <w:color w:val="000000" w:themeColor="text1"/>
          <w:szCs w:val="24"/>
          <w:lang w:eastAsia="lv-LV"/>
        </w:rPr>
        <w:t xml:space="preserve">rokuratūrā tiek izstrādātas kriminālprocesuālo dokumentu elektroniskās formas, kuras paralēli tiek </w:t>
      </w:r>
      <w:r>
        <w:rPr>
          <w:rFonts w:eastAsia="Times New Roman" w:cs="Times New Roman"/>
          <w:color w:val="000000" w:themeColor="text1"/>
          <w:szCs w:val="24"/>
          <w:lang w:eastAsia="lv-LV"/>
        </w:rPr>
        <w:t>testētas</w:t>
      </w:r>
      <w:r w:rsidRPr="002D69B0">
        <w:rPr>
          <w:rFonts w:eastAsia="Times New Roman" w:cs="Times New Roman"/>
          <w:color w:val="000000" w:themeColor="text1"/>
          <w:szCs w:val="24"/>
          <w:lang w:eastAsia="lv-LV"/>
        </w:rPr>
        <w:t xml:space="preserve"> </w:t>
      </w:r>
      <w:proofErr w:type="spellStart"/>
      <w:r w:rsidRPr="002D69B0">
        <w:rPr>
          <w:rFonts w:eastAsia="Times New Roman" w:cs="Times New Roman"/>
          <w:color w:val="000000" w:themeColor="text1"/>
          <w:szCs w:val="24"/>
          <w:lang w:eastAsia="lv-LV"/>
        </w:rPr>
        <w:t>ProIS</w:t>
      </w:r>
      <w:proofErr w:type="spellEnd"/>
      <w:r>
        <w:rPr>
          <w:rFonts w:eastAsia="Times New Roman" w:cs="Times New Roman"/>
          <w:color w:val="000000" w:themeColor="text1"/>
          <w:szCs w:val="24"/>
          <w:lang w:eastAsia="lv-LV"/>
        </w:rPr>
        <w:t xml:space="preserve"> testa vidē</w:t>
      </w:r>
      <w:r w:rsidRPr="002D69B0">
        <w:rPr>
          <w:rFonts w:eastAsia="Times New Roman" w:cs="Times New Roman"/>
          <w:color w:val="000000" w:themeColor="text1"/>
          <w:szCs w:val="24"/>
          <w:lang w:eastAsia="lv-LV"/>
        </w:rPr>
        <w:t xml:space="preserve">, kā arī notiek darbs Tieslietu ministrijas </w:t>
      </w:r>
      <w:r w:rsidR="007F2721">
        <w:rPr>
          <w:rFonts w:eastAsia="Times New Roman" w:cs="Times New Roman"/>
          <w:color w:val="000000" w:themeColor="text1"/>
          <w:szCs w:val="24"/>
          <w:lang w:eastAsia="lv-LV"/>
        </w:rPr>
        <w:t>p</w:t>
      </w:r>
      <w:r w:rsidRPr="001B0F3D">
        <w:rPr>
          <w:rFonts w:eastAsia="Times New Roman" w:cs="Times New Roman"/>
          <w:color w:val="000000" w:themeColor="text1"/>
          <w:szCs w:val="24"/>
          <w:lang w:eastAsia="lv-LV"/>
        </w:rPr>
        <w:t xml:space="preserve">astāvīgajā darba grupā Kriminālprocesa likuma grozījumu izstrādei, </w:t>
      </w:r>
      <w:r w:rsidRPr="002D69B0">
        <w:rPr>
          <w:rFonts w:eastAsia="Times New Roman" w:cs="Times New Roman"/>
          <w:color w:val="000000" w:themeColor="text1"/>
          <w:szCs w:val="24"/>
          <w:lang w:eastAsia="lv-LV"/>
        </w:rPr>
        <w:t xml:space="preserve">gatavojot nepieciešamās izmaiņas Kriminālprocesa likumā darbam ar </w:t>
      </w:r>
      <w:r>
        <w:rPr>
          <w:rFonts w:eastAsia="Times New Roman" w:cs="Times New Roman"/>
          <w:color w:val="000000" w:themeColor="text1"/>
          <w:szCs w:val="24"/>
          <w:lang w:eastAsia="lv-LV"/>
        </w:rPr>
        <w:t>E</w:t>
      </w:r>
      <w:r w:rsidRPr="002D69B0">
        <w:rPr>
          <w:rFonts w:eastAsia="Times New Roman" w:cs="Times New Roman"/>
          <w:color w:val="000000" w:themeColor="text1"/>
          <w:szCs w:val="24"/>
          <w:lang w:eastAsia="lv-LV"/>
        </w:rPr>
        <w:t>-lietu</w:t>
      </w:r>
      <w:r>
        <w:rPr>
          <w:rFonts w:eastAsia="Times New Roman" w:cs="Times New Roman"/>
          <w:color w:val="000000" w:themeColor="text1"/>
          <w:szCs w:val="24"/>
          <w:lang w:eastAsia="lv-LV"/>
        </w:rPr>
        <w:t xml:space="preserve"> nākotnē</w:t>
      </w:r>
      <w:r w:rsidRPr="002D69B0">
        <w:rPr>
          <w:rFonts w:eastAsia="Times New Roman" w:cs="Times New Roman"/>
          <w:color w:val="000000" w:themeColor="text1"/>
          <w:szCs w:val="24"/>
          <w:lang w:eastAsia="lv-LV"/>
        </w:rPr>
        <w:t>.</w:t>
      </w:r>
    </w:p>
    <w:p w14:paraId="20D966CE" w14:textId="4F49B8D0" w:rsidR="00CF5BE1" w:rsidRPr="006C6103" w:rsidRDefault="00CF5BE1" w:rsidP="00CF5BE1">
      <w:pPr>
        <w:jc w:val="both"/>
        <w:rPr>
          <w:color w:val="000000" w:themeColor="text1"/>
        </w:rPr>
      </w:pPr>
      <w:bookmarkStart w:id="9" w:name="_GoBack"/>
      <w:bookmarkEnd w:id="9"/>
    </w:p>
    <w:sectPr w:rsidR="00CF5BE1" w:rsidRPr="006C6103" w:rsidSect="00A80C0A">
      <w:footerReference w:type="even" r:id="rId7"/>
      <w:footerReference w:type="default" r:id="rId8"/>
      <w:pgSz w:w="11906" w:h="16838"/>
      <w:pgMar w:top="1418" w:right="991"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D1C24" w14:textId="77777777" w:rsidR="009C6595" w:rsidRDefault="009C6595">
      <w:pPr>
        <w:spacing w:after="0" w:line="240" w:lineRule="auto"/>
      </w:pPr>
      <w:r>
        <w:separator/>
      </w:r>
    </w:p>
  </w:endnote>
  <w:endnote w:type="continuationSeparator" w:id="0">
    <w:p w14:paraId="63874696" w14:textId="77777777" w:rsidR="009C6595" w:rsidRDefault="009C6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E6C75" w14:textId="77777777" w:rsidR="00587C02" w:rsidRDefault="00587C02" w:rsidP="00D149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B3C860" w14:textId="77777777" w:rsidR="00587C02" w:rsidRDefault="00587C02" w:rsidP="00D149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8E4B5" w14:textId="77777777" w:rsidR="00587C02" w:rsidRDefault="00587C02" w:rsidP="00D149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712AB4F0" w14:textId="77777777" w:rsidR="00587C02" w:rsidRDefault="00587C02" w:rsidP="00D149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4E530" w14:textId="77777777" w:rsidR="009C6595" w:rsidRDefault="009C6595">
      <w:pPr>
        <w:spacing w:after="0" w:line="240" w:lineRule="auto"/>
      </w:pPr>
      <w:r>
        <w:separator/>
      </w:r>
    </w:p>
  </w:footnote>
  <w:footnote w:type="continuationSeparator" w:id="0">
    <w:p w14:paraId="4C185A5A" w14:textId="77777777" w:rsidR="009C6595" w:rsidRDefault="009C6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7D9D"/>
    <w:multiLevelType w:val="hybridMultilevel"/>
    <w:tmpl w:val="63CE3324"/>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425F1"/>
    <w:multiLevelType w:val="hybridMultilevel"/>
    <w:tmpl w:val="AA3E895C"/>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C81B52"/>
    <w:multiLevelType w:val="hybridMultilevel"/>
    <w:tmpl w:val="831A0924"/>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07843"/>
    <w:multiLevelType w:val="hybridMultilevel"/>
    <w:tmpl w:val="39ACC93E"/>
    <w:lvl w:ilvl="0" w:tplc="43B8511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291425"/>
    <w:multiLevelType w:val="hybridMultilevel"/>
    <w:tmpl w:val="864A43A2"/>
    <w:lvl w:ilvl="0" w:tplc="1E26E464">
      <w:start w:val="20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ED7344"/>
    <w:multiLevelType w:val="hybridMultilevel"/>
    <w:tmpl w:val="6EA2D34A"/>
    <w:lvl w:ilvl="0" w:tplc="91B2CF12">
      <w:start w:val="201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8280B23"/>
    <w:multiLevelType w:val="hybridMultilevel"/>
    <w:tmpl w:val="CD8AA1C0"/>
    <w:lvl w:ilvl="0" w:tplc="9A3453E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C875124"/>
    <w:multiLevelType w:val="hybridMultilevel"/>
    <w:tmpl w:val="2F80B58E"/>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9C4583"/>
    <w:multiLevelType w:val="multilevel"/>
    <w:tmpl w:val="F86857F8"/>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06C239E"/>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43AE2375"/>
    <w:multiLevelType w:val="hybridMultilevel"/>
    <w:tmpl w:val="D50E15DE"/>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0A2217"/>
    <w:multiLevelType w:val="hybridMultilevel"/>
    <w:tmpl w:val="1F6AA17C"/>
    <w:lvl w:ilvl="0" w:tplc="2256AFD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8A041C5"/>
    <w:multiLevelType w:val="hybridMultilevel"/>
    <w:tmpl w:val="06183FB4"/>
    <w:lvl w:ilvl="0" w:tplc="BA5CE45A">
      <w:start w:val="201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BA93711"/>
    <w:multiLevelType w:val="hybridMultilevel"/>
    <w:tmpl w:val="15D291EC"/>
    <w:lvl w:ilvl="0" w:tplc="A2BA606A">
      <w:start w:val="2011"/>
      <w:numFmt w:val="bullet"/>
      <w:lvlText w:val="-"/>
      <w:lvlJc w:val="left"/>
      <w:pPr>
        <w:tabs>
          <w:tab w:val="num" w:pos="945"/>
        </w:tabs>
        <w:ind w:left="945" w:hanging="585"/>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63029C"/>
    <w:multiLevelType w:val="hybridMultilevel"/>
    <w:tmpl w:val="29B43E46"/>
    <w:lvl w:ilvl="0" w:tplc="00E00C9C">
      <w:start w:val="201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7601110"/>
    <w:multiLevelType w:val="hybridMultilevel"/>
    <w:tmpl w:val="2EAE18D2"/>
    <w:lvl w:ilvl="0" w:tplc="283288B0">
      <w:start w:val="45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B7A022A"/>
    <w:multiLevelType w:val="hybridMultilevel"/>
    <w:tmpl w:val="66C036A4"/>
    <w:lvl w:ilvl="0" w:tplc="2256AFD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D7B533F"/>
    <w:multiLevelType w:val="hybridMultilevel"/>
    <w:tmpl w:val="AD64613C"/>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854A3A"/>
    <w:multiLevelType w:val="hybridMultilevel"/>
    <w:tmpl w:val="BBD8D21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796D1584"/>
    <w:multiLevelType w:val="hybridMultilevel"/>
    <w:tmpl w:val="50A673AA"/>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103AF1"/>
    <w:multiLevelType w:val="hybridMultilevel"/>
    <w:tmpl w:val="28188954"/>
    <w:lvl w:ilvl="0" w:tplc="34B6A91C">
      <w:numFmt w:val="bullet"/>
      <w:lvlText w:val="-"/>
      <w:lvlJc w:val="left"/>
      <w:pPr>
        <w:ind w:left="720" w:hanging="360"/>
      </w:pPr>
      <w:rPr>
        <w:rFonts w:ascii="Times New Roman" w:eastAsia="Times New Roman" w:hAnsi="Times New Roman" w:cs="Times New Roman" w:hint="default"/>
        <w:b w:val="0"/>
        <w:sz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0"/>
  </w:num>
  <w:num w:numId="4">
    <w:abstractNumId w:val="7"/>
  </w:num>
  <w:num w:numId="5">
    <w:abstractNumId w:val="10"/>
  </w:num>
  <w:num w:numId="6">
    <w:abstractNumId w:val="1"/>
  </w:num>
  <w:num w:numId="7">
    <w:abstractNumId w:val="19"/>
  </w:num>
  <w:num w:numId="8">
    <w:abstractNumId w:val="17"/>
  </w:num>
  <w:num w:numId="9">
    <w:abstractNumId w:val="2"/>
  </w:num>
  <w:num w:numId="10">
    <w:abstractNumId w:val="18"/>
  </w:num>
  <w:num w:numId="11">
    <w:abstractNumId w:val="16"/>
  </w:num>
  <w:num w:numId="12">
    <w:abstractNumId w:val="11"/>
  </w:num>
  <w:num w:numId="13">
    <w:abstractNumId w:val="9"/>
  </w:num>
  <w:num w:numId="14">
    <w:abstractNumId w:val="6"/>
  </w:num>
  <w:num w:numId="15">
    <w:abstractNumId w:val="9"/>
    <w:lvlOverride w:ilvl="0">
      <w:startOverride w:val="1"/>
    </w:lvlOverride>
  </w:num>
  <w:num w:numId="16">
    <w:abstractNumId w:val="20"/>
  </w:num>
  <w:num w:numId="17">
    <w:abstractNumId w:val="8"/>
  </w:num>
  <w:num w:numId="18">
    <w:abstractNumId w:val="15"/>
  </w:num>
  <w:num w:numId="19">
    <w:abstractNumId w:val="14"/>
  </w:num>
  <w:num w:numId="20">
    <w:abstractNumId w:val="5"/>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12"/>
    <w:rsid w:val="00026B34"/>
    <w:rsid w:val="00030EAB"/>
    <w:rsid w:val="000341FF"/>
    <w:rsid w:val="00043BCA"/>
    <w:rsid w:val="00050B34"/>
    <w:rsid w:val="00060242"/>
    <w:rsid w:val="00067421"/>
    <w:rsid w:val="0008131A"/>
    <w:rsid w:val="0008661E"/>
    <w:rsid w:val="00087CC2"/>
    <w:rsid w:val="000A6635"/>
    <w:rsid w:val="000B0BB5"/>
    <w:rsid w:val="000C1913"/>
    <w:rsid w:val="000C1D88"/>
    <w:rsid w:val="000D5ED9"/>
    <w:rsid w:val="000D6115"/>
    <w:rsid w:val="000E6C6C"/>
    <w:rsid w:val="000E6D38"/>
    <w:rsid w:val="000F05E6"/>
    <w:rsid w:val="000F24D0"/>
    <w:rsid w:val="000F52FF"/>
    <w:rsid w:val="00100242"/>
    <w:rsid w:val="00100DCD"/>
    <w:rsid w:val="001071C1"/>
    <w:rsid w:val="001534A1"/>
    <w:rsid w:val="00154F14"/>
    <w:rsid w:val="001601B8"/>
    <w:rsid w:val="001818F3"/>
    <w:rsid w:val="00182157"/>
    <w:rsid w:val="00191D66"/>
    <w:rsid w:val="00196D32"/>
    <w:rsid w:val="00197FB5"/>
    <w:rsid w:val="001A6EC0"/>
    <w:rsid w:val="001B1BBC"/>
    <w:rsid w:val="001C001F"/>
    <w:rsid w:val="001C407B"/>
    <w:rsid w:val="001D6CDC"/>
    <w:rsid w:val="001D71A2"/>
    <w:rsid w:val="001F4061"/>
    <w:rsid w:val="00224274"/>
    <w:rsid w:val="00224EFA"/>
    <w:rsid w:val="002267DA"/>
    <w:rsid w:val="00234A11"/>
    <w:rsid w:val="00245DBF"/>
    <w:rsid w:val="0025122A"/>
    <w:rsid w:val="0025477F"/>
    <w:rsid w:val="00263674"/>
    <w:rsid w:val="0026507B"/>
    <w:rsid w:val="00272FD6"/>
    <w:rsid w:val="00276016"/>
    <w:rsid w:val="00284128"/>
    <w:rsid w:val="002945F5"/>
    <w:rsid w:val="00296CCE"/>
    <w:rsid w:val="00297200"/>
    <w:rsid w:val="002A076A"/>
    <w:rsid w:val="002B5BB3"/>
    <w:rsid w:val="002E1F22"/>
    <w:rsid w:val="002F79DB"/>
    <w:rsid w:val="003075E5"/>
    <w:rsid w:val="00312A8F"/>
    <w:rsid w:val="00316DED"/>
    <w:rsid w:val="00316E62"/>
    <w:rsid w:val="00320076"/>
    <w:rsid w:val="00320BCF"/>
    <w:rsid w:val="0032209B"/>
    <w:rsid w:val="00325584"/>
    <w:rsid w:val="00336051"/>
    <w:rsid w:val="0034185E"/>
    <w:rsid w:val="00362769"/>
    <w:rsid w:val="003633F5"/>
    <w:rsid w:val="00365033"/>
    <w:rsid w:val="00365D5B"/>
    <w:rsid w:val="00372F23"/>
    <w:rsid w:val="00373871"/>
    <w:rsid w:val="00387122"/>
    <w:rsid w:val="003924E4"/>
    <w:rsid w:val="00397124"/>
    <w:rsid w:val="00397865"/>
    <w:rsid w:val="00397EA6"/>
    <w:rsid w:val="003A42EF"/>
    <w:rsid w:val="003B5632"/>
    <w:rsid w:val="003B6176"/>
    <w:rsid w:val="00401F15"/>
    <w:rsid w:val="00430C94"/>
    <w:rsid w:val="00430E8A"/>
    <w:rsid w:val="00431547"/>
    <w:rsid w:val="00436295"/>
    <w:rsid w:val="004534BB"/>
    <w:rsid w:val="00454BF4"/>
    <w:rsid w:val="00454D64"/>
    <w:rsid w:val="00455918"/>
    <w:rsid w:val="0047782B"/>
    <w:rsid w:val="0048268F"/>
    <w:rsid w:val="004869DB"/>
    <w:rsid w:val="00492D3E"/>
    <w:rsid w:val="00495CC3"/>
    <w:rsid w:val="004A1079"/>
    <w:rsid w:val="004A6083"/>
    <w:rsid w:val="004B0B28"/>
    <w:rsid w:val="004B1668"/>
    <w:rsid w:val="004B3F49"/>
    <w:rsid w:val="004B5981"/>
    <w:rsid w:val="004B7111"/>
    <w:rsid w:val="004C359C"/>
    <w:rsid w:val="004C5C4F"/>
    <w:rsid w:val="004D575C"/>
    <w:rsid w:val="004D6AAF"/>
    <w:rsid w:val="004E3909"/>
    <w:rsid w:val="004F3E06"/>
    <w:rsid w:val="004F61E8"/>
    <w:rsid w:val="00507E89"/>
    <w:rsid w:val="0051309F"/>
    <w:rsid w:val="0052262E"/>
    <w:rsid w:val="005269B1"/>
    <w:rsid w:val="005311FC"/>
    <w:rsid w:val="0053549D"/>
    <w:rsid w:val="005423E5"/>
    <w:rsid w:val="00552235"/>
    <w:rsid w:val="00553B4C"/>
    <w:rsid w:val="005640F8"/>
    <w:rsid w:val="00581D92"/>
    <w:rsid w:val="00587C02"/>
    <w:rsid w:val="00595249"/>
    <w:rsid w:val="005A2CFA"/>
    <w:rsid w:val="005B155A"/>
    <w:rsid w:val="005D0236"/>
    <w:rsid w:val="005D0922"/>
    <w:rsid w:val="005D242B"/>
    <w:rsid w:val="005E377C"/>
    <w:rsid w:val="005E4D03"/>
    <w:rsid w:val="005E6D15"/>
    <w:rsid w:val="00614952"/>
    <w:rsid w:val="00632C0E"/>
    <w:rsid w:val="00636A0E"/>
    <w:rsid w:val="00641F84"/>
    <w:rsid w:val="0064749F"/>
    <w:rsid w:val="00653436"/>
    <w:rsid w:val="00662133"/>
    <w:rsid w:val="00665D07"/>
    <w:rsid w:val="00666B02"/>
    <w:rsid w:val="006741B8"/>
    <w:rsid w:val="00685667"/>
    <w:rsid w:val="00691757"/>
    <w:rsid w:val="0069741E"/>
    <w:rsid w:val="00697527"/>
    <w:rsid w:val="006A2DA3"/>
    <w:rsid w:val="006A7E60"/>
    <w:rsid w:val="006B413F"/>
    <w:rsid w:val="006C24CB"/>
    <w:rsid w:val="006C6103"/>
    <w:rsid w:val="006D5D05"/>
    <w:rsid w:val="006F30BC"/>
    <w:rsid w:val="006F32E0"/>
    <w:rsid w:val="006F583E"/>
    <w:rsid w:val="007035B6"/>
    <w:rsid w:val="00704119"/>
    <w:rsid w:val="00705CA0"/>
    <w:rsid w:val="00714EC0"/>
    <w:rsid w:val="007223A3"/>
    <w:rsid w:val="007414DC"/>
    <w:rsid w:val="00753D09"/>
    <w:rsid w:val="0075412A"/>
    <w:rsid w:val="00767AE5"/>
    <w:rsid w:val="00771496"/>
    <w:rsid w:val="00774494"/>
    <w:rsid w:val="00777CFC"/>
    <w:rsid w:val="00777F6B"/>
    <w:rsid w:val="00782D32"/>
    <w:rsid w:val="00785F0F"/>
    <w:rsid w:val="0079288B"/>
    <w:rsid w:val="00795A59"/>
    <w:rsid w:val="00797C6B"/>
    <w:rsid w:val="007A225E"/>
    <w:rsid w:val="007C7BB5"/>
    <w:rsid w:val="007D4EEF"/>
    <w:rsid w:val="007E1585"/>
    <w:rsid w:val="007E4866"/>
    <w:rsid w:val="007F2721"/>
    <w:rsid w:val="0080568D"/>
    <w:rsid w:val="00815ABC"/>
    <w:rsid w:val="00831CCB"/>
    <w:rsid w:val="00840ACF"/>
    <w:rsid w:val="00843C5D"/>
    <w:rsid w:val="00847232"/>
    <w:rsid w:val="00872C42"/>
    <w:rsid w:val="00877837"/>
    <w:rsid w:val="008A2DA0"/>
    <w:rsid w:val="008C190A"/>
    <w:rsid w:val="008C519A"/>
    <w:rsid w:val="008D07AC"/>
    <w:rsid w:val="008D2B06"/>
    <w:rsid w:val="008D7093"/>
    <w:rsid w:val="008E1F38"/>
    <w:rsid w:val="008F51F1"/>
    <w:rsid w:val="0091244A"/>
    <w:rsid w:val="00921B08"/>
    <w:rsid w:val="00926512"/>
    <w:rsid w:val="00933029"/>
    <w:rsid w:val="00945462"/>
    <w:rsid w:val="00955735"/>
    <w:rsid w:val="00971B57"/>
    <w:rsid w:val="00983AC3"/>
    <w:rsid w:val="009C6595"/>
    <w:rsid w:val="009D06D7"/>
    <w:rsid w:val="009D20E2"/>
    <w:rsid w:val="009E650A"/>
    <w:rsid w:val="009E7C76"/>
    <w:rsid w:val="009F32D5"/>
    <w:rsid w:val="00A029B8"/>
    <w:rsid w:val="00A413BB"/>
    <w:rsid w:val="00A4687D"/>
    <w:rsid w:val="00A6592B"/>
    <w:rsid w:val="00A80C0A"/>
    <w:rsid w:val="00A87963"/>
    <w:rsid w:val="00A87F07"/>
    <w:rsid w:val="00A9138B"/>
    <w:rsid w:val="00AA7195"/>
    <w:rsid w:val="00AB378B"/>
    <w:rsid w:val="00AC7DC1"/>
    <w:rsid w:val="00AD2026"/>
    <w:rsid w:val="00AD6838"/>
    <w:rsid w:val="00AE16D0"/>
    <w:rsid w:val="00AE2DCF"/>
    <w:rsid w:val="00AE33F0"/>
    <w:rsid w:val="00B04D5D"/>
    <w:rsid w:val="00B14B47"/>
    <w:rsid w:val="00B26985"/>
    <w:rsid w:val="00B55D6B"/>
    <w:rsid w:val="00B71ACC"/>
    <w:rsid w:val="00B72FFF"/>
    <w:rsid w:val="00B7568C"/>
    <w:rsid w:val="00B94432"/>
    <w:rsid w:val="00BA63CB"/>
    <w:rsid w:val="00BB05F5"/>
    <w:rsid w:val="00BC0379"/>
    <w:rsid w:val="00BC5719"/>
    <w:rsid w:val="00BC760F"/>
    <w:rsid w:val="00BE369B"/>
    <w:rsid w:val="00BE5703"/>
    <w:rsid w:val="00BF5D3C"/>
    <w:rsid w:val="00C03F9F"/>
    <w:rsid w:val="00C052F3"/>
    <w:rsid w:val="00C13426"/>
    <w:rsid w:val="00C53B7D"/>
    <w:rsid w:val="00C60DE2"/>
    <w:rsid w:val="00C61F9F"/>
    <w:rsid w:val="00C6693E"/>
    <w:rsid w:val="00C75F7B"/>
    <w:rsid w:val="00C771FF"/>
    <w:rsid w:val="00C80373"/>
    <w:rsid w:val="00C833DA"/>
    <w:rsid w:val="00C86B88"/>
    <w:rsid w:val="00C90B31"/>
    <w:rsid w:val="00C9146E"/>
    <w:rsid w:val="00CA29C3"/>
    <w:rsid w:val="00CB3717"/>
    <w:rsid w:val="00CB6CE1"/>
    <w:rsid w:val="00CC6E66"/>
    <w:rsid w:val="00CD270D"/>
    <w:rsid w:val="00CE0CE1"/>
    <w:rsid w:val="00CF3BBA"/>
    <w:rsid w:val="00CF5BE1"/>
    <w:rsid w:val="00D02D05"/>
    <w:rsid w:val="00D06CCB"/>
    <w:rsid w:val="00D07EE0"/>
    <w:rsid w:val="00D101DC"/>
    <w:rsid w:val="00D10611"/>
    <w:rsid w:val="00D1498D"/>
    <w:rsid w:val="00D15F9A"/>
    <w:rsid w:val="00D31875"/>
    <w:rsid w:val="00D62DDD"/>
    <w:rsid w:val="00D67FDC"/>
    <w:rsid w:val="00D9439C"/>
    <w:rsid w:val="00D94572"/>
    <w:rsid w:val="00DA0623"/>
    <w:rsid w:val="00DA2845"/>
    <w:rsid w:val="00DA6FBD"/>
    <w:rsid w:val="00DC50A7"/>
    <w:rsid w:val="00DC5163"/>
    <w:rsid w:val="00DF156F"/>
    <w:rsid w:val="00E11426"/>
    <w:rsid w:val="00E33866"/>
    <w:rsid w:val="00E4588A"/>
    <w:rsid w:val="00E45E36"/>
    <w:rsid w:val="00E465D7"/>
    <w:rsid w:val="00E62535"/>
    <w:rsid w:val="00E62A19"/>
    <w:rsid w:val="00E65C95"/>
    <w:rsid w:val="00E73121"/>
    <w:rsid w:val="00E8163E"/>
    <w:rsid w:val="00E81A7D"/>
    <w:rsid w:val="00E95B62"/>
    <w:rsid w:val="00E96115"/>
    <w:rsid w:val="00EA00F6"/>
    <w:rsid w:val="00EA0889"/>
    <w:rsid w:val="00EB3124"/>
    <w:rsid w:val="00EC34FE"/>
    <w:rsid w:val="00ED3FDE"/>
    <w:rsid w:val="00ED44D0"/>
    <w:rsid w:val="00ED608C"/>
    <w:rsid w:val="00EE407A"/>
    <w:rsid w:val="00EE569A"/>
    <w:rsid w:val="00F05BC3"/>
    <w:rsid w:val="00F070DE"/>
    <w:rsid w:val="00F12CDF"/>
    <w:rsid w:val="00F168FF"/>
    <w:rsid w:val="00F24881"/>
    <w:rsid w:val="00F447FA"/>
    <w:rsid w:val="00F51F04"/>
    <w:rsid w:val="00F61AB9"/>
    <w:rsid w:val="00F65C03"/>
    <w:rsid w:val="00F67032"/>
    <w:rsid w:val="00F73D5B"/>
    <w:rsid w:val="00FA2873"/>
    <w:rsid w:val="00FA4025"/>
    <w:rsid w:val="00FB23BB"/>
    <w:rsid w:val="00FC0ED0"/>
    <w:rsid w:val="00FD00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C13CC"/>
  <w15:chartTrackingRefBased/>
  <w15:docId w15:val="{68B830A9-5492-4E94-A7D9-4C0402B8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498D"/>
    <w:pPr>
      <w:tabs>
        <w:tab w:val="center" w:pos="4153"/>
        <w:tab w:val="right" w:pos="8306"/>
      </w:tabs>
      <w:spacing w:after="0" w:line="240" w:lineRule="auto"/>
    </w:pPr>
    <w:rPr>
      <w:rFonts w:eastAsia="Times New Roman" w:cs="Times New Roman"/>
      <w:szCs w:val="24"/>
      <w:lang w:eastAsia="lv-LV"/>
    </w:rPr>
  </w:style>
  <w:style w:type="character" w:customStyle="1" w:styleId="FooterChar">
    <w:name w:val="Footer Char"/>
    <w:basedOn w:val="DefaultParagraphFont"/>
    <w:link w:val="Footer"/>
    <w:rsid w:val="00D1498D"/>
    <w:rPr>
      <w:rFonts w:eastAsia="Times New Roman" w:cs="Times New Roman"/>
      <w:szCs w:val="24"/>
      <w:lang w:eastAsia="lv-LV"/>
    </w:rPr>
  </w:style>
  <w:style w:type="character" w:styleId="PageNumber">
    <w:name w:val="page number"/>
    <w:basedOn w:val="DefaultParagraphFont"/>
    <w:rsid w:val="00D1498D"/>
  </w:style>
  <w:style w:type="paragraph" w:styleId="BodyText">
    <w:name w:val="Body Text"/>
    <w:basedOn w:val="Normal"/>
    <w:link w:val="BodyTextChar"/>
    <w:uiPriority w:val="99"/>
    <w:semiHidden/>
    <w:rsid w:val="00D1498D"/>
    <w:pPr>
      <w:spacing w:after="0" w:line="240" w:lineRule="auto"/>
      <w:jc w:val="center"/>
    </w:pPr>
    <w:rPr>
      <w:rFonts w:eastAsia="Times New Roman" w:cs="Times New Roman"/>
      <w:b/>
      <w:sz w:val="28"/>
      <w:szCs w:val="20"/>
    </w:rPr>
  </w:style>
  <w:style w:type="character" w:customStyle="1" w:styleId="BodyTextChar">
    <w:name w:val="Body Text Char"/>
    <w:basedOn w:val="DefaultParagraphFont"/>
    <w:link w:val="BodyText"/>
    <w:uiPriority w:val="99"/>
    <w:semiHidden/>
    <w:rsid w:val="00D1498D"/>
    <w:rPr>
      <w:rFonts w:eastAsia="Times New Roman" w:cs="Times New Roman"/>
      <w:b/>
      <w:sz w:val="28"/>
      <w:szCs w:val="20"/>
    </w:rPr>
  </w:style>
  <w:style w:type="paragraph" w:styleId="BalloonText">
    <w:name w:val="Balloon Text"/>
    <w:basedOn w:val="Normal"/>
    <w:link w:val="BalloonTextChar"/>
    <w:rsid w:val="00D1498D"/>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D1498D"/>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1498D"/>
    <w:pPr>
      <w:spacing w:after="0" w:line="240" w:lineRule="auto"/>
      <w:ind w:left="720"/>
    </w:pPr>
    <w:rPr>
      <w:rFonts w:eastAsia="Times New Roman" w:cs="Times New Roman"/>
      <w:szCs w:val="20"/>
      <w:lang w:val="en-US"/>
    </w:rPr>
  </w:style>
  <w:style w:type="paragraph" w:customStyle="1" w:styleId="tv2132">
    <w:name w:val="tv2132"/>
    <w:basedOn w:val="Normal"/>
    <w:rsid w:val="00D1498D"/>
    <w:pPr>
      <w:spacing w:after="0" w:line="360" w:lineRule="auto"/>
      <w:ind w:firstLine="300"/>
    </w:pPr>
    <w:rPr>
      <w:rFonts w:eastAsia="Times New Roman" w:cs="Times New Roman"/>
      <w:color w:val="414142"/>
      <w:sz w:val="20"/>
      <w:szCs w:val="20"/>
      <w:lang w:eastAsia="lv-LV"/>
    </w:rPr>
  </w:style>
  <w:style w:type="paragraph" w:styleId="NormalWeb">
    <w:name w:val="Normal (Web)"/>
    <w:basedOn w:val="Normal"/>
    <w:uiPriority w:val="99"/>
    <w:unhideWhenUsed/>
    <w:rsid w:val="00D1498D"/>
    <w:pPr>
      <w:spacing w:before="100" w:beforeAutospacing="1" w:after="100" w:afterAutospacing="1" w:line="240" w:lineRule="auto"/>
    </w:pPr>
    <w:rPr>
      <w:rFonts w:eastAsia="Times New Roman" w:cs="Times New Roman"/>
      <w:szCs w:val="24"/>
      <w:lang w:eastAsia="lv-LV"/>
    </w:rPr>
  </w:style>
  <w:style w:type="character" w:styleId="Emphasis">
    <w:name w:val="Emphasis"/>
    <w:uiPriority w:val="20"/>
    <w:qFormat/>
    <w:rsid w:val="00D149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22118</Words>
  <Characters>12608</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Everte</dc:creator>
  <cp:keywords/>
  <dc:description/>
  <cp:lastModifiedBy>Laura Majevska</cp:lastModifiedBy>
  <cp:revision>2</cp:revision>
  <cp:lastPrinted>2020-02-28T08:16:00Z</cp:lastPrinted>
  <dcterms:created xsi:type="dcterms:W3CDTF">2020-03-04T09:42:00Z</dcterms:created>
  <dcterms:modified xsi:type="dcterms:W3CDTF">2020-03-04T09:42:00Z</dcterms:modified>
</cp:coreProperties>
</file>