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drawings/drawing4.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drawings/drawing5.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drawings/drawing6.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drawings/drawing7.xml" ContentType="application/vnd.openxmlformats-officedocument.drawingml.chartshapes+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theme/themeOverride9.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theme/themeOverride11.xml" ContentType="application/vnd.openxmlformats-officedocument.themeOverride+xml"/>
  <Override PartName="/word/charts/chart32.xml" ContentType="application/vnd.openxmlformats-officedocument.drawingml.chart+xml"/>
  <Override PartName="/word/theme/themeOverride12.xml" ContentType="application/vnd.openxmlformats-officedocument.themeOverride+xml"/>
  <Override PartName="/word/charts/chart33.xml" ContentType="application/vnd.openxmlformats-officedocument.drawingml.chart+xml"/>
  <Override PartName="/word/theme/themeOverride13.xml" ContentType="application/vnd.openxmlformats-officedocument.themeOverride+xml"/>
  <Override PartName="/word/charts/chart34.xml" ContentType="application/vnd.openxmlformats-officedocument.drawingml.chart+xml"/>
  <Override PartName="/word/theme/themeOverride14.xml" ContentType="application/vnd.openxmlformats-officedocument.themeOverride+xml"/>
  <Override PartName="/word/charts/chart35.xml" ContentType="application/vnd.openxmlformats-officedocument.drawingml.chart+xml"/>
  <Override PartName="/word/theme/themeOverride15.xml" ContentType="application/vnd.openxmlformats-officedocument.themeOverride+xml"/>
  <Override PartName="/word/charts/chart36.xml" ContentType="application/vnd.openxmlformats-officedocument.drawingml.chart+xml"/>
  <Override PartName="/word/theme/themeOverride16.xml" ContentType="application/vnd.openxmlformats-officedocument.themeOverride+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drawings/drawing8.xml" ContentType="application/vnd.openxmlformats-officedocument.drawingml.chartshapes+xml"/>
  <Override PartName="/word/charts/chart41.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2.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3.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4.xml" ContentType="application/vnd.openxmlformats-officedocument.drawingml.chart+xml"/>
  <Override PartName="/word/charts/chart45.xml" ContentType="application/vnd.openxmlformats-officedocument.drawingml.chart+xml"/>
  <Override PartName="/word/theme/themeOverride17.xml" ContentType="application/vnd.openxmlformats-officedocument.themeOverride+xml"/>
  <Override PartName="/word/charts/chart46.xml" ContentType="application/vnd.openxmlformats-officedocument.drawingml.chart+xml"/>
  <Override PartName="/word/theme/themeOverride18.xml" ContentType="application/vnd.openxmlformats-officedocument.themeOverride+xml"/>
  <Override PartName="/word/charts/chart47.xml" ContentType="application/vnd.openxmlformats-officedocument.drawingml.chart+xml"/>
  <Override PartName="/word/theme/themeOverride19.xml" ContentType="application/vnd.openxmlformats-officedocument.themeOverride+xml"/>
  <Override PartName="/word/charts/chart48.xml" ContentType="application/vnd.openxmlformats-officedocument.drawingml.chart+xml"/>
  <Override PartName="/word/theme/themeOverride20.xml" ContentType="application/vnd.openxmlformats-officedocument.themeOverride+xml"/>
  <Override PartName="/word/charts/chart49.xml" ContentType="application/vnd.openxmlformats-officedocument.drawingml.chart+xml"/>
  <Override PartName="/word/theme/themeOverride21.xml" ContentType="application/vnd.openxmlformats-officedocument.themeOverride+xml"/>
  <Override PartName="/word/charts/chart50.xml" ContentType="application/vnd.openxmlformats-officedocument.drawingml.chart+xml"/>
  <Override PartName="/word/theme/themeOverride22.xml" ContentType="application/vnd.openxmlformats-officedocument.themeOverride+xml"/>
  <Override PartName="/word/charts/chart51.xml" ContentType="application/vnd.openxmlformats-officedocument.drawingml.chart+xml"/>
  <Override PartName="/word/theme/themeOverride23.xml" ContentType="application/vnd.openxmlformats-officedocument.themeOverride+xml"/>
  <Override PartName="/word/charts/chart52.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53.xml" ContentType="application/vnd.openxmlformats-officedocument.drawingml.chart+xml"/>
  <Override PartName="/word/theme/themeOverride24.xml" ContentType="application/vnd.openxmlformats-officedocument.themeOverride+xml"/>
  <Override PartName="/word/charts/chart54.xml" ContentType="application/vnd.openxmlformats-officedocument.drawingml.chart+xml"/>
  <Override PartName="/word/theme/themeOverride25.xml" ContentType="application/vnd.openxmlformats-officedocument.themeOverride+xml"/>
  <Override PartName="/word/charts/chart55.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56.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57.xml" ContentType="application/vnd.openxmlformats-officedocument.drawingml.chart+xml"/>
  <Override PartName="/word/theme/themeOverride26.xml" ContentType="application/vnd.openxmlformats-officedocument.themeOverride+xml"/>
  <Override PartName="/word/charts/chart58.xml" ContentType="application/vnd.openxmlformats-officedocument.drawingml.chart+xml"/>
  <Override PartName="/word/theme/themeOverride27.xml" ContentType="application/vnd.openxmlformats-officedocument.themeOverride+xml"/>
  <Override PartName="/word/charts/chart59.xml" ContentType="application/vnd.openxmlformats-officedocument.drawingml.chart+xml"/>
  <Override PartName="/word/theme/themeOverride28.xml" ContentType="application/vnd.openxmlformats-officedocument.themeOverride+xml"/>
  <Override PartName="/word/charts/chart6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61.xml" ContentType="application/vnd.openxmlformats-officedocument.drawingml.chart+xml"/>
  <Override PartName="/word/theme/themeOverride29.xml" ContentType="application/vnd.openxmlformats-officedocument.themeOverride+xml"/>
  <Override PartName="/word/charts/chart62.xml" ContentType="application/vnd.openxmlformats-officedocument.drawingml.chart+xml"/>
  <Override PartName="/word/theme/themeOverride30.xml" ContentType="application/vnd.openxmlformats-officedocument.themeOverride+xml"/>
  <Override PartName="/word/charts/chart63.xml" ContentType="application/vnd.openxmlformats-officedocument.drawingml.chart+xml"/>
  <Override PartName="/word/theme/themeOverride31.xml" ContentType="application/vnd.openxmlformats-officedocument.themeOverride+xml"/>
  <Override PartName="/word/charts/chart64.xml" ContentType="application/vnd.openxmlformats-officedocument.drawingml.chart+xml"/>
  <Override PartName="/word/drawings/drawing9.xml" ContentType="application/vnd.openxmlformats-officedocument.drawingml.chartshapes+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drawings/drawing10.xml" ContentType="application/vnd.openxmlformats-officedocument.drawingml.chartshapes+xml"/>
  <Override PartName="/word/charts/chart89.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90.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drawings/drawing11.xml" ContentType="application/vnd.openxmlformats-officedocument.drawingml.chartshapes+xml"/>
  <Override PartName="/word/charts/chart113.xml" ContentType="application/vnd.openxmlformats-officedocument.drawingml.chart+xml"/>
  <Override PartName="/word/theme/themeOverride32.xml" ContentType="application/vnd.openxmlformats-officedocument.themeOverride+xml"/>
  <Override PartName="/word/charts/chart114.xml" ContentType="application/vnd.openxmlformats-officedocument.drawingml.chart+xml"/>
  <Override PartName="/word/theme/themeOverride33.xml" ContentType="application/vnd.openxmlformats-officedocument.themeOverride+xml"/>
  <Override PartName="/word/charts/chart115.xml" ContentType="application/vnd.openxmlformats-officedocument.drawingml.chart+xml"/>
  <Override PartName="/word/theme/themeOverride34.xml" ContentType="application/vnd.openxmlformats-officedocument.themeOverride+xml"/>
  <Override PartName="/word/charts/chart116.xml" ContentType="application/vnd.openxmlformats-officedocument.drawingml.chart+xml"/>
  <Override PartName="/word/theme/themeOverride35.xml" ContentType="application/vnd.openxmlformats-officedocument.themeOverride+xml"/>
  <Override PartName="/word/charts/chart117.xml" ContentType="application/vnd.openxmlformats-officedocument.drawingml.chart+xml"/>
  <Override PartName="/word/theme/themeOverride36.xml" ContentType="application/vnd.openxmlformats-officedocument.themeOverride+xml"/>
  <Override PartName="/word/charts/chart118.xml" ContentType="application/vnd.openxmlformats-officedocument.drawingml.chart+xml"/>
  <Override PartName="/word/theme/themeOverride37.xml" ContentType="application/vnd.openxmlformats-officedocument.themeOverride+xml"/>
  <Override PartName="/word/charts/chart119.xml" ContentType="application/vnd.openxmlformats-officedocument.drawingml.chart+xml"/>
  <Override PartName="/word/theme/themeOverride38.xml" ContentType="application/vnd.openxmlformats-officedocument.themeOverride+xml"/>
  <Override PartName="/word/charts/chart120.xml" ContentType="application/vnd.openxmlformats-officedocument.drawingml.chart+xml"/>
  <Override PartName="/word/theme/themeOverride39.xml" ContentType="application/vnd.openxmlformats-officedocument.themeOverride+xml"/>
  <Override PartName="/word/charts/chart121.xml" ContentType="application/vnd.openxmlformats-officedocument.drawingml.chart+xml"/>
  <Override PartName="/word/theme/themeOverride40.xml" ContentType="application/vnd.openxmlformats-officedocument.themeOverride+xml"/>
  <Override PartName="/word/charts/chart122.xml" ContentType="application/vnd.openxmlformats-officedocument.drawingml.chart+xml"/>
  <Override PartName="/word/theme/themeOverride41.xml" ContentType="application/vnd.openxmlformats-officedocument.themeOverride+xml"/>
  <Override PartName="/word/charts/chart123.xml" ContentType="application/vnd.openxmlformats-officedocument.drawingml.chart+xml"/>
  <Override PartName="/word/theme/themeOverride42.xml" ContentType="application/vnd.openxmlformats-officedocument.themeOverride+xml"/>
  <Override PartName="/word/charts/chart124.xml" ContentType="application/vnd.openxmlformats-officedocument.drawingml.chart+xml"/>
  <Override PartName="/word/theme/themeOverride43.xml" ContentType="application/vnd.openxmlformats-officedocument.themeOverride+xml"/>
  <Override PartName="/word/charts/chart125.xml" ContentType="application/vnd.openxmlformats-officedocument.drawingml.chart+xml"/>
  <Override PartName="/word/theme/themeOverride44.xml" ContentType="application/vnd.openxmlformats-officedocument.themeOverride+xml"/>
  <Override PartName="/word/charts/chart126.xml" ContentType="application/vnd.openxmlformats-officedocument.drawingml.chart+xml"/>
  <Override PartName="/word/theme/themeOverride45.xml" ContentType="application/vnd.openxmlformats-officedocument.themeOverride+xml"/>
  <Override PartName="/word/charts/chart127.xml" ContentType="application/vnd.openxmlformats-officedocument.drawingml.chart+xml"/>
  <Override PartName="/word/theme/themeOverride46.xml" ContentType="application/vnd.openxmlformats-officedocument.themeOverride+xml"/>
  <Override PartName="/word/charts/chart128.xml" ContentType="application/vnd.openxmlformats-officedocument.drawingml.chart+xml"/>
  <Override PartName="/word/theme/themeOverride47.xml" ContentType="application/vnd.openxmlformats-officedocument.themeOverride+xml"/>
  <Override PartName="/word/charts/chart129.xml" ContentType="application/vnd.openxmlformats-officedocument.drawingml.chart+xml"/>
  <Override PartName="/word/theme/themeOverride48.xml" ContentType="application/vnd.openxmlformats-officedocument.themeOverride+xml"/>
  <Override PartName="/word/charts/chart130.xml" ContentType="application/vnd.openxmlformats-officedocument.drawingml.chart+xml"/>
  <Override PartName="/word/theme/themeOverride49.xml" ContentType="application/vnd.openxmlformats-officedocument.themeOverride+xml"/>
  <Override PartName="/word/charts/chart131.xml" ContentType="application/vnd.openxmlformats-officedocument.drawingml.chart+xml"/>
  <Override PartName="/word/theme/themeOverride50.xml" ContentType="application/vnd.openxmlformats-officedocument.themeOverride+xml"/>
  <Override PartName="/word/charts/chart132.xml" ContentType="application/vnd.openxmlformats-officedocument.drawingml.chart+xml"/>
  <Override PartName="/word/theme/themeOverride51.xml" ContentType="application/vnd.openxmlformats-officedocument.themeOverride+xml"/>
  <Override PartName="/word/charts/chart133.xml" ContentType="application/vnd.openxmlformats-officedocument.drawingml.chart+xml"/>
  <Override PartName="/word/theme/themeOverride52.xml" ContentType="application/vnd.openxmlformats-officedocument.themeOverride+xml"/>
  <Override PartName="/word/charts/chart134.xml" ContentType="application/vnd.openxmlformats-officedocument.drawingml.chart+xml"/>
  <Override PartName="/word/theme/themeOverride53.xml" ContentType="application/vnd.openxmlformats-officedocument.themeOverride+xml"/>
  <Override PartName="/word/charts/chart135.xml" ContentType="application/vnd.openxmlformats-officedocument.drawingml.chart+xml"/>
  <Override PartName="/word/theme/themeOverride54.xml" ContentType="application/vnd.openxmlformats-officedocument.themeOverride+xml"/>
  <Override PartName="/word/charts/chart136.xml" ContentType="application/vnd.openxmlformats-officedocument.drawingml.chart+xml"/>
  <Override PartName="/word/drawings/drawing12.xml" ContentType="application/vnd.openxmlformats-officedocument.drawingml.chartshapes+xml"/>
  <Override PartName="/word/charts/chart137.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138.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139.xml" ContentType="application/vnd.openxmlformats-officedocument.drawingml.chart+xml"/>
  <Override PartName="/word/charts/chart140.xml" ContentType="application/vnd.openxmlformats-officedocument.drawingml.chart+xml"/>
  <Override PartName="/word/charts/chart141.xml" ContentType="application/vnd.openxmlformats-officedocument.drawingml.chart+xml"/>
  <Override PartName="/word/charts/chart142.xml" ContentType="application/vnd.openxmlformats-officedocument.drawingml.chart+xml"/>
  <Override PartName="/word/charts/chart143.xml" ContentType="application/vnd.openxmlformats-officedocument.drawingml.chart+xml"/>
  <Override PartName="/word/charts/chart144.xml" ContentType="application/vnd.openxmlformats-officedocument.drawingml.chart+xml"/>
  <Override PartName="/word/charts/chart145.xml" ContentType="application/vnd.openxmlformats-officedocument.drawingml.chart+xml"/>
  <Override PartName="/word/charts/chart146.xml" ContentType="application/vnd.openxmlformats-officedocument.drawingml.chart+xml"/>
  <Override PartName="/word/charts/chart147.xml" ContentType="application/vnd.openxmlformats-officedocument.drawingml.chart+xml"/>
  <Override PartName="/word/charts/chart148.xml" ContentType="application/vnd.openxmlformats-officedocument.drawingml.chart+xml"/>
  <Override PartName="/word/charts/chart149.xml" ContentType="application/vnd.openxmlformats-officedocument.drawingml.chart+xml"/>
  <Override PartName="/word/charts/chart150.xml" ContentType="application/vnd.openxmlformats-officedocument.drawingml.chart+xml"/>
  <Override PartName="/word/charts/chart151.xml" ContentType="application/vnd.openxmlformats-officedocument.drawingml.chart+xml"/>
  <Override PartName="/word/charts/chart152.xml" ContentType="application/vnd.openxmlformats-officedocument.drawingml.chart+xml"/>
  <Override PartName="/word/charts/chart153.xml" ContentType="application/vnd.openxmlformats-officedocument.drawingml.chart+xml"/>
  <Override PartName="/word/charts/chart154.xml" ContentType="application/vnd.openxmlformats-officedocument.drawingml.chart+xml"/>
  <Override PartName="/word/charts/chart155.xml" ContentType="application/vnd.openxmlformats-officedocument.drawingml.chart+xml"/>
  <Override PartName="/word/charts/chart156.xml" ContentType="application/vnd.openxmlformats-officedocument.drawingml.chart+xml"/>
  <Override PartName="/word/charts/chart157.xml" ContentType="application/vnd.openxmlformats-officedocument.drawingml.chart+xml"/>
  <Override PartName="/word/charts/chart158.xml" ContentType="application/vnd.openxmlformats-officedocument.drawingml.chart+xml"/>
  <Override PartName="/word/charts/chart159.xml" ContentType="application/vnd.openxmlformats-officedocument.drawingml.chart+xml"/>
  <Override PartName="/word/charts/chart160.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161.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162.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55.xml" ContentType="application/vnd.openxmlformats-officedocument.themeOverride+xml"/>
  <Override PartName="/word/charts/chart163.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56.xml" ContentType="application/vnd.openxmlformats-officedocument.themeOverride+xml"/>
  <Override PartName="/word/charts/chart164.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57.xml" ContentType="application/vnd.openxmlformats-officedocument.themeOverride+xml"/>
  <Override PartName="/word/charts/chart165.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58.xml" ContentType="application/vnd.openxmlformats-officedocument.themeOverride+xml"/>
  <Override PartName="/word/charts/chart166.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59.xml" ContentType="application/vnd.openxmlformats-officedocument.themeOverride+xml"/>
  <Override PartName="/word/charts/chart167.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60.xml" ContentType="application/vnd.openxmlformats-officedocument.themeOverride+xml"/>
  <Override PartName="/word/charts/chart168.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61.xml" ContentType="application/vnd.openxmlformats-officedocument.themeOverride+xml"/>
  <Override PartName="/word/charts/chart169.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62.xml" ContentType="application/vnd.openxmlformats-officedocument.themeOverride+xml"/>
  <Override PartName="/word/charts/chart170.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63.xml" ContentType="application/vnd.openxmlformats-officedocument.themeOverride+xml"/>
  <Override PartName="/word/charts/chart171.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64.xml" ContentType="application/vnd.openxmlformats-officedocument.themeOverride+xml"/>
  <Override PartName="/word/charts/chart172.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65.xml" ContentType="application/vnd.openxmlformats-officedocument.themeOverride+xml"/>
  <Override PartName="/word/charts/chart173.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66.xml" ContentType="application/vnd.openxmlformats-officedocument.themeOverride+xml"/>
  <Override PartName="/word/charts/chart174.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175.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67.xml" ContentType="application/vnd.openxmlformats-officedocument.themeOverride+xml"/>
  <Override PartName="/word/charts/chart176.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68.xml" ContentType="application/vnd.openxmlformats-officedocument.themeOverride+xml"/>
  <Override PartName="/word/charts/chart177.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69.xml" ContentType="application/vnd.openxmlformats-officedocument.themeOverride+xml"/>
  <Override PartName="/word/charts/chart178.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70.xml" ContentType="application/vnd.openxmlformats-officedocument.themeOverride+xml"/>
  <Override PartName="/word/charts/chart179.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71.xml" ContentType="application/vnd.openxmlformats-officedocument.themeOverride+xml"/>
  <Override PartName="/word/charts/chart180.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181.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182.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183.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184.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185.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186.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187.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188.xml" ContentType="application/vnd.openxmlformats-officedocument.drawingml.chart+xml"/>
  <Override PartName="/word/charts/style62.xml" ContentType="application/vnd.ms-office.chartstyle+xml"/>
  <Override PartName="/word/charts/colors62.xml" ContentType="application/vnd.ms-office.chartcolorstyle+xml"/>
  <Override PartName="/word/drawings/drawing13.xml" ContentType="application/vnd.openxmlformats-officedocument.drawingml.chartshapes+xml"/>
  <Override PartName="/word/header1.xml" ContentType="application/vnd.openxmlformats-officedocument.wordprocessingml.header+xml"/>
  <Override PartName="/word/charts/chart189.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190.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191.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192.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193.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194.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195.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196.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7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265BDF" w14:textId="77777777" w:rsidR="007822C6" w:rsidRPr="00577BF3" w:rsidRDefault="007822C6" w:rsidP="00CF4214">
      <w:pPr>
        <w:spacing w:line="240" w:lineRule="auto"/>
        <w:jc w:val="center"/>
        <w:rPr>
          <w:rFonts w:cs="Times New Roman"/>
        </w:rPr>
      </w:pPr>
      <w:bookmarkStart w:id="0" w:name="_Hlk64876608"/>
      <w:bookmarkEnd w:id="0"/>
    </w:p>
    <w:p w14:paraId="6A7D0B8D" w14:textId="77777777" w:rsidR="007822C6" w:rsidRPr="00577BF3" w:rsidRDefault="007822C6" w:rsidP="00CF4214">
      <w:pPr>
        <w:spacing w:line="240" w:lineRule="auto"/>
        <w:jc w:val="center"/>
        <w:rPr>
          <w:rFonts w:cs="Times New Roman"/>
        </w:rPr>
      </w:pPr>
    </w:p>
    <w:p w14:paraId="288514FB" w14:textId="77777777" w:rsidR="007822C6" w:rsidRPr="00577BF3" w:rsidRDefault="007822C6" w:rsidP="00CF4214">
      <w:pPr>
        <w:spacing w:line="240" w:lineRule="auto"/>
        <w:jc w:val="center"/>
        <w:rPr>
          <w:rFonts w:cs="Times New Roman"/>
        </w:rPr>
      </w:pPr>
    </w:p>
    <w:p w14:paraId="72B5D03C" w14:textId="77777777" w:rsidR="007822C6" w:rsidRPr="00577BF3" w:rsidRDefault="007822C6" w:rsidP="00CF4214">
      <w:pPr>
        <w:spacing w:line="240" w:lineRule="auto"/>
        <w:jc w:val="center"/>
        <w:rPr>
          <w:rFonts w:cs="Times New Roman"/>
        </w:rPr>
      </w:pPr>
    </w:p>
    <w:p w14:paraId="37E4DE45" w14:textId="00064A9D" w:rsidR="00873BCC" w:rsidRPr="00577BF3" w:rsidRDefault="00167A6C" w:rsidP="00CF4214">
      <w:pPr>
        <w:spacing w:line="240" w:lineRule="auto"/>
        <w:jc w:val="center"/>
        <w:rPr>
          <w:rFonts w:cs="Times New Roman"/>
        </w:rPr>
      </w:pPr>
      <w:r w:rsidRPr="00577BF3">
        <w:rPr>
          <w:rFonts w:cs="Times New Roman"/>
          <w:noProof/>
        </w:rPr>
        <w:drawing>
          <wp:inline distT="0" distB="0" distL="0" distR="0" wp14:anchorId="3C7A1057" wp14:editId="7151427F">
            <wp:extent cx="2847109" cy="2262493"/>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7277" cy="2294413"/>
                    </a:xfrm>
                    <a:prstGeom prst="rect">
                      <a:avLst/>
                    </a:prstGeom>
                    <a:noFill/>
                    <a:ln>
                      <a:noFill/>
                    </a:ln>
                  </pic:spPr>
                </pic:pic>
              </a:graphicData>
            </a:graphic>
          </wp:inline>
        </w:drawing>
      </w:r>
    </w:p>
    <w:p w14:paraId="0C690F07" w14:textId="58A39F38" w:rsidR="00036E41" w:rsidRPr="00577BF3" w:rsidRDefault="00036E41" w:rsidP="00CF4214">
      <w:pPr>
        <w:spacing w:line="240" w:lineRule="auto"/>
        <w:jc w:val="center"/>
        <w:rPr>
          <w:rFonts w:cs="Times New Roman"/>
        </w:rPr>
      </w:pPr>
    </w:p>
    <w:p w14:paraId="18200FA6" w14:textId="77777777" w:rsidR="000C438F" w:rsidRPr="00577BF3" w:rsidRDefault="000C438F" w:rsidP="00CF4214">
      <w:pPr>
        <w:spacing w:line="240" w:lineRule="auto"/>
        <w:jc w:val="center"/>
        <w:rPr>
          <w:rFonts w:cs="Times New Roman"/>
        </w:rPr>
      </w:pPr>
    </w:p>
    <w:p w14:paraId="79A34010" w14:textId="701EFB0C" w:rsidR="00036E41" w:rsidRPr="00577BF3" w:rsidRDefault="00036E41" w:rsidP="00425C3A">
      <w:pPr>
        <w:spacing w:after="0" w:line="240" w:lineRule="auto"/>
        <w:jc w:val="center"/>
        <w:rPr>
          <w:rFonts w:cs="Times New Roman"/>
          <w:sz w:val="40"/>
          <w:szCs w:val="40"/>
        </w:rPr>
      </w:pPr>
      <w:r w:rsidRPr="00577BF3">
        <w:rPr>
          <w:rFonts w:cs="Times New Roman"/>
          <w:sz w:val="40"/>
          <w:szCs w:val="40"/>
        </w:rPr>
        <w:t>LATVIJAS RE</w:t>
      </w:r>
      <w:r w:rsidR="00A80285" w:rsidRPr="00577BF3">
        <w:rPr>
          <w:rFonts w:cs="Times New Roman"/>
          <w:sz w:val="40"/>
          <w:szCs w:val="40"/>
        </w:rPr>
        <w:t>PUBLIKAS</w:t>
      </w:r>
    </w:p>
    <w:p w14:paraId="56CA3AB4" w14:textId="558A97CC" w:rsidR="000C438F" w:rsidRPr="00577BF3" w:rsidRDefault="000C438F" w:rsidP="00425C3A">
      <w:pPr>
        <w:spacing w:after="0" w:line="240" w:lineRule="auto"/>
        <w:jc w:val="center"/>
        <w:rPr>
          <w:rFonts w:cs="Times New Roman"/>
          <w:sz w:val="40"/>
          <w:szCs w:val="40"/>
        </w:rPr>
      </w:pPr>
      <w:r w:rsidRPr="00577BF3">
        <w:rPr>
          <w:rFonts w:cs="Times New Roman"/>
          <w:sz w:val="40"/>
          <w:szCs w:val="40"/>
        </w:rPr>
        <w:t>ĢENERĀLPROKURORA</w:t>
      </w:r>
    </w:p>
    <w:p w14:paraId="757FA805" w14:textId="4841EB93" w:rsidR="000C438F" w:rsidRPr="00577BF3" w:rsidRDefault="000C438F" w:rsidP="00425C3A">
      <w:pPr>
        <w:spacing w:after="0" w:line="240" w:lineRule="auto"/>
        <w:jc w:val="center"/>
        <w:rPr>
          <w:rFonts w:cs="Times New Roman"/>
          <w:sz w:val="40"/>
          <w:szCs w:val="40"/>
        </w:rPr>
      </w:pPr>
      <w:r w:rsidRPr="00577BF3">
        <w:rPr>
          <w:rFonts w:cs="Times New Roman"/>
          <w:sz w:val="40"/>
          <w:szCs w:val="40"/>
        </w:rPr>
        <w:t>ZIŅOJUMS</w:t>
      </w:r>
      <w:r w:rsidR="00425C3A">
        <w:rPr>
          <w:rFonts w:cs="Times New Roman"/>
          <w:sz w:val="40"/>
          <w:szCs w:val="40"/>
        </w:rPr>
        <w:t xml:space="preserve"> PAR </w:t>
      </w:r>
      <w:r w:rsidR="00425C3A" w:rsidRPr="00577BF3">
        <w:rPr>
          <w:rFonts w:cs="Times New Roman"/>
          <w:sz w:val="40"/>
          <w:szCs w:val="40"/>
        </w:rPr>
        <w:t>2020.</w:t>
      </w:r>
      <w:r w:rsidR="00A874ED">
        <w:rPr>
          <w:rFonts w:cs="Times New Roman"/>
          <w:sz w:val="40"/>
          <w:szCs w:val="40"/>
        </w:rPr>
        <w:t> </w:t>
      </w:r>
      <w:r w:rsidR="00425C3A" w:rsidRPr="00577BF3">
        <w:rPr>
          <w:rFonts w:cs="Times New Roman"/>
          <w:sz w:val="40"/>
          <w:szCs w:val="40"/>
        </w:rPr>
        <w:t>GAD</w:t>
      </w:r>
      <w:r w:rsidR="00425C3A">
        <w:rPr>
          <w:rFonts w:cs="Times New Roman"/>
          <w:sz w:val="40"/>
          <w:szCs w:val="40"/>
        </w:rPr>
        <w:t>Ā PAVEIKTO UN 2021. GADA DARBĪBAS PRIORITĀTĒM</w:t>
      </w:r>
    </w:p>
    <w:p w14:paraId="5B6E7AF8" w14:textId="38706D16" w:rsidR="000C438F" w:rsidRPr="00577BF3" w:rsidRDefault="000C438F" w:rsidP="00425C3A">
      <w:pPr>
        <w:spacing w:after="120" w:line="240" w:lineRule="auto"/>
        <w:jc w:val="center"/>
        <w:rPr>
          <w:rFonts w:cs="Times New Roman"/>
          <w:sz w:val="40"/>
          <w:szCs w:val="40"/>
        </w:rPr>
      </w:pPr>
    </w:p>
    <w:p w14:paraId="4C15BB89" w14:textId="78C848BD" w:rsidR="000C438F" w:rsidRPr="00577BF3" w:rsidRDefault="000C438F" w:rsidP="00425C3A">
      <w:pPr>
        <w:spacing w:after="0" w:line="240" w:lineRule="auto"/>
        <w:jc w:val="center"/>
        <w:rPr>
          <w:rFonts w:cs="Times New Roman"/>
          <w:sz w:val="40"/>
          <w:szCs w:val="40"/>
        </w:rPr>
      </w:pPr>
    </w:p>
    <w:p w14:paraId="369B6FED" w14:textId="042194EB" w:rsidR="000C438F" w:rsidRPr="00577BF3" w:rsidRDefault="000C438F" w:rsidP="00CF4214">
      <w:pPr>
        <w:spacing w:line="240" w:lineRule="auto"/>
        <w:jc w:val="center"/>
        <w:rPr>
          <w:rFonts w:cs="Times New Roman"/>
          <w:sz w:val="40"/>
          <w:szCs w:val="40"/>
        </w:rPr>
      </w:pPr>
    </w:p>
    <w:p w14:paraId="175AA93B" w14:textId="0C1AF635" w:rsidR="000C438F" w:rsidRPr="00577BF3" w:rsidRDefault="000C438F" w:rsidP="00CF4214">
      <w:pPr>
        <w:spacing w:line="240" w:lineRule="auto"/>
        <w:jc w:val="center"/>
        <w:rPr>
          <w:rFonts w:cs="Times New Roman"/>
          <w:sz w:val="40"/>
          <w:szCs w:val="40"/>
        </w:rPr>
      </w:pPr>
    </w:p>
    <w:p w14:paraId="01640475" w14:textId="750BAEA1" w:rsidR="000C438F" w:rsidRPr="00577BF3" w:rsidRDefault="000C438F" w:rsidP="00CF4214">
      <w:pPr>
        <w:spacing w:line="240" w:lineRule="auto"/>
        <w:jc w:val="center"/>
        <w:rPr>
          <w:rFonts w:cs="Times New Roman"/>
          <w:sz w:val="40"/>
          <w:szCs w:val="40"/>
        </w:rPr>
      </w:pPr>
    </w:p>
    <w:p w14:paraId="5C37442F" w14:textId="4F3FA174" w:rsidR="000C438F" w:rsidRPr="00577BF3" w:rsidRDefault="000C438F" w:rsidP="00CF4214">
      <w:pPr>
        <w:spacing w:line="240" w:lineRule="auto"/>
        <w:jc w:val="center"/>
        <w:rPr>
          <w:rFonts w:cs="Times New Roman"/>
          <w:sz w:val="40"/>
          <w:szCs w:val="40"/>
        </w:rPr>
      </w:pPr>
    </w:p>
    <w:p w14:paraId="5721CBEF" w14:textId="46998623" w:rsidR="000C438F" w:rsidRPr="00577BF3" w:rsidRDefault="000C438F" w:rsidP="00CF4214">
      <w:pPr>
        <w:spacing w:line="240" w:lineRule="auto"/>
        <w:jc w:val="center"/>
        <w:rPr>
          <w:rFonts w:cs="Times New Roman"/>
          <w:sz w:val="40"/>
          <w:szCs w:val="40"/>
        </w:rPr>
      </w:pPr>
    </w:p>
    <w:p w14:paraId="0ABBBF4A" w14:textId="5E2C883A" w:rsidR="000C438F" w:rsidRDefault="000C438F" w:rsidP="00CF4214">
      <w:pPr>
        <w:spacing w:line="240" w:lineRule="auto"/>
        <w:jc w:val="center"/>
        <w:rPr>
          <w:rFonts w:cs="Times New Roman"/>
          <w:sz w:val="40"/>
          <w:szCs w:val="40"/>
        </w:rPr>
      </w:pPr>
    </w:p>
    <w:p w14:paraId="6D7305DD" w14:textId="7D3AEC5B" w:rsidR="00502CA9" w:rsidRDefault="00502CA9" w:rsidP="00CF4214">
      <w:pPr>
        <w:spacing w:line="240" w:lineRule="auto"/>
        <w:jc w:val="center"/>
        <w:rPr>
          <w:rFonts w:cs="Times New Roman"/>
          <w:sz w:val="40"/>
          <w:szCs w:val="40"/>
        </w:rPr>
      </w:pPr>
    </w:p>
    <w:p w14:paraId="5652EFD5" w14:textId="601778CF" w:rsidR="006F7852" w:rsidRDefault="000C438F" w:rsidP="00CF4214">
      <w:pPr>
        <w:spacing w:line="240" w:lineRule="auto"/>
        <w:jc w:val="center"/>
        <w:rPr>
          <w:rFonts w:cs="Times New Roman"/>
          <w:sz w:val="32"/>
          <w:szCs w:val="32"/>
        </w:rPr>
      </w:pPr>
      <w:r w:rsidRPr="00577BF3">
        <w:rPr>
          <w:rFonts w:cs="Times New Roman"/>
          <w:sz w:val="32"/>
          <w:szCs w:val="32"/>
        </w:rPr>
        <w:t>2021</w:t>
      </w:r>
    </w:p>
    <w:p w14:paraId="7F82977B" w14:textId="77777777" w:rsidR="006F7852" w:rsidRDefault="006F7852">
      <w:pPr>
        <w:rPr>
          <w:rFonts w:cs="Times New Roman"/>
          <w:sz w:val="32"/>
          <w:szCs w:val="32"/>
        </w:rPr>
      </w:pPr>
      <w:r>
        <w:rPr>
          <w:rFonts w:cs="Times New Roman"/>
          <w:sz w:val="32"/>
          <w:szCs w:val="32"/>
        </w:rPr>
        <w:br w:type="page"/>
      </w:r>
    </w:p>
    <w:p w14:paraId="4D2AA38B" w14:textId="6D2AB7F3" w:rsidR="000C438F" w:rsidRPr="00DF4396" w:rsidRDefault="00ED4554" w:rsidP="00CF4214">
      <w:pPr>
        <w:spacing w:line="240" w:lineRule="auto"/>
        <w:jc w:val="center"/>
        <w:rPr>
          <w:rFonts w:cs="Times New Roman"/>
          <w:b/>
          <w:bCs/>
          <w:sz w:val="32"/>
          <w:szCs w:val="32"/>
        </w:rPr>
      </w:pPr>
      <w:bookmarkStart w:id="1" w:name="_Hlk59178846"/>
      <w:r w:rsidRPr="00DF4396">
        <w:rPr>
          <w:rFonts w:cs="Times New Roman"/>
          <w:b/>
          <w:bCs/>
          <w:sz w:val="32"/>
          <w:szCs w:val="32"/>
        </w:rPr>
        <w:lastRenderedPageBreak/>
        <w:t>Saturs</w:t>
      </w:r>
    </w:p>
    <w:bookmarkEnd w:id="1"/>
    <w:p w14:paraId="7836271C" w14:textId="4BDE4A82" w:rsidR="006C2CBC" w:rsidRPr="00307E89" w:rsidRDefault="006C2CBC" w:rsidP="009D4217">
      <w:pPr>
        <w:pStyle w:val="ListParagraph"/>
        <w:tabs>
          <w:tab w:val="right" w:leader="dot" w:pos="8505"/>
        </w:tabs>
        <w:spacing w:after="0" w:line="240" w:lineRule="auto"/>
        <w:ind w:left="0"/>
        <w:rPr>
          <w:szCs w:val="24"/>
        </w:rPr>
      </w:pPr>
      <w:r w:rsidRPr="00307E89">
        <w:rPr>
          <w:szCs w:val="24"/>
        </w:rPr>
        <w:t>Ievads</w:t>
      </w:r>
      <w:r w:rsidR="009D4217">
        <w:rPr>
          <w:szCs w:val="24"/>
        </w:rPr>
        <w:tab/>
      </w:r>
      <w:r w:rsidRPr="00307E89">
        <w:rPr>
          <w:szCs w:val="24"/>
        </w:rPr>
        <w:t>3</w:t>
      </w:r>
    </w:p>
    <w:p w14:paraId="50875EF2" w14:textId="77777777" w:rsidR="006C2CBC" w:rsidRDefault="006C2CBC" w:rsidP="006C2CBC">
      <w:pPr>
        <w:spacing w:after="0" w:line="240" w:lineRule="auto"/>
        <w:rPr>
          <w:szCs w:val="24"/>
        </w:rPr>
      </w:pPr>
    </w:p>
    <w:p w14:paraId="74525AD4" w14:textId="7CA6DF14" w:rsidR="006C2CBC" w:rsidRPr="00307E89" w:rsidRDefault="006C2CBC" w:rsidP="009D4217">
      <w:pPr>
        <w:pStyle w:val="ListParagraph"/>
        <w:tabs>
          <w:tab w:val="right" w:leader="dot" w:pos="8505"/>
        </w:tabs>
        <w:spacing w:after="0" w:line="240" w:lineRule="auto"/>
        <w:ind w:left="0"/>
        <w:rPr>
          <w:szCs w:val="24"/>
        </w:rPr>
      </w:pPr>
      <w:r w:rsidRPr="00307E89">
        <w:rPr>
          <w:szCs w:val="24"/>
        </w:rPr>
        <w:t>Prokuratūras galvenie darba statistiskie rādītāji krimināltiesiskā jomā valstī kopumā (salīdzinājums 3 gadu periodā)</w:t>
      </w:r>
      <w:r w:rsidR="009D4217">
        <w:rPr>
          <w:szCs w:val="24"/>
        </w:rPr>
        <w:tab/>
      </w:r>
      <w:r w:rsidRPr="00307E89">
        <w:rPr>
          <w:szCs w:val="24"/>
        </w:rPr>
        <w:t>4</w:t>
      </w:r>
    </w:p>
    <w:p w14:paraId="16736CF5" w14:textId="77777777" w:rsidR="006C2CBC" w:rsidRPr="00577BF3" w:rsidRDefault="006C2CBC" w:rsidP="006C2CBC">
      <w:pPr>
        <w:spacing w:after="0" w:line="240" w:lineRule="auto"/>
        <w:rPr>
          <w:szCs w:val="24"/>
        </w:rPr>
      </w:pPr>
    </w:p>
    <w:p w14:paraId="6527A2E2" w14:textId="26428D47" w:rsidR="006C2CBC" w:rsidRPr="00307E89" w:rsidRDefault="006C2CBC" w:rsidP="009D4217">
      <w:pPr>
        <w:pStyle w:val="ListParagraph"/>
        <w:tabs>
          <w:tab w:val="right" w:leader="dot" w:pos="8505"/>
        </w:tabs>
        <w:spacing w:after="0" w:line="240" w:lineRule="auto"/>
        <w:ind w:left="0"/>
        <w:rPr>
          <w:szCs w:val="24"/>
        </w:rPr>
      </w:pPr>
      <w:r w:rsidRPr="00307E89">
        <w:rPr>
          <w:szCs w:val="24"/>
        </w:rPr>
        <w:t>Rīgas tiesas apgabala prokuratūras un tās darbības teritorijā ietilpstošo rajona līmeņa prokuratūras pārskats par 2020. gada darba rezultātiem</w:t>
      </w:r>
      <w:r w:rsidR="009D4217">
        <w:rPr>
          <w:szCs w:val="24"/>
        </w:rPr>
        <w:tab/>
      </w:r>
      <w:r w:rsidRPr="00307E89">
        <w:rPr>
          <w:szCs w:val="24"/>
        </w:rPr>
        <w:t>11</w:t>
      </w:r>
    </w:p>
    <w:p w14:paraId="3CA09490" w14:textId="77777777" w:rsidR="006C2CBC" w:rsidRDefault="006C2CBC" w:rsidP="006C2CBC">
      <w:pPr>
        <w:spacing w:after="0" w:line="240" w:lineRule="auto"/>
        <w:rPr>
          <w:szCs w:val="24"/>
        </w:rPr>
      </w:pPr>
    </w:p>
    <w:p w14:paraId="777037B1" w14:textId="77777777" w:rsidR="006C2CBC" w:rsidRPr="00307E89" w:rsidRDefault="006C2CBC" w:rsidP="006C2CBC">
      <w:pPr>
        <w:pStyle w:val="ListParagraph"/>
        <w:spacing w:after="0" w:line="240" w:lineRule="auto"/>
        <w:ind w:left="0"/>
        <w:rPr>
          <w:szCs w:val="24"/>
        </w:rPr>
      </w:pPr>
      <w:r w:rsidRPr="00307E89">
        <w:rPr>
          <w:szCs w:val="24"/>
        </w:rPr>
        <w:t>Kurzemes tiesas apgabala prokuratūras un tās darbības teritorijā ietilpstošo rajona</w:t>
      </w:r>
    </w:p>
    <w:p w14:paraId="27158A46" w14:textId="18CB7BA8" w:rsidR="006C2CBC" w:rsidRPr="00307E89" w:rsidRDefault="006C2CBC" w:rsidP="009D4217">
      <w:pPr>
        <w:pStyle w:val="ListParagraph"/>
        <w:tabs>
          <w:tab w:val="right" w:leader="dot" w:pos="8505"/>
        </w:tabs>
        <w:spacing w:after="0" w:line="240" w:lineRule="auto"/>
        <w:ind w:left="0"/>
        <w:rPr>
          <w:szCs w:val="24"/>
        </w:rPr>
      </w:pPr>
      <w:r w:rsidRPr="00307E89">
        <w:rPr>
          <w:szCs w:val="24"/>
        </w:rPr>
        <w:t>līmeņa prokuratūru pārskats par 2020. gada darba rezultātiem</w:t>
      </w:r>
      <w:r w:rsidR="009D4217">
        <w:rPr>
          <w:szCs w:val="24"/>
        </w:rPr>
        <w:tab/>
      </w:r>
      <w:r>
        <w:rPr>
          <w:szCs w:val="24"/>
        </w:rPr>
        <w:t>22</w:t>
      </w:r>
    </w:p>
    <w:p w14:paraId="00665468" w14:textId="77777777" w:rsidR="006C2CBC" w:rsidRDefault="006C2CBC" w:rsidP="006C2CBC">
      <w:pPr>
        <w:spacing w:after="0" w:line="240" w:lineRule="auto"/>
        <w:rPr>
          <w:szCs w:val="24"/>
        </w:rPr>
      </w:pPr>
    </w:p>
    <w:p w14:paraId="70C0DD5D" w14:textId="77777777" w:rsidR="006C2CBC" w:rsidRDefault="006C2CBC" w:rsidP="006C2CBC">
      <w:pPr>
        <w:pStyle w:val="ListParagraph"/>
        <w:spacing w:after="0" w:line="240" w:lineRule="auto"/>
        <w:ind w:left="0"/>
        <w:rPr>
          <w:szCs w:val="24"/>
        </w:rPr>
      </w:pPr>
      <w:r w:rsidRPr="00307E89">
        <w:rPr>
          <w:szCs w:val="24"/>
        </w:rPr>
        <w:t xml:space="preserve">Latgales tiesas apgabala prokuratūras un tās darbības teritorijā ietilpstošo rajona </w:t>
      </w:r>
    </w:p>
    <w:p w14:paraId="31F932D9" w14:textId="5E297664" w:rsidR="006C2CBC" w:rsidRPr="00307E89" w:rsidRDefault="006C2CBC" w:rsidP="009D4217">
      <w:pPr>
        <w:pStyle w:val="ListParagraph"/>
        <w:tabs>
          <w:tab w:val="right" w:leader="dot" w:pos="8505"/>
        </w:tabs>
        <w:spacing w:after="0" w:line="240" w:lineRule="auto"/>
        <w:ind w:left="0"/>
        <w:rPr>
          <w:szCs w:val="24"/>
        </w:rPr>
      </w:pPr>
      <w:r w:rsidRPr="00307E89">
        <w:rPr>
          <w:szCs w:val="24"/>
        </w:rPr>
        <w:t>līmeņa prokuratūru pārskats par 2020. gada darba rezultātiem</w:t>
      </w:r>
      <w:r w:rsidR="009D4217">
        <w:rPr>
          <w:szCs w:val="24"/>
        </w:rPr>
        <w:tab/>
      </w:r>
      <w:r>
        <w:rPr>
          <w:szCs w:val="24"/>
        </w:rPr>
        <w:t>34</w:t>
      </w:r>
    </w:p>
    <w:p w14:paraId="40206CA6" w14:textId="77777777" w:rsidR="006C2CBC" w:rsidRDefault="006C2CBC" w:rsidP="006C2CBC">
      <w:pPr>
        <w:spacing w:after="0" w:line="240" w:lineRule="auto"/>
        <w:rPr>
          <w:szCs w:val="24"/>
        </w:rPr>
      </w:pPr>
    </w:p>
    <w:p w14:paraId="36F4F086" w14:textId="77777777" w:rsidR="006C2CBC" w:rsidRPr="00307E89" w:rsidRDefault="006C2CBC" w:rsidP="006C2CBC">
      <w:pPr>
        <w:pStyle w:val="ListParagraph"/>
        <w:spacing w:after="0" w:line="240" w:lineRule="auto"/>
        <w:ind w:left="0"/>
        <w:rPr>
          <w:szCs w:val="24"/>
        </w:rPr>
      </w:pPr>
      <w:r w:rsidRPr="00307E89">
        <w:rPr>
          <w:szCs w:val="24"/>
        </w:rPr>
        <w:t>Vidzemes tiesas apgabala prokuratūras un tās darbības teritorijā ietilpstošo rajona</w:t>
      </w:r>
    </w:p>
    <w:p w14:paraId="6DBC24CF" w14:textId="75742212" w:rsidR="006C2CBC" w:rsidRPr="00307E89" w:rsidRDefault="006C2CBC" w:rsidP="00333ADD">
      <w:pPr>
        <w:pStyle w:val="ListParagraph"/>
        <w:tabs>
          <w:tab w:val="right" w:leader="dot" w:pos="8505"/>
        </w:tabs>
        <w:spacing w:after="0" w:line="240" w:lineRule="auto"/>
        <w:ind w:left="0"/>
        <w:rPr>
          <w:szCs w:val="24"/>
        </w:rPr>
      </w:pPr>
      <w:r w:rsidRPr="00307E89">
        <w:rPr>
          <w:szCs w:val="24"/>
        </w:rPr>
        <w:t xml:space="preserve">līmeņa Prokuratūru pārskats par 2020. gada darba </w:t>
      </w:r>
      <w:r w:rsidRPr="00C83217">
        <w:t>rezultātiem</w:t>
      </w:r>
      <w:r w:rsidR="00333ADD">
        <w:tab/>
      </w:r>
      <w:r>
        <w:t>47</w:t>
      </w:r>
    </w:p>
    <w:p w14:paraId="65DD1B1F" w14:textId="77777777" w:rsidR="006C2CBC" w:rsidRDefault="006C2CBC" w:rsidP="006C2CBC">
      <w:pPr>
        <w:spacing w:after="0" w:line="240" w:lineRule="auto"/>
        <w:rPr>
          <w:szCs w:val="24"/>
        </w:rPr>
      </w:pPr>
    </w:p>
    <w:p w14:paraId="6E667343" w14:textId="77777777" w:rsidR="006C2CBC" w:rsidRPr="00307E89" w:rsidRDefault="006C2CBC" w:rsidP="006C2CBC">
      <w:pPr>
        <w:pStyle w:val="ListParagraph"/>
        <w:spacing w:after="0" w:line="240" w:lineRule="auto"/>
        <w:ind w:left="0"/>
        <w:rPr>
          <w:szCs w:val="24"/>
        </w:rPr>
      </w:pPr>
      <w:r w:rsidRPr="00307E89">
        <w:rPr>
          <w:szCs w:val="24"/>
        </w:rPr>
        <w:t>Zemgales tiesas apgabala prokuratūras un tās darbības teritorijā ietilpstošo rajona</w:t>
      </w:r>
    </w:p>
    <w:p w14:paraId="6B60CCF8" w14:textId="5C360DBD" w:rsidR="006C2CBC" w:rsidRPr="00307E89" w:rsidRDefault="006C2CBC" w:rsidP="00333ADD">
      <w:pPr>
        <w:pStyle w:val="ListParagraph"/>
        <w:tabs>
          <w:tab w:val="right" w:leader="dot" w:pos="8505"/>
        </w:tabs>
        <w:spacing w:after="0" w:line="240" w:lineRule="auto"/>
        <w:ind w:left="0"/>
        <w:rPr>
          <w:szCs w:val="24"/>
        </w:rPr>
      </w:pPr>
      <w:r w:rsidRPr="00307E89">
        <w:rPr>
          <w:szCs w:val="24"/>
        </w:rPr>
        <w:t>līmeņa Prokuratūru pārskats par 2020. gada darba rezultātiem</w:t>
      </w:r>
      <w:r w:rsidR="00333ADD">
        <w:rPr>
          <w:szCs w:val="24"/>
        </w:rPr>
        <w:tab/>
      </w:r>
      <w:r>
        <w:rPr>
          <w:szCs w:val="24"/>
        </w:rPr>
        <w:t>62</w:t>
      </w:r>
    </w:p>
    <w:p w14:paraId="7BA43B34" w14:textId="77777777" w:rsidR="006C2CBC" w:rsidRDefault="006C2CBC" w:rsidP="006C2CBC">
      <w:pPr>
        <w:spacing w:after="0" w:line="240" w:lineRule="auto"/>
        <w:rPr>
          <w:szCs w:val="24"/>
        </w:rPr>
      </w:pPr>
    </w:p>
    <w:p w14:paraId="6680367F" w14:textId="3C3329D3" w:rsidR="006C2CBC" w:rsidRPr="00307E89" w:rsidRDefault="006C2CBC" w:rsidP="004A5D9F">
      <w:pPr>
        <w:pStyle w:val="ListParagraph"/>
        <w:tabs>
          <w:tab w:val="right" w:leader="dot" w:pos="8505"/>
        </w:tabs>
        <w:spacing w:after="0" w:line="240" w:lineRule="auto"/>
        <w:ind w:left="0" w:right="566"/>
        <w:rPr>
          <w:szCs w:val="24"/>
        </w:rPr>
      </w:pPr>
      <w:r w:rsidRPr="00307E89">
        <w:rPr>
          <w:szCs w:val="24"/>
        </w:rPr>
        <w:t>Specializētās apgabala prokuratūras statusa prokuratūras un specializēto rajona prokuratūras statusa prokuratūru pārskats par 2020. gada darba rezultātiem</w:t>
      </w:r>
      <w:r w:rsidR="00333ADD">
        <w:rPr>
          <w:szCs w:val="24"/>
        </w:rPr>
        <w:tab/>
      </w:r>
      <w:r>
        <w:rPr>
          <w:szCs w:val="24"/>
        </w:rPr>
        <w:t>74</w:t>
      </w:r>
    </w:p>
    <w:p w14:paraId="5FB782AC" w14:textId="77777777" w:rsidR="006C2CBC" w:rsidRDefault="006C2CBC" w:rsidP="006C2CBC">
      <w:pPr>
        <w:spacing w:after="0" w:line="240" w:lineRule="auto"/>
        <w:rPr>
          <w:szCs w:val="24"/>
        </w:rPr>
      </w:pPr>
    </w:p>
    <w:p w14:paraId="55D07E3A" w14:textId="35D7E8CF" w:rsidR="006C2CBC" w:rsidRPr="006C2CBC" w:rsidRDefault="006C2CBC" w:rsidP="004A5D9F">
      <w:pPr>
        <w:pStyle w:val="ListParagraph"/>
        <w:tabs>
          <w:tab w:val="right" w:leader="dot" w:pos="8505"/>
        </w:tabs>
        <w:spacing w:after="0" w:line="240" w:lineRule="auto"/>
        <w:ind w:left="0" w:right="566"/>
        <w:rPr>
          <w:szCs w:val="24"/>
        </w:rPr>
      </w:pPr>
      <w:r w:rsidRPr="00307E89">
        <w:rPr>
          <w:szCs w:val="24"/>
        </w:rPr>
        <w:t>Ģenerālprokuratūras Krimināltiesiskā departamenta un tā nodaļu pārskats par</w:t>
      </w:r>
      <w:r w:rsidRPr="006C2CBC">
        <w:rPr>
          <w:szCs w:val="24"/>
        </w:rPr>
        <w:t xml:space="preserve"> 2020. gada darba rezultātiem</w:t>
      </w:r>
      <w:r w:rsidR="00333ADD">
        <w:rPr>
          <w:szCs w:val="24"/>
        </w:rPr>
        <w:tab/>
      </w:r>
      <w:r w:rsidRPr="006C2CBC">
        <w:rPr>
          <w:szCs w:val="24"/>
        </w:rPr>
        <w:t>86</w:t>
      </w:r>
    </w:p>
    <w:p w14:paraId="3A8752C8" w14:textId="77777777" w:rsidR="006C2CBC" w:rsidRPr="00EC769E" w:rsidRDefault="006C2CBC" w:rsidP="006C2CBC">
      <w:pPr>
        <w:pStyle w:val="NoSpacing"/>
      </w:pPr>
    </w:p>
    <w:p w14:paraId="747FA915" w14:textId="77777777" w:rsidR="006C2CBC" w:rsidRDefault="006C2CBC" w:rsidP="006C2CBC">
      <w:pPr>
        <w:pStyle w:val="ListParagraph"/>
        <w:spacing w:after="0" w:line="240" w:lineRule="auto"/>
        <w:ind w:left="0"/>
        <w:rPr>
          <w:szCs w:val="24"/>
        </w:rPr>
      </w:pPr>
      <w:r w:rsidRPr="00307E89">
        <w:rPr>
          <w:szCs w:val="24"/>
        </w:rPr>
        <w:t xml:space="preserve">Ģenerālprokuratūras Personu un valsts tiesību aizsardzības departamenta un tā </w:t>
      </w:r>
    </w:p>
    <w:p w14:paraId="60867015" w14:textId="77A76129" w:rsidR="006C2CBC" w:rsidRPr="00307E89" w:rsidRDefault="006C2CBC" w:rsidP="00333ADD">
      <w:pPr>
        <w:pStyle w:val="ListParagraph"/>
        <w:tabs>
          <w:tab w:val="right" w:leader="dot" w:pos="8505"/>
        </w:tabs>
        <w:spacing w:after="0" w:line="240" w:lineRule="auto"/>
        <w:ind w:left="0"/>
        <w:rPr>
          <w:szCs w:val="24"/>
        </w:rPr>
      </w:pPr>
      <w:r w:rsidRPr="00307E89">
        <w:rPr>
          <w:szCs w:val="24"/>
        </w:rPr>
        <w:t>nodaļas pārskats par 2020. gada darba rezultātiem</w:t>
      </w:r>
      <w:r w:rsidR="00333ADD">
        <w:rPr>
          <w:szCs w:val="24"/>
        </w:rPr>
        <w:tab/>
      </w:r>
      <w:r>
        <w:rPr>
          <w:szCs w:val="24"/>
        </w:rPr>
        <w:t>11</w:t>
      </w:r>
      <w:r w:rsidR="00F87B7A">
        <w:rPr>
          <w:szCs w:val="24"/>
        </w:rPr>
        <w:t>3</w:t>
      </w:r>
    </w:p>
    <w:p w14:paraId="2086AD5F" w14:textId="77777777" w:rsidR="006C2CBC" w:rsidRPr="00EC769E" w:rsidRDefault="006C2CBC" w:rsidP="006C2CBC">
      <w:pPr>
        <w:spacing w:after="0" w:line="240" w:lineRule="auto"/>
        <w:rPr>
          <w:szCs w:val="24"/>
        </w:rPr>
      </w:pPr>
    </w:p>
    <w:p w14:paraId="69B5E3E2" w14:textId="77777777" w:rsidR="006C2CBC" w:rsidRDefault="006C2CBC" w:rsidP="006C2CBC">
      <w:pPr>
        <w:pStyle w:val="ListParagraph"/>
        <w:spacing w:after="0" w:line="240" w:lineRule="auto"/>
        <w:ind w:left="0"/>
        <w:rPr>
          <w:szCs w:val="24"/>
        </w:rPr>
      </w:pPr>
      <w:r w:rsidRPr="00307E89">
        <w:rPr>
          <w:szCs w:val="24"/>
        </w:rPr>
        <w:t>Ģenerālprokuratūras Darbības analīzes un vadības departamenta un tā nodaļu</w:t>
      </w:r>
    </w:p>
    <w:p w14:paraId="01F45528" w14:textId="1DC472B8" w:rsidR="006C2CBC" w:rsidRPr="00307E89" w:rsidRDefault="006C2CBC" w:rsidP="00502CA9">
      <w:pPr>
        <w:pStyle w:val="ListParagraph"/>
        <w:tabs>
          <w:tab w:val="right" w:leader="dot" w:pos="8505"/>
        </w:tabs>
        <w:spacing w:after="0" w:line="240" w:lineRule="auto"/>
        <w:ind w:left="0"/>
        <w:rPr>
          <w:szCs w:val="24"/>
        </w:rPr>
      </w:pPr>
      <w:r w:rsidRPr="00307E89">
        <w:rPr>
          <w:szCs w:val="24"/>
        </w:rPr>
        <w:t>pārskats par 2020. gada darba rezultātiem</w:t>
      </w:r>
      <w:r w:rsidR="00502CA9">
        <w:rPr>
          <w:szCs w:val="24"/>
        </w:rPr>
        <w:tab/>
      </w:r>
      <w:r>
        <w:rPr>
          <w:szCs w:val="24"/>
        </w:rPr>
        <w:t>1</w:t>
      </w:r>
      <w:r w:rsidR="00F87B7A">
        <w:rPr>
          <w:szCs w:val="24"/>
        </w:rPr>
        <w:t>30</w:t>
      </w:r>
    </w:p>
    <w:p w14:paraId="1573A345" w14:textId="77777777" w:rsidR="006C2CBC" w:rsidRPr="00B12227" w:rsidRDefault="006C2CBC" w:rsidP="006C2CBC">
      <w:pPr>
        <w:spacing w:after="0" w:line="240" w:lineRule="auto"/>
        <w:rPr>
          <w:szCs w:val="24"/>
        </w:rPr>
      </w:pPr>
    </w:p>
    <w:p w14:paraId="104B4957" w14:textId="77777777" w:rsidR="006C2CBC" w:rsidRDefault="006C2CBC" w:rsidP="006C2CBC">
      <w:pPr>
        <w:pStyle w:val="ListParagraph"/>
        <w:spacing w:after="0" w:line="240" w:lineRule="auto"/>
        <w:ind w:left="0"/>
        <w:rPr>
          <w:szCs w:val="24"/>
        </w:rPr>
      </w:pPr>
      <w:r w:rsidRPr="00307E89">
        <w:rPr>
          <w:szCs w:val="24"/>
        </w:rPr>
        <w:t>Ģenerālprokuratūras Īpaši pilnvarotu prokuroru nodaļas pārskats par 2020. gada</w:t>
      </w:r>
    </w:p>
    <w:p w14:paraId="33494CB9" w14:textId="6BEA2467" w:rsidR="006C2CBC" w:rsidRDefault="006C2CBC" w:rsidP="00502CA9">
      <w:pPr>
        <w:pStyle w:val="ListParagraph"/>
        <w:tabs>
          <w:tab w:val="right" w:leader="dot" w:pos="8505"/>
        </w:tabs>
        <w:spacing w:after="0" w:line="240" w:lineRule="auto"/>
        <w:ind w:left="0"/>
        <w:rPr>
          <w:szCs w:val="24"/>
        </w:rPr>
      </w:pPr>
      <w:r w:rsidRPr="00307E89">
        <w:rPr>
          <w:szCs w:val="24"/>
        </w:rPr>
        <w:t>darba rezultātiem</w:t>
      </w:r>
      <w:r w:rsidR="00502CA9">
        <w:rPr>
          <w:szCs w:val="24"/>
        </w:rPr>
        <w:tab/>
      </w:r>
      <w:r>
        <w:rPr>
          <w:szCs w:val="24"/>
        </w:rPr>
        <w:t>13</w:t>
      </w:r>
      <w:r w:rsidR="00F87B7A">
        <w:rPr>
          <w:szCs w:val="24"/>
        </w:rPr>
        <w:t>9</w:t>
      </w:r>
    </w:p>
    <w:p w14:paraId="1E111EF0" w14:textId="77777777" w:rsidR="006C2CBC" w:rsidRPr="00B12227" w:rsidRDefault="006C2CBC" w:rsidP="006C2CBC">
      <w:pPr>
        <w:pStyle w:val="ListParagraph"/>
        <w:spacing w:after="0" w:line="240" w:lineRule="auto"/>
        <w:ind w:left="0"/>
        <w:rPr>
          <w:szCs w:val="24"/>
        </w:rPr>
      </w:pPr>
    </w:p>
    <w:p w14:paraId="11DCACD7" w14:textId="1DC25A84" w:rsidR="006C2CBC" w:rsidRPr="00307E89" w:rsidRDefault="006C2CBC" w:rsidP="00502CA9">
      <w:pPr>
        <w:pStyle w:val="ListParagraph"/>
        <w:tabs>
          <w:tab w:val="right" w:leader="dot" w:pos="8505"/>
        </w:tabs>
        <w:spacing w:after="0" w:line="240" w:lineRule="auto"/>
        <w:ind w:left="0"/>
        <w:rPr>
          <w:szCs w:val="24"/>
        </w:rPr>
      </w:pPr>
      <w:r w:rsidRPr="00307E89">
        <w:rPr>
          <w:szCs w:val="24"/>
        </w:rPr>
        <w:t>Prokuroru atestācijas komisijas 2020. gada darba pārskats</w:t>
      </w:r>
      <w:r w:rsidR="00502CA9">
        <w:rPr>
          <w:szCs w:val="24"/>
        </w:rPr>
        <w:tab/>
      </w:r>
      <w:r>
        <w:rPr>
          <w:szCs w:val="24"/>
        </w:rPr>
        <w:t>14</w:t>
      </w:r>
      <w:r w:rsidR="00F87B7A">
        <w:rPr>
          <w:szCs w:val="24"/>
        </w:rPr>
        <w:t>3</w:t>
      </w:r>
    </w:p>
    <w:p w14:paraId="59DF6ACD" w14:textId="77777777" w:rsidR="006C2CBC" w:rsidRPr="00B12227" w:rsidRDefault="006C2CBC" w:rsidP="006C2CBC">
      <w:pPr>
        <w:spacing w:after="0" w:line="240" w:lineRule="auto"/>
        <w:rPr>
          <w:szCs w:val="24"/>
        </w:rPr>
      </w:pPr>
    </w:p>
    <w:p w14:paraId="6B112B3D" w14:textId="48BDC08E" w:rsidR="006C2CBC" w:rsidRPr="00307E89" w:rsidRDefault="006C2CBC" w:rsidP="00502CA9">
      <w:pPr>
        <w:pStyle w:val="ListParagraph"/>
        <w:tabs>
          <w:tab w:val="right" w:leader="dot" w:pos="8505"/>
        </w:tabs>
        <w:spacing w:after="0" w:line="240" w:lineRule="auto"/>
        <w:ind w:left="0"/>
        <w:rPr>
          <w:szCs w:val="24"/>
        </w:rPr>
      </w:pPr>
      <w:r w:rsidRPr="00307E89">
        <w:rPr>
          <w:szCs w:val="24"/>
        </w:rPr>
        <w:t>Prokuroru kvalifikācijas komisijas 2020. gada darba pārskats</w:t>
      </w:r>
      <w:r w:rsidR="00502CA9">
        <w:rPr>
          <w:szCs w:val="24"/>
        </w:rPr>
        <w:tab/>
      </w:r>
      <w:r>
        <w:rPr>
          <w:szCs w:val="24"/>
        </w:rPr>
        <w:t>14</w:t>
      </w:r>
      <w:r w:rsidR="00F87B7A">
        <w:rPr>
          <w:szCs w:val="24"/>
        </w:rPr>
        <w:t>6</w:t>
      </w:r>
    </w:p>
    <w:p w14:paraId="0CB4AB2A" w14:textId="77777777" w:rsidR="006C2CBC" w:rsidRPr="00B12227" w:rsidRDefault="006C2CBC" w:rsidP="006C2CBC">
      <w:pPr>
        <w:spacing w:after="0" w:line="240" w:lineRule="auto"/>
        <w:rPr>
          <w:szCs w:val="24"/>
        </w:rPr>
      </w:pPr>
    </w:p>
    <w:p w14:paraId="0A17223C" w14:textId="7ACBC846" w:rsidR="006C2CBC" w:rsidRPr="00307E89" w:rsidRDefault="006C2CBC" w:rsidP="00502CA9">
      <w:pPr>
        <w:pStyle w:val="ListParagraph"/>
        <w:tabs>
          <w:tab w:val="right" w:leader="dot" w:pos="8505"/>
        </w:tabs>
        <w:spacing w:after="0" w:line="240" w:lineRule="auto"/>
        <w:ind w:left="0"/>
        <w:rPr>
          <w:szCs w:val="24"/>
        </w:rPr>
      </w:pPr>
      <w:r w:rsidRPr="00307E89">
        <w:rPr>
          <w:szCs w:val="24"/>
        </w:rPr>
        <w:t>Pārskats par prokuroru iesaisti kvalifikācijas celšanas pasākumos</w:t>
      </w:r>
      <w:r w:rsidR="00502CA9">
        <w:rPr>
          <w:szCs w:val="24"/>
        </w:rPr>
        <w:tab/>
      </w:r>
      <w:r>
        <w:rPr>
          <w:szCs w:val="24"/>
        </w:rPr>
        <w:t>14</w:t>
      </w:r>
      <w:r w:rsidR="00F87B7A">
        <w:rPr>
          <w:szCs w:val="24"/>
        </w:rPr>
        <w:t>9</w:t>
      </w:r>
    </w:p>
    <w:p w14:paraId="3488FF36" w14:textId="77777777" w:rsidR="006C2CBC" w:rsidRPr="0026237B" w:rsidRDefault="006C2CBC" w:rsidP="006C2CBC">
      <w:pPr>
        <w:spacing w:after="0" w:line="240" w:lineRule="auto"/>
        <w:rPr>
          <w:szCs w:val="24"/>
        </w:rPr>
      </w:pPr>
    </w:p>
    <w:p w14:paraId="06B382ED" w14:textId="104C4C78" w:rsidR="006C2CBC" w:rsidRPr="00307E89" w:rsidRDefault="006C2CBC" w:rsidP="00502CA9">
      <w:pPr>
        <w:pStyle w:val="ListParagraph"/>
        <w:tabs>
          <w:tab w:val="right" w:leader="dot" w:pos="8505"/>
        </w:tabs>
        <w:spacing w:after="0" w:line="240" w:lineRule="auto"/>
        <w:ind w:left="0"/>
        <w:rPr>
          <w:szCs w:val="24"/>
        </w:rPr>
      </w:pPr>
      <w:r w:rsidRPr="00307E89">
        <w:rPr>
          <w:szCs w:val="24"/>
        </w:rPr>
        <w:t>Informācija par prokuroru personālsastāvu</w:t>
      </w:r>
      <w:r w:rsidR="00502CA9">
        <w:rPr>
          <w:szCs w:val="24"/>
        </w:rPr>
        <w:tab/>
      </w:r>
      <w:r>
        <w:rPr>
          <w:szCs w:val="24"/>
        </w:rPr>
        <w:t>1</w:t>
      </w:r>
      <w:r w:rsidR="00F87B7A">
        <w:rPr>
          <w:szCs w:val="24"/>
        </w:rPr>
        <w:t>51</w:t>
      </w:r>
    </w:p>
    <w:p w14:paraId="2FB27C70" w14:textId="77777777" w:rsidR="006C2CBC" w:rsidRPr="0026237B" w:rsidRDefault="006C2CBC" w:rsidP="006C2CBC">
      <w:pPr>
        <w:spacing w:after="0" w:line="240" w:lineRule="auto"/>
        <w:rPr>
          <w:szCs w:val="24"/>
        </w:rPr>
      </w:pPr>
    </w:p>
    <w:p w14:paraId="6D5CB352" w14:textId="5A8B73AC" w:rsidR="006C2CBC" w:rsidRPr="00307E89" w:rsidRDefault="006C2CBC" w:rsidP="00502CA9">
      <w:pPr>
        <w:pStyle w:val="ListParagraph"/>
        <w:tabs>
          <w:tab w:val="right" w:leader="dot" w:pos="8505"/>
        </w:tabs>
        <w:spacing w:after="0" w:line="240" w:lineRule="auto"/>
        <w:ind w:left="0"/>
        <w:rPr>
          <w:szCs w:val="24"/>
        </w:rPr>
      </w:pPr>
      <w:r w:rsidRPr="00307E89">
        <w:rPr>
          <w:szCs w:val="24"/>
        </w:rPr>
        <w:t xml:space="preserve">Pārskats par Latvijas Republikas pārstāvniecības </w:t>
      </w:r>
      <w:proofErr w:type="spellStart"/>
      <w:r w:rsidRPr="00307E89">
        <w:rPr>
          <w:szCs w:val="24"/>
        </w:rPr>
        <w:t>Eirojustā</w:t>
      </w:r>
      <w:proofErr w:type="spellEnd"/>
      <w:r w:rsidRPr="00307E89">
        <w:rPr>
          <w:szCs w:val="24"/>
        </w:rPr>
        <w:t xml:space="preserve"> darbu 2020. gadā</w:t>
      </w:r>
      <w:r w:rsidR="00502CA9">
        <w:rPr>
          <w:szCs w:val="24"/>
        </w:rPr>
        <w:tab/>
      </w:r>
      <w:r>
        <w:rPr>
          <w:szCs w:val="24"/>
        </w:rPr>
        <w:t>15</w:t>
      </w:r>
      <w:r w:rsidR="00F87B7A">
        <w:rPr>
          <w:szCs w:val="24"/>
        </w:rPr>
        <w:t>7</w:t>
      </w:r>
    </w:p>
    <w:p w14:paraId="18583A71" w14:textId="77777777" w:rsidR="006C2CBC" w:rsidRPr="0026237B" w:rsidRDefault="006C2CBC" w:rsidP="006C2CBC">
      <w:pPr>
        <w:spacing w:after="0" w:line="240" w:lineRule="auto"/>
        <w:rPr>
          <w:szCs w:val="24"/>
        </w:rPr>
      </w:pPr>
    </w:p>
    <w:p w14:paraId="0BC6B907" w14:textId="10871BD0" w:rsidR="006C2CBC" w:rsidRPr="00307E89" w:rsidRDefault="006C2CBC" w:rsidP="00502CA9">
      <w:pPr>
        <w:pStyle w:val="ListParagraph"/>
        <w:tabs>
          <w:tab w:val="right" w:leader="dot" w:pos="8505"/>
        </w:tabs>
        <w:spacing w:after="0" w:line="240" w:lineRule="auto"/>
        <w:ind w:left="0"/>
        <w:rPr>
          <w:szCs w:val="24"/>
        </w:rPr>
      </w:pPr>
      <w:r w:rsidRPr="00307E89">
        <w:rPr>
          <w:szCs w:val="24"/>
        </w:rPr>
        <w:t>Prokuratūras valsts budžeta ieņēmumi un izdevumi 2020. gadā</w:t>
      </w:r>
      <w:r w:rsidR="00502CA9">
        <w:rPr>
          <w:szCs w:val="24"/>
        </w:rPr>
        <w:tab/>
      </w:r>
      <w:r>
        <w:rPr>
          <w:szCs w:val="24"/>
        </w:rPr>
        <w:t>16</w:t>
      </w:r>
      <w:r w:rsidR="00F87B7A">
        <w:rPr>
          <w:szCs w:val="24"/>
        </w:rPr>
        <w:t>6</w:t>
      </w:r>
    </w:p>
    <w:p w14:paraId="61B4E8F4" w14:textId="77777777" w:rsidR="006C2CBC" w:rsidRPr="00BD3C50" w:rsidRDefault="006C2CBC" w:rsidP="006C2CBC">
      <w:pPr>
        <w:spacing w:after="0" w:line="240" w:lineRule="auto"/>
        <w:rPr>
          <w:szCs w:val="24"/>
        </w:rPr>
      </w:pPr>
    </w:p>
    <w:p w14:paraId="379B46A3" w14:textId="7CB89E62" w:rsidR="004A5D9F" w:rsidRDefault="006C2CBC" w:rsidP="00502CA9">
      <w:pPr>
        <w:pStyle w:val="ListParagraph"/>
        <w:tabs>
          <w:tab w:val="right" w:leader="dot" w:pos="8505"/>
        </w:tabs>
        <w:spacing w:after="0" w:line="240" w:lineRule="auto"/>
        <w:ind w:left="0"/>
        <w:rPr>
          <w:szCs w:val="24"/>
        </w:rPr>
      </w:pPr>
      <w:r w:rsidRPr="00307E89">
        <w:rPr>
          <w:szCs w:val="24"/>
        </w:rPr>
        <w:t>Prioritātes 2021. gadā</w:t>
      </w:r>
      <w:r w:rsidR="00502CA9">
        <w:rPr>
          <w:szCs w:val="24"/>
        </w:rPr>
        <w:tab/>
      </w:r>
      <w:r>
        <w:rPr>
          <w:szCs w:val="24"/>
        </w:rPr>
        <w:t>1</w:t>
      </w:r>
      <w:r w:rsidR="00F87B7A">
        <w:rPr>
          <w:szCs w:val="24"/>
        </w:rPr>
        <w:t>80</w:t>
      </w:r>
    </w:p>
    <w:p w14:paraId="5EB8E94A" w14:textId="154949A7" w:rsidR="0036399A" w:rsidRPr="00502CA9" w:rsidRDefault="006C2CBC" w:rsidP="00502CA9">
      <w:pPr>
        <w:pStyle w:val="ListParagraph"/>
        <w:tabs>
          <w:tab w:val="right" w:leader="dot" w:pos="8505"/>
        </w:tabs>
        <w:spacing w:after="0" w:line="240" w:lineRule="auto"/>
        <w:ind w:left="0"/>
        <w:rPr>
          <w:szCs w:val="24"/>
        </w:rPr>
      </w:pPr>
      <w:r>
        <w:rPr>
          <w:rFonts w:cs="Times New Roman"/>
          <w:szCs w:val="24"/>
        </w:rPr>
        <w:br w:type="page"/>
      </w:r>
    </w:p>
    <w:p w14:paraId="1278E668" w14:textId="6D78AAC0" w:rsidR="0038476C" w:rsidRPr="00577BF3" w:rsidRDefault="000E26DD" w:rsidP="00DF4396">
      <w:pPr>
        <w:spacing w:after="0" w:line="240" w:lineRule="auto"/>
        <w:jc w:val="center"/>
        <w:rPr>
          <w:rFonts w:cs="Times New Roman"/>
          <w:b/>
          <w:bCs/>
          <w:sz w:val="32"/>
          <w:szCs w:val="32"/>
        </w:rPr>
      </w:pPr>
      <w:bookmarkStart w:id="2" w:name="_Hlk59194293"/>
      <w:r w:rsidRPr="00577BF3">
        <w:rPr>
          <w:rFonts w:cs="Times New Roman"/>
          <w:b/>
          <w:bCs/>
          <w:sz w:val="32"/>
          <w:szCs w:val="32"/>
        </w:rPr>
        <w:lastRenderedPageBreak/>
        <w:t>Ievads</w:t>
      </w:r>
    </w:p>
    <w:p w14:paraId="366FBE0A" w14:textId="77777777" w:rsidR="000E26DD" w:rsidRPr="001A21AA" w:rsidRDefault="000E26DD" w:rsidP="00CF4214">
      <w:pPr>
        <w:spacing w:after="0" w:line="240" w:lineRule="auto"/>
        <w:jc w:val="center"/>
        <w:rPr>
          <w:rFonts w:cs="Times New Roman"/>
          <w:b/>
          <w:bCs/>
          <w:sz w:val="28"/>
          <w:szCs w:val="28"/>
        </w:rPr>
      </w:pPr>
    </w:p>
    <w:bookmarkEnd w:id="2"/>
    <w:p w14:paraId="2406BD0F" w14:textId="1F07239A" w:rsidR="001A21AA" w:rsidRDefault="0036399A" w:rsidP="001A21AA">
      <w:pPr>
        <w:spacing w:after="0" w:line="240" w:lineRule="auto"/>
        <w:jc w:val="both"/>
        <w:rPr>
          <w:rFonts w:cs="Times New Roman"/>
          <w:szCs w:val="24"/>
        </w:rPr>
      </w:pPr>
      <w:r w:rsidRPr="00577BF3">
        <w:rPr>
          <w:rFonts w:cs="Times New Roman"/>
          <w:szCs w:val="24"/>
        </w:rPr>
        <w:tab/>
      </w:r>
      <w:r w:rsidR="001A21AA">
        <w:rPr>
          <w:rFonts w:cs="Times New Roman"/>
          <w:szCs w:val="24"/>
        </w:rPr>
        <w:t>Latvijas Republikas prokuratūra ir tiesu varas institūcija, kas patstāvīgi veic uzraudzību pār likumības ievērošanu Prokuratūras likumā noteikto funkciju ietvaros. Prokuratūras likuma 2. pants nosaka prokuratūras funkcijas, proti:</w:t>
      </w:r>
    </w:p>
    <w:p w14:paraId="318FB028" w14:textId="77777777" w:rsidR="001A21AA" w:rsidRDefault="001A21AA" w:rsidP="001A21AA">
      <w:pPr>
        <w:pStyle w:val="NoSpacing"/>
        <w:ind w:left="720"/>
      </w:pPr>
      <w:r>
        <w:t>1) uzraudzīt pirmstiesas izmeklēšanas un operatīvās darbības, valsts drošības iestāžu izlūkošanas un pretizlūkošanas procesu un valsts noslēpuma aizsardzības sistēmas atbilstību likumiem;</w:t>
      </w:r>
    </w:p>
    <w:p w14:paraId="7065C1D9" w14:textId="77777777" w:rsidR="001A21AA" w:rsidRDefault="001A21AA" w:rsidP="001A21AA">
      <w:pPr>
        <w:pStyle w:val="NoSpacing"/>
        <w:ind w:firstLine="720"/>
      </w:pPr>
      <w:r>
        <w:t>2) veikt pirmstiesas izmeklēšanu;</w:t>
      </w:r>
    </w:p>
    <w:p w14:paraId="0ACAA170" w14:textId="77777777" w:rsidR="001A21AA" w:rsidRDefault="001A21AA" w:rsidP="001A21AA">
      <w:pPr>
        <w:pStyle w:val="NoSpacing"/>
        <w:ind w:firstLine="720"/>
      </w:pPr>
      <w:r>
        <w:t>3) uzsāk un veikt kriminālvajāšanu;</w:t>
      </w:r>
    </w:p>
    <w:p w14:paraId="1AA0060E" w14:textId="77777777" w:rsidR="001A21AA" w:rsidRDefault="001A21AA" w:rsidP="001A21AA">
      <w:pPr>
        <w:pStyle w:val="NoSpacing"/>
        <w:ind w:firstLine="720"/>
      </w:pPr>
      <w:r>
        <w:t>4) uzturēt valsts apsūdzību;</w:t>
      </w:r>
    </w:p>
    <w:p w14:paraId="0814FBB0" w14:textId="77777777" w:rsidR="001A21AA" w:rsidRDefault="001A21AA" w:rsidP="001A21AA">
      <w:pPr>
        <w:pStyle w:val="NoSpacing"/>
        <w:ind w:firstLine="720"/>
      </w:pPr>
      <w:r>
        <w:t>5) uzraudzīt sodu izpildi;</w:t>
      </w:r>
    </w:p>
    <w:p w14:paraId="2808560C" w14:textId="77777777" w:rsidR="001A21AA" w:rsidRDefault="001A21AA" w:rsidP="001A21AA">
      <w:pPr>
        <w:pStyle w:val="NoSpacing"/>
        <w:ind w:left="720"/>
      </w:pPr>
      <w:r>
        <w:t>6) likumā noteiktajā kārtībā aizsargāt personu un valsts tiesības un likumīgās intereses;</w:t>
      </w:r>
    </w:p>
    <w:p w14:paraId="62D9CC4B" w14:textId="77777777" w:rsidR="001A21AA" w:rsidRDefault="001A21AA" w:rsidP="001A21AA">
      <w:pPr>
        <w:pStyle w:val="NoSpacing"/>
        <w:ind w:firstLine="720"/>
      </w:pPr>
      <w:r>
        <w:t>7) likumā noteiktajos gadījumos iesniegt prasības pieteikumu vai iesniegumu tiesā;</w:t>
      </w:r>
    </w:p>
    <w:p w14:paraId="587F5374" w14:textId="77777777" w:rsidR="001A21AA" w:rsidRDefault="001A21AA" w:rsidP="001A21AA">
      <w:pPr>
        <w:pStyle w:val="NoSpacing"/>
        <w:ind w:firstLine="720"/>
      </w:pPr>
      <w:r>
        <w:t>8) likumā noteiktajos gadījumos piedalīties lietu izskatīšanā tiesā.</w:t>
      </w:r>
    </w:p>
    <w:p w14:paraId="27B16CCC" w14:textId="77777777" w:rsidR="001A21AA" w:rsidRDefault="001A21AA" w:rsidP="001A21AA">
      <w:pPr>
        <w:spacing w:before="120" w:after="0" w:line="240" w:lineRule="auto"/>
        <w:ind w:firstLine="720"/>
        <w:jc w:val="both"/>
        <w:rPr>
          <w:rFonts w:cs="Times New Roman"/>
          <w:szCs w:val="24"/>
        </w:rPr>
      </w:pPr>
      <w:r>
        <w:rPr>
          <w:rFonts w:cs="Times New Roman"/>
          <w:szCs w:val="24"/>
        </w:rPr>
        <w:t>Prokuratūra ir vienota, centralizēta triju līmeņu struktūrvienību sistēma, ko veido Ģenerālprokuratūra, tiesu apgabalu prokuratūras, rajonu (pilsētu) prokuratūras, specializētās prokuratūras un Administratīvā direktora dienests.</w:t>
      </w:r>
    </w:p>
    <w:p w14:paraId="5CA797EA" w14:textId="77777777" w:rsidR="001A21AA" w:rsidRDefault="001A21AA" w:rsidP="001A21AA">
      <w:pPr>
        <w:spacing w:before="120" w:after="0" w:line="240" w:lineRule="auto"/>
        <w:ind w:firstLine="720"/>
        <w:jc w:val="both"/>
        <w:rPr>
          <w:rFonts w:cs="Times New Roman"/>
          <w:szCs w:val="24"/>
        </w:rPr>
      </w:pPr>
      <w:r>
        <w:rPr>
          <w:rFonts w:cs="Times New Roman"/>
          <w:szCs w:val="24"/>
        </w:rPr>
        <w:t>Prokurori, līdzās tiesnešiem, zvērinātiem advokātiem, zvērinātiem notāriem un zvērinātiem tiesu izpildītājiem, ir tiesu sistēmai piederīgas amatpersonas, kuru uzdevums ir likumīgi un taisnīgi reaģēt uz likuma pārkāpumiem un nodrošināt ar to saistīto lietu izlemšanu likumā noteiktajā kārtībā. Prokurori, īstenojot prokuratūras funkcijas, ir neatkarīgi no citu valsts varu un pārvaldi realizējošo institūciju vai amatpersonu ietekmes un lēmumus pieņem patstāvīgi, pamatojoties uz savu pārliecību un likumiem, ievērojot personu vienlīdzību likuma priekšā un patiesību.</w:t>
      </w:r>
    </w:p>
    <w:p w14:paraId="247BC2A0" w14:textId="77777777" w:rsidR="001A21AA" w:rsidRDefault="001A21AA" w:rsidP="001A21AA">
      <w:pPr>
        <w:spacing w:before="120" w:after="0" w:line="240" w:lineRule="auto"/>
        <w:ind w:firstLine="720"/>
        <w:jc w:val="both"/>
        <w:rPr>
          <w:rFonts w:cs="Times New Roman"/>
          <w:szCs w:val="24"/>
        </w:rPr>
      </w:pPr>
      <w:r>
        <w:rPr>
          <w:rFonts w:cs="Times New Roman"/>
          <w:szCs w:val="24"/>
        </w:rPr>
        <w:t>Prokuratūru vada un kontrolē ģenerālprokurors, kurš nosaka tās iekšējo struktūru un štatus atbilstoši iedalītajiem valsts budžeta līdzekļiem, apstiprina Ģenerālprokurora padomes pieņemtos normatīvos aktus, kā arī tieši vada Ģenerālprokuratūras prokuroru darbu. Ģenerālprokurora uzdevums ir nodrošināt prokuratūras darbību tā, lai prokurori varētu savas funkcijas realizēt efektīvi un lai sevišķi cietušie un sabiedrība kopumā to atzinīgi novērtētu.</w:t>
      </w:r>
    </w:p>
    <w:p w14:paraId="3AE64D11" w14:textId="77777777" w:rsidR="001A21AA" w:rsidRDefault="001A21AA" w:rsidP="001A21AA">
      <w:pPr>
        <w:spacing w:before="120" w:after="0" w:line="240" w:lineRule="auto"/>
        <w:ind w:firstLine="720"/>
        <w:jc w:val="both"/>
        <w:rPr>
          <w:rFonts w:cs="Times New Roman"/>
          <w:szCs w:val="24"/>
        </w:rPr>
      </w:pPr>
      <w:r>
        <w:rPr>
          <w:rFonts w:cs="Times New Roman"/>
          <w:szCs w:val="24"/>
        </w:rPr>
        <w:t>Ikgadējā ziņojumā tiek norādīts iepriekšējā gadā prokuratūrā paveiktais un nākamā gada darbības prioritātes, tajā skaitā ņemot vērā aktuālo Valsts kontroles revīzijas ziņojumā par prokuratūras darbības uzlabojumiem, kā arī Ekonomiskās sadarbības un attīstības organizācijas (OECD) salīdzinošajā pētījumā par prokuratūras darbību secināto.</w:t>
      </w:r>
    </w:p>
    <w:p w14:paraId="30274FF5" w14:textId="77777777" w:rsidR="001A21AA" w:rsidRDefault="001A21AA" w:rsidP="001A21AA">
      <w:pPr>
        <w:spacing w:before="120" w:after="0" w:line="240" w:lineRule="auto"/>
        <w:ind w:firstLine="720"/>
        <w:jc w:val="both"/>
        <w:rPr>
          <w:rFonts w:cs="Times New Roman"/>
          <w:szCs w:val="24"/>
        </w:rPr>
      </w:pPr>
      <w:r>
        <w:rPr>
          <w:rFonts w:cs="Times New Roman"/>
          <w:szCs w:val="24"/>
        </w:rPr>
        <w:t>Ziņojuma struktūra veidota, nodrošinot iespēju novērtēt konkrētu struktūrvienības darbu, kā arī nodrošinot iespēju to salīdzināt pēc teritoriālā iedalījuma valstī. Savukārt nākamā gada darbības prioritātes noteiktas, ņemot vērā iesākto prokuratūras struktūrvienību reorganizāciju, nodrošinot efektīvāku prokuroru darbu, sevišķi attiecībā uz valsts amatpersonu izdarīto noziedzīgo nodarījumu, finanšu un ekonomisko noziedzīgo nodarījumu, tajā skaitā uz noziedzīgi iegūtu līdzekļu legalizāciju un korupciju, izmeklēšanu.</w:t>
      </w:r>
    </w:p>
    <w:p w14:paraId="6F33281E" w14:textId="77777777" w:rsidR="001A21AA" w:rsidRDefault="001A21AA" w:rsidP="001A21AA">
      <w:pPr>
        <w:tabs>
          <w:tab w:val="left" w:leader="dot" w:pos="8505"/>
        </w:tabs>
        <w:spacing w:before="120" w:after="0" w:line="240" w:lineRule="auto"/>
        <w:jc w:val="both"/>
        <w:rPr>
          <w:rFonts w:cs="Times New Roman"/>
          <w:szCs w:val="24"/>
        </w:rPr>
      </w:pPr>
      <w:r>
        <w:rPr>
          <w:rFonts w:cs="Times New Roman"/>
          <w:szCs w:val="24"/>
        </w:rPr>
        <w:t xml:space="preserve">Dura </w:t>
      </w:r>
      <w:proofErr w:type="spellStart"/>
      <w:r>
        <w:rPr>
          <w:rFonts w:cs="Times New Roman"/>
          <w:szCs w:val="24"/>
        </w:rPr>
        <w:t>lex</w:t>
      </w:r>
      <w:proofErr w:type="spellEnd"/>
      <w:r>
        <w:rPr>
          <w:rFonts w:cs="Times New Roman"/>
          <w:szCs w:val="24"/>
        </w:rPr>
        <w:t xml:space="preserve">, </w:t>
      </w:r>
      <w:proofErr w:type="spellStart"/>
      <w:r>
        <w:rPr>
          <w:rFonts w:cs="Times New Roman"/>
          <w:szCs w:val="24"/>
        </w:rPr>
        <w:t>sed</w:t>
      </w:r>
      <w:proofErr w:type="spellEnd"/>
      <w:r>
        <w:rPr>
          <w:rFonts w:cs="Times New Roman"/>
          <w:szCs w:val="24"/>
        </w:rPr>
        <w:t xml:space="preserve"> </w:t>
      </w:r>
      <w:proofErr w:type="spellStart"/>
      <w:r>
        <w:rPr>
          <w:rFonts w:cs="Times New Roman"/>
          <w:szCs w:val="24"/>
        </w:rPr>
        <w:t>lex</w:t>
      </w:r>
      <w:proofErr w:type="spellEnd"/>
      <w:r>
        <w:rPr>
          <w:rFonts w:cs="Times New Roman"/>
          <w:szCs w:val="24"/>
        </w:rPr>
        <w:t>!</w:t>
      </w:r>
    </w:p>
    <w:p w14:paraId="1896F6FE" w14:textId="5FE7CBFD" w:rsidR="00A874ED" w:rsidRDefault="001A21AA" w:rsidP="001A21AA">
      <w:pPr>
        <w:tabs>
          <w:tab w:val="left" w:leader="dot" w:pos="8505"/>
        </w:tabs>
        <w:spacing w:after="0" w:line="240" w:lineRule="auto"/>
        <w:jc w:val="both"/>
        <w:rPr>
          <w:rFonts w:cs="Times New Roman"/>
          <w:szCs w:val="24"/>
        </w:rPr>
      </w:pPr>
      <w:r>
        <w:rPr>
          <w:rFonts w:cs="Times New Roman"/>
          <w:szCs w:val="24"/>
        </w:rPr>
        <w:t>(Likums ir bargs, bet tas ir likums!)</w:t>
      </w:r>
    </w:p>
    <w:p w14:paraId="5A899063" w14:textId="77777777" w:rsidR="00A874ED" w:rsidRDefault="00A874ED">
      <w:pPr>
        <w:rPr>
          <w:rFonts w:cs="Times New Roman"/>
          <w:szCs w:val="24"/>
        </w:rPr>
      </w:pPr>
      <w:r>
        <w:rPr>
          <w:rFonts w:cs="Times New Roman"/>
          <w:szCs w:val="24"/>
        </w:rPr>
        <w:br w:type="page"/>
      </w:r>
    </w:p>
    <w:p w14:paraId="411D268B" w14:textId="77777777" w:rsidR="00C41BD0" w:rsidRDefault="00C41BD0" w:rsidP="00C41BD0">
      <w:pPr>
        <w:spacing w:after="0" w:line="240" w:lineRule="auto"/>
        <w:jc w:val="center"/>
        <w:rPr>
          <w:b/>
          <w:bCs/>
          <w:sz w:val="32"/>
          <w:szCs w:val="32"/>
        </w:rPr>
      </w:pPr>
      <w:bookmarkStart w:id="3" w:name="_Hlk64718200"/>
      <w:bookmarkStart w:id="4" w:name="_Hlk63694566"/>
      <w:bookmarkStart w:id="5" w:name="_Hlk63691390"/>
      <w:bookmarkStart w:id="6" w:name="_Hlk64537264"/>
      <w:bookmarkEnd w:id="3"/>
      <w:r w:rsidRPr="00E546F4">
        <w:rPr>
          <w:b/>
          <w:bCs/>
          <w:sz w:val="32"/>
          <w:szCs w:val="32"/>
        </w:rPr>
        <w:lastRenderedPageBreak/>
        <w:t xml:space="preserve">Prokuratūras </w:t>
      </w:r>
      <w:r>
        <w:rPr>
          <w:b/>
          <w:bCs/>
          <w:sz w:val="32"/>
          <w:szCs w:val="32"/>
        </w:rPr>
        <w:t xml:space="preserve">galvenie </w:t>
      </w:r>
      <w:r w:rsidRPr="00E546F4">
        <w:rPr>
          <w:b/>
          <w:bCs/>
          <w:sz w:val="32"/>
          <w:szCs w:val="32"/>
        </w:rPr>
        <w:t xml:space="preserve">darba statistiskie rādītāji </w:t>
      </w:r>
    </w:p>
    <w:p w14:paraId="165C6D51" w14:textId="31E6319A" w:rsidR="00C41BD0" w:rsidRDefault="00C41BD0" w:rsidP="00C41BD0">
      <w:pPr>
        <w:spacing w:after="0" w:line="240" w:lineRule="auto"/>
        <w:jc w:val="center"/>
        <w:rPr>
          <w:b/>
          <w:bCs/>
          <w:sz w:val="32"/>
          <w:szCs w:val="32"/>
        </w:rPr>
      </w:pPr>
      <w:r>
        <w:rPr>
          <w:b/>
          <w:bCs/>
          <w:sz w:val="32"/>
          <w:szCs w:val="32"/>
        </w:rPr>
        <w:t>krimināltiesiskā jomā</w:t>
      </w:r>
      <w:r w:rsidR="007B5D06">
        <w:rPr>
          <w:b/>
          <w:bCs/>
          <w:sz w:val="32"/>
          <w:szCs w:val="32"/>
        </w:rPr>
        <w:t xml:space="preserve"> valstī kopumā</w:t>
      </w:r>
    </w:p>
    <w:p w14:paraId="72DA6AE1" w14:textId="77777777" w:rsidR="00C41BD0" w:rsidRDefault="00C41BD0" w:rsidP="00C41BD0">
      <w:pPr>
        <w:spacing w:after="0" w:line="240" w:lineRule="auto"/>
        <w:jc w:val="center"/>
        <w:rPr>
          <w:b/>
          <w:bCs/>
          <w:sz w:val="32"/>
          <w:szCs w:val="32"/>
        </w:rPr>
      </w:pPr>
      <w:r w:rsidRPr="00E546F4">
        <w:rPr>
          <w:b/>
          <w:bCs/>
          <w:sz w:val="32"/>
          <w:szCs w:val="32"/>
        </w:rPr>
        <w:t>(salīdzinājums 3 gadu periodā)</w:t>
      </w:r>
    </w:p>
    <w:p w14:paraId="6BDF3DA5" w14:textId="77777777" w:rsidR="00C41BD0" w:rsidRPr="00DD5703" w:rsidRDefault="00C41BD0" w:rsidP="00C41BD0">
      <w:pPr>
        <w:spacing w:after="0" w:line="240" w:lineRule="auto"/>
        <w:jc w:val="center"/>
        <w:rPr>
          <w:b/>
          <w:bCs/>
          <w:sz w:val="28"/>
          <w:szCs w:val="28"/>
        </w:rPr>
      </w:pPr>
    </w:p>
    <w:p w14:paraId="123DA79C" w14:textId="289752F8" w:rsidR="00C41BD0" w:rsidRDefault="00C41BD0" w:rsidP="00860388">
      <w:pPr>
        <w:spacing w:after="0" w:line="240" w:lineRule="auto"/>
        <w:jc w:val="center"/>
        <w:rPr>
          <w:b/>
          <w:bCs/>
          <w:sz w:val="28"/>
          <w:szCs w:val="24"/>
        </w:rPr>
      </w:pPr>
      <w:r>
        <w:rPr>
          <w:noProof/>
        </w:rPr>
        <w:drawing>
          <wp:inline distT="0" distB="0" distL="0" distR="0" wp14:anchorId="6ACA0BBF" wp14:editId="0B7706E7">
            <wp:extent cx="5022850" cy="1615440"/>
            <wp:effectExtent l="0" t="0" r="6350" b="381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056C205" w14:textId="77777777" w:rsidR="00860388" w:rsidRDefault="00860388" w:rsidP="00860388">
      <w:pPr>
        <w:spacing w:after="0" w:line="240" w:lineRule="auto"/>
        <w:jc w:val="center"/>
        <w:rPr>
          <w:b/>
          <w:bCs/>
          <w:sz w:val="28"/>
          <w:szCs w:val="24"/>
        </w:rPr>
      </w:pPr>
    </w:p>
    <w:p w14:paraId="390EAFB6" w14:textId="7408CDF5" w:rsidR="00C41BD0" w:rsidRDefault="00C41BD0" w:rsidP="00860388">
      <w:pPr>
        <w:spacing w:after="0"/>
        <w:jc w:val="center"/>
      </w:pPr>
      <w:r>
        <w:rPr>
          <w:noProof/>
        </w:rPr>
        <w:drawing>
          <wp:inline distT="0" distB="0" distL="0" distR="0" wp14:anchorId="5CEBCC0E" wp14:editId="0FB476AA">
            <wp:extent cx="5023023" cy="1519844"/>
            <wp:effectExtent l="0" t="0" r="6350" b="444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0D23634" w14:textId="77777777" w:rsidR="00860388" w:rsidRDefault="00860388" w:rsidP="00834C8B">
      <w:pPr>
        <w:spacing w:after="0" w:line="240" w:lineRule="auto"/>
        <w:jc w:val="both"/>
      </w:pPr>
    </w:p>
    <w:p w14:paraId="205BA6B9" w14:textId="435FB534" w:rsidR="00C41BD0" w:rsidRDefault="00C41BD0" w:rsidP="00CE0CF1">
      <w:pPr>
        <w:spacing w:after="0" w:line="240" w:lineRule="auto"/>
        <w:ind w:firstLine="720"/>
        <w:jc w:val="both"/>
      </w:pPr>
      <w:r>
        <w:t>Kopš 2014.</w:t>
      </w:r>
      <w:r w:rsidR="00860388">
        <w:t> </w:t>
      </w:r>
      <w:r>
        <w:t>gada valstī turpinās reģistrēto noziedzīgo nodarījumu skaita samazinājums. Līdz ar to samazinās arī uzsākto kriminālprocesu skaits. 2020.</w:t>
      </w:r>
      <w:r w:rsidR="00860388">
        <w:t> </w:t>
      </w:r>
      <w:r>
        <w:t>gadā kopumā uzsākti 36</w:t>
      </w:r>
      <w:r w:rsidR="00860388">
        <w:t> </w:t>
      </w:r>
      <w:r>
        <w:t>756</w:t>
      </w:r>
      <w:r w:rsidR="00860388">
        <w:t> </w:t>
      </w:r>
      <w:r>
        <w:t>kriminālprocesi, kurus prokurori pieņēmuši uzraudzībā un kuros tiek izmeklēti 38</w:t>
      </w:r>
      <w:r w:rsidR="00860388">
        <w:t> </w:t>
      </w:r>
      <w:r>
        <w:t>767</w:t>
      </w:r>
      <w:r w:rsidR="00860388">
        <w:t> </w:t>
      </w:r>
      <w:r>
        <w:t>noziedzīgi nodarījumi. Izskatot fizisku un juridisku personu iesniegumus un sūdzības, atceļot lēmumus par atteikšanos uzsākt kriminālprocesu, sadalot kriminālprocesus (vienlaicīgi uzsākot jaunu), 2020.</w:t>
      </w:r>
      <w:r w:rsidR="00860388">
        <w:t> </w:t>
      </w:r>
      <w:r>
        <w:t>gadā prokuratūrā uzsākti 584</w:t>
      </w:r>
      <w:r w:rsidR="00860388">
        <w:t> </w:t>
      </w:r>
      <w:r>
        <w:t xml:space="preserve">kriminālprocesi. </w:t>
      </w:r>
    </w:p>
    <w:p w14:paraId="49B7752A" w14:textId="77777777" w:rsidR="00DD5703" w:rsidRDefault="00DD5703" w:rsidP="00834C8B">
      <w:pPr>
        <w:spacing w:after="0" w:line="240" w:lineRule="auto"/>
      </w:pPr>
    </w:p>
    <w:p w14:paraId="7717D32E" w14:textId="3955A5FF" w:rsidR="00C41BD0" w:rsidRDefault="00C41BD0" w:rsidP="00834C8B">
      <w:pPr>
        <w:spacing w:after="0"/>
        <w:jc w:val="center"/>
      </w:pPr>
      <w:r>
        <w:rPr>
          <w:noProof/>
        </w:rPr>
        <w:drawing>
          <wp:inline distT="0" distB="0" distL="0" distR="0" wp14:anchorId="677CFDEE" wp14:editId="08E3F46E">
            <wp:extent cx="4965700" cy="1623060"/>
            <wp:effectExtent l="0" t="0" r="6350" b="15240"/>
            <wp:docPr id="133" name="Chart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5CDEB60" w14:textId="77777777" w:rsidR="00834C8B" w:rsidRDefault="00834C8B" w:rsidP="00834C8B">
      <w:pPr>
        <w:spacing w:after="0" w:line="240" w:lineRule="auto"/>
        <w:jc w:val="both"/>
      </w:pPr>
    </w:p>
    <w:p w14:paraId="22CCFA28" w14:textId="61E83706" w:rsidR="00E670E0" w:rsidRPr="00860388" w:rsidRDefault="00C41BD0" w:rsidP="00E670E0">
      <w:pPr>
        <w:spacing w:after="0" w:line="240" w:lineRule="auto"/>
        <w:jc w:val="both"/>
        <w:rPr>
          <w:rFonts w:eastAsia="Times New Roman"/>
          <w:szCs w:val="24"/>
          <w:lang w:eastAsia="lv-LV"/>
        </w:rPr>
      </w:pPr>
      <w:r>
        <w:tab/>
      </w:r>
      <w:r w:rsidRPr="00860388">
        <w:rPr>
          <w:szCs w:val="24"/>
        </w:rPr>
        <w:t>Analizējot statistiku, redzams, ka</w:t>
      </w:r>
      <w:r w:rsidR="008530D0">
        <w:rPr>
          <w:szCs w:val="24"/>
        </w:rPr>
        <w:t>,</w:t>
      </w:r>
      <w:r w:rsidRPr="00860388">
        <w:rPr>
          <w:szCs w:val="24"/>
        </w:rPr>
        <w:t xml:space="preserve"> lai arī turpin</w:t>
      </w:r>
      <w:r w:rsidR="008530D0">
        <w:rPr>
          <w:szCs w:val="24"/>
        </w:rPr>
        <w:t>a</w:t>
      </w:r>
      <w:r w:rsidRPr="00860388">
        <w:rPr>
          <w:szCs w:val="24"/>
        </w:rPr>
        <w:t xml:space="preserve"> samazināties to materiālu skaits, kuros pēc prokuroru iniciatīvas pārbaudīta lēmumu par atteikšanos uzsākt kriminālprocesu likumīb</w:t>
      </w:r>
      <w:r w:rsidR="006B44E4">
        <w:rPr>
          <w:szCs w:val="24"/>
        </w:rPr>
        <w:t>a</w:t>
      </w:r>
      <w:r w:rsidRPr="00860388">
        <w:rPr>
          <w:szCs w:val="24"/>
        </w:rPr>
        <w:t xml:space="preserve">, tas joprojām ir liels. Pārbaudīto materiālu skaita samazinājums daļēji skaidrojams </w:t>
      </w:r>
      <w:r w:rsidRPr="00860388">
        <w:rPr>
          <w:rFonts w:eastAsia="Times New Roman"/>
          <w:szCs w:val="24"/>
          <w:lang w:eastAsia="lv-LV"/>
        </w:rPr>
        <w:t>ar to, ka būtiski pieaug to gadījumu skaits, kad ar prokurora piekrišanu (prokurors jau pirms lēmuma pieņemšanas iesaistās materiāla pārbaudē) atteikts uzsākt kriminālprocesu par maznozīmīg</w:t>
      </w:r>
      <w:r w:rsidR="008530D0">
        <w:rPr>
          <w:rFonts w:eastAsia="Times New Roman"/>
          <w:szCs w:val="24"/>
          <w:lang w:eastAsia="lv-LV"/>
        </w:rPr>
        <w:t>u</w:t>
      </w:r>
      <w:r w:rsidRPr="00860388">
        <w:rPr>
          <w:rFonts w:eastAsia="Times New Roman"/>
          <w:szCs w:val="24"/>
          <w:lang w:eastAsia="lv-LV"/>
        </w:rPr>
        <w:t xml:space="preserve"> noziedzīg</w:t>
      </w:r>
      <w:r w:rsidR="008530D0">
        <w:rPr>
          <w:rFonts w:eastAsia="Times New Roman"/>
          <w:szCs w:val="24"/>
          <w:lang w:eastAsia="lv-LV"/>
        </w:rPr>
        <w:t>u</w:t>
      </w:r>
      <w:r w:rsidRPr="00860388">
        <w:rPr>
          <w:rFonts w:eastAsia="Times New Roman"/>
          <w:szCs w:val="24"/>
          <w:lang w:eastAsia="lv-LV"/>
        </w:rPr>
        <w:t xml:space="preserve"> nodarījum</w:t>
      </w:r>
      <w:r w:rsidR="006B44E4">
        <w:rPr>
          <w:rFonts w:eastAsia="Times New Roman"/>
          <w:szCs w:val="24"/>
          <w:lang w:eastAsia="lv-LV"/>
        </w:rPr>
        <w:t>u</w:t>
      </w:r>
      <w:r w:rsidRPr="00860388">
        <w:rPr>
          <w:rFonts w:eastAsia="Times New Roman"/>
          <w:szCs w:val="24"/>
          <w:lang w:eastAsia="lv-LV"/>
        </w:rPr>
        <w:t xml:space="preserve"> (2020.</w:t>
      </w:r>
      <w:r w:rsidR="00E670E0">
        <w:rPr>
          <w:rFonts w:eastAsia="Times New Roman"/>
          <w:szCs w:val="24"/>
          <w:lang w:eastAsia="lv-LV"/>
        </w:rPr>
        <w:t> </w:t>
      </w:r>
      <w:r w:rsidRPr="00860388">
        <w:rPr>
          <w:rFonts w:eastAsia="Times New Roman"/>
          <w:szCs w:val="24"/>
          <w:lang w:eastAsia="lv-LV"/>
        </w:rPr>
        <w:t>gadā šādi lēmumi pieņemti 3434</w:t>
      </w:r>
      <w:r w:rsidR="00E670E0">
        <w:rPr>
          <w:rFonts w:eastAsia="Times New Roman"/>
          <w:szCs w:val="24"/>
          <w:lang w:eastAsia="lv-LV"/>
        </w:rPr>
        <w:t> </w:t>
      </w:r>
      <w:r w:rsidRPr="00860388">
        <w:rPr>
          <w:rFonts w:eastAsia="Times New Roman"/>
          <w:szCs w:val="24"/>
          <w:lang w:eastAsia="lv-LV"/>
        </w:rPr>
        <w:t>gadījumos, savukārt 2019.</w:t>
      </w:r>
      <w:r w:rsidR="00E670E0">
        <w:rPr>
          <w:rFonts w:eastAsia="Times New Roman"/>
          <w:szCs w:val="24"/>
          <w:lang w:eastAsia="lv-LV"/>
        </w:rPr>
        <w:t> </w:t>
      </w:r>
      <w:r w:rsidRPr="00860388">
        <w:rPr>
          <w:rFonts w:eastAsia="Times New Roman"/>
          <w:szCs w:val="24"/>
          <w:lang w:eastAsia="lv-LV"/>
        </w:rPr>
        <w:t>gadā – 2637, bet 2018.</w:t>
      </w:r>
      <w:r w:rsidR="00E670E0">
        <w:rPr>
          <w:rFonts w:eastAsia="Times New Roman"/>
          <w:szCs w:val="24"/>
          <w:lang w:eastAsia="lv-LV"/>
        </w:rPr>
        <w:t> </w:t>
      </w:r>
      <w:r w:rsidRPr="00860388">
        <w:rPr>
          <w:rFonts w:eastAsia="Times New Roman"/>
          <w:szCs w:val="24"/>
          <w:lang w:eastAsia="lv-LV"/>
        </w:rPr>
        <w:t>gadā - 2031).</w:t>
      </w:r>
    </w:p>
    <w:p w14:paraId="7C36EB31" w14:textId="5E1921E0" w:rsidR="00C41BD0" w:rsidRDefault="00C41BD0" w:rsidP="00FB44FB">
      <w:pPr>
        <w:spacing w:after="0" w:line="240" w:lineRule="auto"/>
        <w:jc w:val="both"/>
        <w:rPr>
          <w:rFonts w:eastAsia="Times New Roman"/>
          <w:szCs w:val="24"/>
          <w:lang w:eastAsia="lv-LV"/>
        </w:rPr>
      </w:pPr>
      <w:r w:rsidRPr="00860388">
        <w:rPr>
          <w:rFonts w:eastAsia="Times New Roman"/>
          <w:szCs w:val="24"/>
          <w:lang w:eastAsia="lv-LV"/>
        </w:rPr>
        <w:tab/>
        <w:t>Trīs gadu periodā turpina samazināties to gadījumu skaits, kad</w:t>
      </w:r>
      <w:r w:rsidR="00E670E0">
        <w:rPr>
          <w:rFonts w:eastAsia="Times New Roman"/>
          <w:szCs w:val="24"/>
          <w:lang w:eastAsia="lv-LV"/>
        </w:rPr>
        <w:t>,</w:t>
      </w:r>
      <w:r w:rsidRPr="00860388">
        <w:rPr>
          <w:rFonts w:eastAsia="Times New Roman"/>
          <w:szCs w:val="24"/>
          <w:lang w:eastAsia="lv-LV"/>
        </w:rPr>
        <w:t xml:space="preserve"> pārbaudot lēmumu par atteikšanos uzsākt kriminālprocesu, t</w:t>
      </w:r>
      <w:r w:rsidR="008530D0">
        <w:rPr>
          <w:rFonts w:eastAsia="Times New Roman"/>
          <w:szCs w:val="24"/>
          <w:lang w:eastAsia="lv-LV"/>
        </w:rPr>
        <w:t>as</w:t>
      </w:r>
      <w:r w:rsidRPr="00860388">
        <w:rPr>
          <w:rFonts w:eastAsia="Times New Roman"/>
          <w:szCs w:val="24"/>
          <w:lang w:eastAsia="lv-LV"/>
        </w:rPr>
        <w:t xml:space="preserve"> tiek atcelt</w:t>
      </w:r>
      <w:r w:rsidR="008530D0">
        <w:rPr>
          <w:rFonts w:eastAsia="Times New Roman"/>
          <w:szCs w:val="24"/>
          <w:lang w:eastAsia="lv-LV"/>
        </w:rPr>
        <w:t>s</w:t>
      </w:r>
      <w:r w:rsidRPr="00860388">
        <w:rPr>
          <w:rFonts w:eastAsia="Times New Roman"/>
          <w:szCs w:val="24"/>
          <w:lang w:eastAsia="lv-LV"/>
        </w:rPr>
        <w:t xml:space="preserve">. Izskatot sūdzības vai pārbaudot atteikuma </w:t>
      </w:r>
      <w:r w:rsidRPr="00860388">
        <w:rPr>
          <w:rFonts w:eastAsia="Times New Roman"/>
          <w:szCs w:val="24"/>
          <w:lang w:eastAsia="lv-LV"/>
        </w:rPr>
        <w:lastRenderedPageBreak/>
        <w:t>materiālus pēc savas iniciatīvas</w:t>
      </w:r>
      <w:r w:rsidR="00A609FB">
        <w:rPr>
          <w:rFonts w:eastAsia="Times New Roman"/>
          <w:szCs w:val="24"/>
          <w:lang w:eastAsia="lv-LV"/>
        </w:rPr>
        <w:t xml:space="preserve"> jeb bez saņemtas sūdzības</w:t>
      </w:r>
      <w:r w:rsidR="00E670E0">
        <w:rPr>
          <w:rFonts w:eastAsia="Times New Roman"/>
          <w:szCs w:val="24"/>
          <w:lang w:eastAsia="lv-LV"/>
        </w:rPr>
        <w:t>,</w:t>
      </w:r>
      <w:r w:rsidRPr="00860388">
        <w:rPr>
          <w:rFonts w:eastAsia="Times New Roman"/>
          <w:szCs w:val="24"/>
          <w:lang w:eastAsia="lv-LV"/>
        </w:rPr>
        <w:t xml:space="preserve"> 2020.</w:t>
      </w:r>
      <w:r w:rsidR="00E670E0">
        <w:rPr>
          <w:rFonts w:eastAsia="Times New Roman"/>
          <w:szCs w:val="24"/>
          <w:lang w:eastAsia="lv-LV"/>
        </w:rPr>
        <w:t> </w:t>
      </w:r>
      <w:r w:rsidRPr="00860388">
        <w:rPr>
          <w:rFonts w:eastAsia="Times New Roman"/>
          <w:szCs w:val="24"/>
          <w:lang w:eastAsia="lv-LV"/>
        </w:rPr>
        <w:t>gadā prokuratūrā atcelti 1565, 2019.</w:t>
      </w:r>
      <w:r w:rsidR="00E670E0">
        <w:rPr>
          <w:rFonts w:eastAsia="Times New Roman"/>
          <w:szCs w:val="24"/>
          <w:lang w:eastAsia="lv-LV"/>
        </w:rPr>
        <w:t> </w:t>
      </w:r>
      <w:r w:rsidRPr="00860388">
        <w:rPr>
          <w:rFonts w:eastAsia="Times New Roman"/>
          <w:szCs w:val="24"/>
          <w:lang w:eastAsia="lv-LV"/>
        </w:rPr>
        <w:t>gadā 2033, bet 2018.</w:t>
      </w:r>
      <w:r w:rsidR="00E670E0">
        <w:rPr>
          <w:rFonts w:eastAsia="Times New Roman"/>
          <w:szCs w:val="24"/>
          <w:lang w:eastAsia="lv-LV"/>
        </w:rPr>
        <w:t> </w:t>
      </w:r>
      <w:r w:rsidRPr="00860388">
        <w:rPr>
          <w:rFonts w:eastAsia="Times New Roman"/>
          <w:szCs w:val="24"/>
          <w:lang w:eastAsia="lv-LV"/>
        </w:rPr>
        <w:t>gadā 2154 izmeklēšanas iestāžu lēmumi</w:t>
      </w:r>
      <w:r w:rsidR="00E670E0">
        <w:rPr>
          <w:rFonts w:eastAsia="Times New Roman"/>
          <w:szCs w:val="24"/>
          <w:lang w:eastAsia="lv-LV"/>
        </w:rPr>
        <w:t>,</w:t>
      </w:r>
      <w:r w:rsidRPr="00860388">
        <w:rPr>
          <w:rFonts w:eastAsia="Times New Roman"/>
          <w:szCs w:val="24"/>
          <w:lang w:eastAsia="lv-LV"/>
        </w:rPr>
        <w:t xml:space="preserve"> ar kuriem atteikts uzsākt kriminālprocesu.</w:t>
      </w:r>
    </w:p>
    <w:p w14:paraId="3C5AD56C" w14:textId="77777777" w:rsidR="00FB44FB" w:rsidRPr="00FB44FB" w:rsidRDefault="00FB44FB" w:rsidP="00FB44FB">
      <w:pPr>
        <w:spacing w:after="0" w:line="240" w:lineRule="auto"/>
        <w:jc w:val="both"/>
        <w:rPr>
          <w:rFonts w:eastAsia="Times New Roman"/>
          <w:szCs w:val="24"/>
          <w:lang w:eastAsia="lv-LV"/>
        </w:rPr>
      </w:pPr>
    </w:p>
    <w:p w14:paraId="61E9A41F" w14:textId="42D267C6" w:rsidR="00C41BD0" w:rsidRDefault="00C41BD0" w:rsidP="00FB44FB">
      <w:pPr>
        <w:spacing w:after="0"/>
        <w:jc w:val="center"/>
      </w:pPr>
      <w:r>
        <w:rPr>
          <w:noProof/>
        </w:rPr>
        <w:drawing>
          <wp:inline distT="0" distB="0" distL="0" distR="0" wp14:anchorId="7D1333EC" wp14:editId="5F0219E8">
            <wp:extent cx="4965700" cy="2415540"/>
            <wp:effectExtent l="0" t="0" r="6350" b="3810"/>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E3E130" w14:textId="77777777" w:rsidR="00FB44FB" w:rsidRDefault="00FB44FB" w:rsidP="00FB44FB">
      <w:pPr>
        <w:spacing w:after="0"/>
        <w:jc w:val="center"/>
      </w:pPr>
    </w:p>
    <w:p w14:paraId="263A9E20" w14:textId="2493D745" w:rsidR="00E71031" w:rsidRDefault="00C41BD0" w:rsidP="00034C36">
      <w:pPr>
        <w:spacing w:after="0" w:line="240" w:lineRule="auto"/>
        <w:ind w:firstLine="720"/>
        <w:jc w:val="both"/>
      </w:pPr>
      <w:r>
        <w:t>2019. – 2020.</w:t>
      </w:r>
      <w:r w:rsidR="00E670E0">
        <w:t> </w:t>
      </w:r>
      <w:r>
        <w:t>gad</w:t>
      </w:r>
      <w:r w:rsidR="00E670E0">
        <w:t>ā</w:t>
      </w:r>
      <w:r>
        <w:t xml:space="preserve"> būtiski pieaudzis prokuroru </w:t>
      </w:r>
      <w:r w:rsidR="008530D0">
        <w:t xml:space="preserve">doto </w:t>
      </w:r>
      <w:r>
        <w:t>norādījumu skaits izmeklēšanas iestādēm kriminālprocesos par veicamajām procesuāl</w:t>
      </w:r>
      <w:r w:rsidR="00E670E0">
        <w:t>aj</w:t>
      </w:r>
      <w:r>
        <w:t xml:space="preserve">ām un izmeklēšanas darbībām. </w:t>
      </w:r>
      <w:r w:rsidRPr="00C03920">
        <w:t>Nolūkā veicināt iespējami ātrāku kriminālprocesu pabeigšanu</w:t>
      </w:r>
      <w:r>
        <w:t>, izpildot ģenerālprokurora rīkojumus par uzraudzības darba pastiprināšanu atsevišķu</w:t>
      </w:r>
      <w:r w:rsidRPr="00C03920">
        <w:t xml:space="preserve"> </w:t>
      </w:r>
      <w:r>
        <w:t>kategoriju lietās (ekonomiskie un koruptīvie noziedzīgie nodarījumi, kriminālprocesi, kuri uzsākti pēc Valsts kontroles materiāliem, kriminālprocesi, kuri ir Ie</w:t>
      </w:r>
      <w:r w:rsidR="00E71031">
        <w:t>kšlietu ministrijas Iekšējā drošības biroja</w:t>
      </w:r>
      <w:r>
        <w:t xml:space="preserve"> lietvedībā,  kuri uzsākti par noziedzīgi iegūtu līdzekļu legalizēšanu u.</w:t>
      </w:r>
      <w:r w:rsidR="00E71031">
        <w:t> </w:t>
      </w:r>
      <w:r>
        <w:t>c.)</w:t>
      </w:r>
      <w:r w:rsidR="008530D0">
        <w:t xml:space="preserve">, </w:t>
      </w:r>
      <w:r>
        <w:t>2020.</w:t>
      </w:r>
      <w:r w:rsidR="00E71031">
        <w:t> </w:t>
      </w:r>
      <w:r>
        <w:t xml:space="preserve">gadā  </w:t>
      </w:r>
      <w:r w:rsidRPr="00C03920">
        <w:t xml:space="preserve">notikušas </w:t>
      </w:r>
      <w:r>
        <w:t>434 (attiecīgi 2019.</w:t>
      </w:r>
      <w:r w:rsidR="00E71031">
        <w:t> </w:t>
      </w:r>
      <w:r>
        <w:t>gadā – 418, 2018.</w:t>
      </w:r>
      <w:r w:rsidR="00E71031">
        <w:t> </w:t>
      </w:r>
      <w:r>
        <w:t xml:space="preserve">gadā – 294) </w:t>
      </w:r>
      <w:r w:rsidRPr="00C03920">
        <w:t xml:space="preserve">apspriedes </w:t>
      </w:r>
      <w:r>
        <w:t xml:space="preserve">ar kriminālprocesu veicošajām amatpersonām (amatā augstāki un uzraugošie prokurori, izmeklētāji, izmeklēšanas iestāžu struktūrvienību vadība) </w:t>
      </w:r>
      <w:r w:rsidRPr="00C03920">
        <w:t>par kriminālprocesu virzību</w:t>
      </w:r>
      <w:r>
        <w:t>.</w:t>
      </w:r>
    </w:p>
    <w:p w14:paraId="43E29D15" w14:textId="63326E10" w:rsidR="00C41BD0" w:rsidRDefault="00C41BD0" w:rsidP="00E71031">
      <w:pPr>
        <w:spacing w:after="0" w:line="240" w:lineRule="auto"/>
        <w:ind w:firstLine="720"/>
        <w:jc w:val="both"/>
      </w:pPr>
      <w:r>
        <w:t>2020.</w:t>
      </w:r>
      <w:r w:rsidR="00E71031">
        <w:t> </w:t>
      </w:r>
      <w:r>
        <w:t xml:space="preserve">gadā būtiski pieaudzis to gadījumu skaits </w:t>
      </w:r>
      <w:r w:rsidR="00591E6F">
        <w:t xml:space="preserve">– </w:t>
      </w:r>
      <w:r>
        <w:t xml:space="preserve">102 </w:t>
      </w:r>
      <w:r w:rsidR="00591E6F">
        <w:t>(</w:t>
      </w:r>
      <w:r>
        <w:t>attiecīgi 2019.</w:t>
      </w:r>
      <w:r w:rsidR="00E71031">
        <w:t> </w:t>
      </w:r>
      <w:r>
        <w:t>gadā – 64, 20</w:t>
      </w:r>
      <w:r w:rsidR="00591E6F">
        <w:t>18.</w:t>
      </w:r>
      <w:r w:rsidR="00E71031">
        <w:t> </w:t>
      </w:r>
      <w:r>
        <w:t>gadā – 69)</w:t>
      </w:r>
      <w:r w:rsidR="00591E6F">
        <w:t xml:space="preserve"> –</w:t>
      </w:r>
      <w:r>
        <w:t>, kad speciālās izmeklēšanas darbības uzsāktas ar prokuror</w:t>
      </w:r>
      <w:r w:rsidR="008530D0">
        <w:t>a</w:t>
      </w:r>
      <w:r>
        <w:t xml:space="preserve"> piekrišanu. Trīs gadu periodā būtiski nav mainījusies statistika par gadījumiem, kad kratīšanas veiktas ar prokurora piekrišanu (2020.</w:t>
      </w:r>
      <w:r w:rsidR="00CE0CF1">
        <w:t> </w:t>
      </w:r>
      <w:r>
        <w:t>gadā</w:t>
      </w:r>
      <w:r w:rsidR="00034C36">
        <w:t xml:space="preserve"> – </w:t>
      </w:r>
      <w:r>
        <w:t>368 gadījumi, 201</w:t>
      </w:r>
      <w:r w:rsidR="00CE0CF1">
        <w:t>9</w:t>
      </w:r>
      <w:r>
        <w:t>.</w:t>
      </w:r>
      <w:r w:rsidR="00CE0CF1">
        <w:t> </w:t>
      </w:r>
      <w:r>
        <w:t>gadā – 396</w:t>
      </w:r>
      <w:r w:rsidR="00034C36">
        <w:t> gadījumi</w:t>
      </w:r>
      <w:r>
        <w:t>, 2018.</w:t>
      </w:r>
      <w:r w:rsidR="00CE0CF1">
        <w:t> </w:t>
      </w:r>
      <w:r>
        <w:t>gadā – 381 gadījums).</w:t>
      </w:r>
      <w:r w:rsidR="00034C36">
        <w:t xml:space="preserve"> </w:t>
      </w:r>
      <w:r w:rsidR="00A609FB">
        <w:t xml:space="preserve">Prokurors lemj par piekrišanas došanu </w:t>
      </w:r>
      <w:r w:rsidR="00BA0226">
        <w:t xml:space="preserve">kratīšanas izdarīšanai </w:t>
      </w:r>
      <w:r w:rsidR="007066D0">
        <w:t xml:space="preserve">tikai neatliekamos </w:t>
      </w:r>
      <w:r w:rsidR="00A609FB">
        <w:t>gadījumos, kad</w:t>
      </w:r>
      <w:r w:rsidR="007066D0">
        <w:t xml:space="preserve"> novilcināšanas dēļ meklējamie priekšmeti vai dokumenti var tikt iznīcināti, noslēpti vai sabojāti vai arī meklējamā persona var aizbēgt.</w:t>
      </w:r>
    </w:p>
    <w:p w14:paraId="0E5C6CBC" w14:textId="744C74F7" w:rsidR="00C41BD0" w:rsidRDefault="00C41BD0" w:rsidP="00CD5330">
      <w:pPr>
        <w:spacing w:after="0" w:line="240" w:lineRule="auto"/>
        <w:ind w:firstLine="720"/>
        <w:jc w:val="both"/>
      </w:pPr>
      <w:r>
        <w:t>2020.</w:t>
      </w:r>
      <w:r w:rsidR="00CE0CF1">
        <w:t> </w:t>
      </w:r>
      <w:r>
        <w:t>gadā virsprokurori pieņēmuši 1636</w:t>
      </w:r>
      <w:r w:rsidR="00CE0CF1">
        <w:t> </w:t>
      </w:r>
      <w:r>
        <w:t>lēmumus par kriminālprocesu apvienošanu. 2019.</w:t>
      </w:r>
      <w:r w:rsidR="00CE0CF1">
        <w:t> </w:t>
      </w:r>
      <w:r>
        <w:t>gadā pieņemti 1630, bet 2018.</w:t>
      </w:r>
      <w:r w:rsidR="00CE0CF1">
        <w:t> </w:t>
      </w:r>
      <w:r>
        <w:t>gadā</w:t>
      </w:r>
      <w:r w:rsidR="008530D0">
        <w:t xml:space="preserve"> – </w:t>
      </w:r>
      <w:r>
        <w:t>1555</w:t>
      </w:r>
      <w:r w:rsidR="00CE0CF1">
        <w:t> </w:t>
      </w:r>
      <w:r>
        <w:t>šādi lēmumi.</w:t>
      </w:r>
    </w:p>
    <w:p w14:paraId="7B6B301E" w14:textId="77777777" w:rsidR="00CD5330" w:rsidRDefault="00CD5330" w:rsidP="00CD5330">
      <w:pPr>
        <w:spacing w:after="0" w:line="240" w:lineRule="auto"/>
        <w:ind w:firstLine="720"/>
        <w:jc w:val="both"/>
      </w:pPr>
    </w:p>
    <w:p w14:paraId="0AC417E1" w14:textId="0956EFCE" w:rsidR="00C41BD0" w:rsidRDefault="00C41BD0" w:rsidP="00FB44FB">
      <w:pPr>
        <w:spacing w:after="0"/>
        <w:jc w:val="center"/>
      </w:pPr>
      <w:r>
        <w:rPr>
          <w:noProof/>
        </w:rPr>
        <w:drawing>
          <wp:inline distT="0" distB="0" distL="0" distR="0" wp14:anchorId="1633C98F" wp14:editId="4E87E6BB">
            <wp:extent cx="4993640" cy="1714500"/>
            <wp:effectExtent l="0" t="0" r="16510" b="0"/>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73A5F2A" w14:textId="77777777" w:rsidR="00FB44FB" w:rsidRDefault="00FB44FB" w:rsidP="00FB44FB">
      <w:pPr>
        <w:spacing w:after="0"/>
        <w:jc w:val="center"/>
      </w:pPr>
    </w:p>
    <w:p w14:paraId="1FD4D354" w14:textId="628FD0DE" w:rsidR="00C41BD0" w:rsidRDefault="00C41BD0" w:rsidP="00FB44FB">
      <w:pPr>
        <w:spacing w:after="0" w:line="240" w:lineRule="auto"/>
        <w:ind w:firstLine="720"/>
        <w:jc w:val="both"/>
      </w:pPr>
      <w:r>
        <w:t>Kriminālprocesa likuma 400.</w:t>
      </w:r>
      <w:r w:rsidR="00CE0CF1">
        <w:t> </w:t>
      </w:r>
      <w:r>
        <w:t xml:space="preserve">panta pirmā daļa paredz, ja kriminālprocesā ir veiktas nepieciešamās kriminālprocesuālās darbības un nav izdevies noskaidrot noziedzīgu nodarījumu </w:t>
      </w:r>
      <w:r>
        <w:lastRenderedPageBreak/>
        <w:t>izdarījušo personu, izmeklētājs ar uzraugošā prokurora piekrišanu var pieņemt lēmumu rezolūcijas veidā par kriminālprocesa apturēšanu. Statistika liecina, ka šādi apturētu kriminālprocesu skaits 2019.–2020.</w:t>
      </w:r>
      <w:r w:rsidR="00CE0CF1">
        <w:t> </w:t>
      </w:r>
      <w:r>
        <w:t>gadā būtiski pieaudzis. Minētais izmeklēšanas iestādēm ļauj lielākus resursus veltīt</w:t>
      </w:r>
      <w:r w:rsidR="008530D0">
        <w:t xml:space="preserve"> </w:t>
      </w:r>
      <w:r>
        <w:t>aktīvā izmeklēšanā esoš</w:t>
      </w:r>
      <w:r w:rsidR="008530D0">
        <w:t>aj</w:t>
      </w:r>
      <w:r>
        <w:t>iem kriminālprocesiem.</w:t>
      </w:r>
    </w:p>
    <w:p w14:paraId="7A220DC0" w14:textId="77777777" w:rsidR="00FB44FB" w:rsidRDefault="00FB44FB" w:rsidP="00FB44FB">
      <w:pPr>
        <w:spacing w:after="0" w:line="240" w:lineRule="auto"/>
        <w:ind w:firstLine="720"/>
        <w:jc w:val="both"/>
      </w:pPr>
    </w:p>
    <w:p w14:paraId="42BC0705" w14:textId="0948FD5D" w:rsidR="00C41BD0" w:rsidRDefault="00725C75" w:rsidP="00FB44FB">
      <w:pPr>
        <w:spacing w:after="0"/>
        <w:jc w:val="center"/>
      </w:pPr>
      <w:r>
        <w:rPr>
          <w:noProof/>
        </w:rPr>
        <w:drawing>
          <wp:inline distT="0" distB="0" distL="0" distR="0" wp14:anchorId="502C8E5C" wp14:editId="1EEB99F9">
            <wp:extent cx="4838700" cy="2369820"/>
            <wp:effectExtent l="0" t="0" r="0" b="11430"/>
            <wp:docPr id="227" name="Chart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F5D760A" w14:textId="77777777" w:rsidR="00FB44FB" w:rsidRDefault="00FB44FB" w:rsidP="00FB44FB">
      <w:pPr>
        <w:spacing w:after="0"/>
        <w:jc w:val="center"/>
      </w:pPr>
    </w:p>
    <w:p w14:paraId="42662BEC" w14:textId="0B2C2AE5" w:rsidR="00C41BD0" w:rsidRDefault="00C41BD0" w:rsidP="00034C36">
      <w:pPr>
        <w:spacing w:after="0" w:line="240" w:lineRule="auto"/>
        <w:ind w:firstLine="720"/>
        <w:jc w:val="both"/>
      </w:pPr>
      <w:r>
        <w:t>2020.</w:t>
      </w:r>
      <w:r w:rsidR="00834C8B">
        <w:t> </w:t>
      </w:r>
      <w:r>
        <w:t>gadā prokuratūras struktūrvienības kopumā lietvedībā pieņēmušas 12</w:t>
      </w:r>
      <w:r w:rsidR="006B44E4">
        <w:t> </w:t>
      </w:r>
      <w:r>
        <w:t>73</w:t>
      </w:r>
      <w:r w:rsidR="00A571D2">
        <w:t>4</w:t>
      </w:r>
      <w:r w:rsidR="006B44E4">
        <w:t> </w:t>
      </w:r>
      <w:r>
        <w:t>kriminālprocesus, tajā skaitā no izmeklēšanas iestādēm kriminālvajāšanas uzsākšanai 88</w:t>
      </w:r>
      <w:r w:rsidR="00A571D2">
        <w:t>70</w:t>
      </w:r>
      <w:r>
        <w:t>, atjaunojot 799 agrāk apturētos vai izbeigtos kriminālprocesus. 80 kriminālprocesus prokurori pārņēmuši no izmeklēšanas iestādēm, lai lemtu jautājumu par kriminālvajāšanas uzsākšanu.  2766</w:t>
      </w:r>
      <w:r w:rsidR="008530D0">
        <w:t> </w:t>
      </w:r>
      <w:r>
        <w:t>kriminālprocesi no izmeklēšanas iestādēm saņemti paātrinātā procesa kārtībā, tas ir, ne vēlāk kā 10 dienu laikā vai gadījumos, kad jāveic ekspertīze, ne vēlāk kā 30 dienu laikā no kriminālprocesa uzsākšanas brīža.</w:t>
      </w:r>
    </w:p>
    <w:p w14:paraId="64AFE628" w14:textId="787C1B14" w:rsidR="00C41BD0" w:rsidRDefault="00C41BD0" w:rsidP="00034C36">
      <w:pPr>
        <w:spacing w:after="0" w:line="240" w:lineRule="auto"/>
        <w:ind w:firstLine="720"/>
        <w:jc w:val="both"/>
      </w:pPr>
      <w:r>
        <w:t>Jāatzīmē, ka 2020.</w:t>
      </w:r>
      <w:r w:rsidR="00034C36">
        <w:t> </w:t>
      </w:r>
      <w:r>
        <w:t>gadā turpina samazināties kriminālprocesu skaits, kuri nodoti atpakaļ izmeklēšanas iestādēm izmeklēšanas turpināšanai. 2020.</w:t>
      </w:r>
      <w:r w:rsidR="00034C36">
        <w:t> </w:t>
      </w:r>
      <w:r>
        <w:t>gadā izmeklēšanas iestādēm atgriezts 91</w:t>
      </w:r>
      <w:r w:rsidR="00034C36">
        <w:t> </w:t>
      </w:r>
      <w:r>
        <w:t>kriminālprocess, savukārt 2019.</w:t>
      </w:r>
      <w:r w:rsidR="00034C36">
        <w:t> </w:t>
      </w:r>
      <w:r>
        <w:t>gadā – 136, bet 2018.</w:t>
      </w:r>
      <w:r w:rsidR="00034C36">
        <w:t> </w:t>
      </w:r>
      <w:r>
        <w:t>gadā – 153. Tāpat turpina samazināties kriminālprocesu skaits, kuros atteikta kriminālvajāšana un kriminālprocess izbeigts. 2020.</w:t>
      </w:r>
      <w:r w:rsidR="00034C36">
        <w:t> </w:t>
      </w:r>
      <w:r>
        <w:t>gadā šādu gadījumu skaits – 113, savukārt 2019.</w:t>
      </w:r>
      <w:r w:rsidR="00034C36">
        <w:t> </w:t>
      </w:r>
      <w:r>
        <w:t>gadā – 138, bet 2018.</w:t>
      </w:r>
      <w:r w:rsidR="00034C36">
        <w:t> </w:t>
      </w:r>
      <w:r>
        <w:t xml:space="preserve">gadā – 166. </w:t>
      </w:r>
    </w:p>
    <w:p w14:paraId="4B1D7C2D" w14:textId="308D1CC0" w:rsidR="00C41BD0" w:rsidRDefault="00C41BD0" w:rsidP="00B16982">
      <w:pPr>
        <w:spacing w:after="0" w:line="240" w:lineRule="auto"/>
        <w:ind w:firstLine="720"/>
        <w:jc w:val="both"/>
        <w:rPr>
          <w:rFonts w:cs="Times New Roman"/>
          <w:szCs w:val="24"/>
        </w:rPr>
      </w:pPr>
      <w:r w:rsidRPr="00EA1EEB">
        <w:rPr>
          <w:szCs w:val="24"/>
        </w:rPr>
        <w:t>Kriminālprocesu, kuri saņemti kriminālvajāšanai 2020.</w:t>
      </w:r>
      <w:r w:rsidR="00034C36">
        <w:rPr>
          <w:szCs w:val="24"/>
        </w:rPr>
        <w:t> </w:t>
      </w:r>
      <w:r w:rsidRPr="00EA1EEB">
        <w:rPr>
          <w:szCs w:val="24"/>
        </w:rPr>
        <w:t>gadā, skaita samazinājums skaidrojams ar reģistrēto noziedzīgo nodarījumu (it īpaši</w:t>
      </w:r>
      <w:r>
        <w:rPr>
          <w:szCs w:val="24"/>
        </w:rPr>
        <w:t xml:space="preserve"> kriminālpārkāpumu un </w:t>
      </w:r>
      <w:r w:rsidRPr="00EA1EEB">
        <w:rPr>
          <w:szCs w:val="24"/>
        </w:rPr>
        <w:t>mazāk smagu</w:t>
      </w:r>
      <w:r w:rsidR="006B44E4">
        <w:rPr>
          <w:szCs w:val="24"/>
        </w:rPr>
        <w:t xml:space="preserve"> noziegumu</w:t>
      </w:r>
      <w:r w:rsidRPr="00EA1EEB">
        <w:rPr>
          <w:szCs w:val="24"/>
        </w:rPr>
        <w:t xml:space="preserve">) skaita samazinājumu, </w:t>
      </w:r>
      <w:r w:rsidRPr="00EA1EEB">
        <w:rPr>
          <w:rFonts w:eastAsia="Times New Roman"/>
          <w:szCs w:val="24"/>
          <w:lang w:eastAsia="lv-LV"/>
        </w:rPr>
        <w:t>gan ar citiem objektīviem apstākļiem, piemēram, izmeklēšanas iestādēs rūpīgāk izsvērts kriminālprocesa uzsākšanas pamats,</w:t>
      </w:r>
      <w:r w:rsidRPr="00EA1EEB">
        <w:rPr>
          <w:rFonts w:cs="Times New Roman"/>
          <w:bCs/>
          <w:szCs w:val="24"/>
        </w:rPr>
        <w:t xml:space="preserve"> aktīvāk</w:t>
      </w:r>
      <w:r>
        <w:rPr>
          <w:rFonts w:cs="Times New Roman"/>
          <w:bCs/>
          <w:szCs w:val="24"/>
        </w:rPr>
        <w:t xml:space="preserve"> tiek izmantots</w:t>
      </w:r>
      <w:r w:rsidRPr="00EA1EEB">
        <w:rPr>
          <w:rFonts w:cs="Times New Roman"/>
          <w:bCs/>
          <w:szCs w:val="24"/>
        </w:rPr>
        <w:t xml:space="preserve"> procesuālās ekonomijas instrument</w:t>
      </w:r>
      <w:r>
        <w:rPr>
          <w:rFonts w:cs="Times New Roman"/>
          <w:bCs/>
          <w:szCs w:val="24"/>
        </w:rPr>
        <w:t xml:space="preserve">s </w:t>
      </w:r>
      <w:r w:rsidRPr="00EA1EEB">
        <w:rPr>
          <w:rFonts w:cs="Times New Roman"/>
          <w:bCs/>
          <w:szCs w:val="24"/>
        </w:rPr>
        <w:t>situācijās, kad ar noziedzīgu nodarījumu radītais mantiskais zaudējums ir maznozīmīgs</w:t>
      </w:r>
      <w:r>
        <w:rPr>
          <w:rFonts w:cs="Times New Roman"/>
          <w:bCs/>
          <w:szCs w:val="24"/>
        </w:rPr>
        <w:t xml:space="preserve">, </w:t>
      </w:r>
      <w:r w:rsidRPr="00EA1EEB">
        <w:rPr>
          <w:rFonts w:eastAsia="Times New Roman"/>
          <w:szCs w:val="24"/>
          <w:lang w:eastAsia="lv-LV"/>
        </w:rPr>
        <w:t xml:space="preserve">jo </w:t>
      </w:r>
      <w:r>
        <w:rPr>
          <w:rFonts w:eastAsia="Times New Roman"/>
          <w:szCs w:val="24"/>
          <w:lang w:eastAsia="lv-LV"/>
        </w:rPr>
        <w:t xml:space="preserve">būtiski pieaudzis gadījumu skats, kad </w:t>
      </w:r>
      <w:r w:rsidRPr="00EA1EEB">
        <w:rPr>
          <w:rFonts w:eastAsia="Times New Roman"/>
          <w:szCs w:val="24"/>
          <w:lang w:eastAsia="lv-LV"/>
        </w:rPr>
        <w:t xml:space="preserve">ar prokurora piekrišanu atteikts uzsākt kriminālprocesu par maznozīmīgiem noziedzīgiem nodarījumiem,  </w:t>
      </w:r>
      <w:r w:rsidRPr="00EA1EEB">
        <w:rPr>
          <w:rFonts w:cs="Times New Roman"/>
          <w:szCs w:val="24"/>
        </w:rPr>
        <w:t>kā arī  Covid-19 pandēmijas ietekmi uz savlaicīgu nepieciešamo procesuālo un izmeklēšanas darbību veikšan</w:t>
      </w:r>
      <w:r>
        <w:rPr>
          <w:rFonts w:cs="Times New Roman"/>
          <w:szCs w:val="24"/>
        </w:rPr>
        <w:t>u.</w:t>
      </w:r>
    </w:p>
    <w:p w14:paraId="363F59FB" w14:textId="77777777" w:rsidR="00B16982" w:rsidRDefault="00B16982" w:rsidP="00B16982">
      <w:pPr>
        <w:spacing w:after="0" w:line="240" w:lineRule="auto"/>
        <w:ind w:firstLine="720"/>
        <w:jc w:val="both"/>
        <w:rPr>
          <w:rFonts w:cs="Times New Roman"/>
          <w:szCs w:val="24"/>
        </w:rPr>
      </w:pPr>
    </w:p>
    <w:p w14:paraId="3BE371FB" w14:textId="72A0CAE6" w:rsidR="00B16982" w:rsidRDefault="00B16982" w:rsidP="001D6DC6">
      <w:pPr>
        <w:spacing w:line="240" w:lineRule="auto"/>
        <w:jc w:val="center"/>
        <w:rPr>
          <w:rFonts w:cs="Times New Roman"/>
          <w:szCs w:val="24"/>
        </w:rPr>
      </w:pPr>
      <w:r>
        <w:rPr>
          <w:noProof/>
        </w:rPr>
        <w:lastRenderedPageBreak/>
        <w:drawing>
          <wp:inline distT="0" distB="0" distL="0" distR="0" wp14:anchorId="38891126" wp14:editId="10F719AD">
            <wp:extent cx="4853940" cy="1828800"/>
            <wp:effectExtent l="0" t="0" r="3810" b="0"/>
            <wp:docPr id="228" name="Chart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A2645E4" w14:textId="1FAA6F68" w:rsidR="00FB44FB" w:rsidRDefault="00C41BD0" w:rsidP="00FB44FB">
      <w:pPr>
        <w:spacing w:after="0" w:line="240" w:lineRule="auto"/>
        <w:ind w:firstLine="720"/>
        <w:jc w:val="both"/>
        <w:rPr>
          <w:rFonts w:cs="Times New Roman"/>
          <w:szCs w:val="24"/>
        </w:rPr>
      </w:pPr>
      <w:r>
        <w:rPr>
          <w:rFonts w:cs="Times New Roman"/>
          <w:szCs w:val="24"/>
        </w:rPr>
        <w:t>Vērtējot statistiku trīs gadu griezumā, būtiskas izmaiņas kopā prokuratūrā pabeigt</w:t>
      </w:r>
      <w:r w:rsidR="004009D5">
        <w:rPr>
          <w:rFonts w:cs="Times New Roman"/>
          <w:szCs w:val="24"/>
        </w:rPr>
        <w:t>aj</w:t>
      </w:r>
      <w:r>
        <w:rPr>
          <w:rFonts w:cs="Times New Roman"/>
          <w:szCs w:val="24"/>
        </w:rPr>
        <w:t>os kriminālprocesos nav vērojam</w:t>
      </w:r>
      <w:r w:rsidR="004009D5">
        <w:rPr>
          <w:rFonts w:cs="Times New Roman"/>
          <w:szCs w:val="24"/>
        </w:rPr>
        <w:t>a</w:t>
      </w:r>
      <w:r>
        <w:rPr>
          <w:rFonts w:cs="Times New Roman"/>
          <w:szCs w:val="24"/>
        </w:rPr>
        <w:t>s. Samazinājies tiesai nodo</w:t>
      </w:r>
      <w:r w:rsidR="00034C36">
        <w:rPr>
          <w:rFonts w:cs="Times New Roman"/>
          <w:szCs w:val="24"/>
        </w:rPr>
        <w:t>to</w:t>
      </w:r>
      <w:r>
        <w:rPr>
          <w:rFonts w:cs="Times New Roman"/>
          <w:szCs w:val="24"/>
        </w:rPr>
        <w:t xml:space="preserve"> krim</w:t>
      </w:r>
      <w:r w:rsidR="00034C36">
        <w:rPr>
          <w:rFonts w:cs="Times New Roman"/>
          <w:szCs w:val="24"/>
        </w:rPr>
        <w:t>ināllietu</w:t>
      </w:r>
      <w:r>
        <w:rPr>
          <w:rFonts w:cs="Times New Roman"/>
          <w:szCs w:val="24"/>
        </w:rPr>
        <w:t xml:space="preserve"> skaits, bet pieaudzis prokuratūrā pabeigto kriminālprocesu skaits.</w:t>
      </w:r>
      <w:r w:rsidR="00034C36">
        <w:rPr>
          <w:rFonts w:cs="Times New Roman"/>
          <w:szCs w:val="24"/>
        </w:rPr>
        <w:t xml:space="preserve"> </w:t>
      </w:r>
      <w:r w:rsidR="00636F12">
        <w:rPr>
          <w:rFonts w:cs="Times New Roman"/>
          <w:szCs w:val="24"/>
        </w:rPr>
        <w:t xml:space="preserve">Minētais rādītājs liecina par pozitīvu tendenci – pēc iespējas pabeigt kriminālprocesus prokuratūrā, nesūtot </w:t>
      </w:r>
      <w:r w:rsidR="00C14274">
        <w:rPr>
          <w:rFonts w:cs="Times New Roman"/>
          <w:szCs w:val="24"/>
        </w:rPr>
        <w:t xml:space="preserve">krimināllietas </w:t>
      </w:r>
      <w:r w:rsidR="00636F12">
        <w:rPr>
          <w:rFonts w:cs="Times New Roman"/>
          <w:szCs w:val="24"/>
        </w:rPr>
        <w:t xml:space="preserve">uz tiesu, tādējādi </w:t>
      </w:r>
      <w:r w:rsidR="000A71B6">
        <w:rPr>
          <w:rFonts w:cs="Times New Roman"/>
          <w:szCs w:val="24"/>
        </w:rPr>
        <w:t xml:space="preserve">atslogojot </w:t>
      </w:r>
      <w:r w:rsidR="00636F12">
        <w:rPr>
          <w:rFonts w:cs="Times New Roman"/>
          <w:szCs w:val="24"/>
        </w:rPr>
        <w:t>tiesas darbu.</w:t>
      </w:r>
      <w:r>
        <w:rPr>
          <w:rFonts w:cs="Times New Roman"/>
          <w:szCs w:val="24"/>
        </w:rPr>
        <w:t xml:space="preserve"> Prokuratūrā nepabeigto </w:t>
      </w:r>
      <w:r w:rsidR="00034C36">
        <w:rPr>
          <w:rFonts w:cs="Times New Roman"/>
          <w:szCs w:val="24"/>
        </w:rPr>
        <w:t>kriminālprocesu</w:t>
      </w:r>
      <w:r>
        <w:rPr>
          <w:rFonts w:cs="Times New Roman"/>
          <w:szCs w:val="24"/>
        </w:rPr>
        <w:t xml:space="preserve"> atlikums uz gada beigām 2020.</w:t>
      </w:r>
      <w:r w:rsidR="004009D5">
        <w:rPr>
          <w:rFonts w:cs="Times New Roman"/>
          <w:szCs w:val="24"/>
        </w:rPr>
        <w:t> </w:t>
      </w:r>
      <w:r>
        <w:rPr>
          <w:rFonts w:cs="Times New Roman"/>
          <w:szCs w:val="24"/>
        </w:rPr>
        <w:t>gadā būtiski samazinājies. 2020.</w:t>
      </w:r>
      <w:r w:rsidR="004009D5">
        <w:rPr>
          <w:rFonts w:cs="Times New Roman"/>
          <w:szCs w:val="24"/>
        </w:rPr>
        <w:t> </w:t>
      </w:r>
      <w:r>
        <w:rPr>
          <w:rFonts w:cs="Times New Roman"/>
          <w:szCs w:val="24"/>
        </w:rPr>
        <w:t>gadā nepabeigto</w:t>
      </w:r>
      <w:r w:rsidR="004009D5">
        <w:rPr>
          <w:rFonts w:cs="Times New Roman"/>
          <w:szCs w:val="24"/>
        </w:rPr>
        <w:t xml:space="preserve"> kriminālprocesu</w:t>
      </w:r>
      <w:r>
        <w:rPr>
          <w:rFonts w:cs="Times New Roman"/>
          <w:szCs w:val="24"/>
        </w:rPr>
        <w:t xml:space="preserve"> skaits – 362, savukārt 2019.</w:t>
      </w:r>
      <w:r w:rsidR="004009D5">
        <w:rPr>
          <w:rFonts w:cs="Times New Roman"/>
          <w:szCs w:val="24"/>
        </w:rPr>
        <w:t> </w:t>
      </w:r>
      <w:r>
        <w:rPr>
          <w:rFonts w:cs="Times New Roman"/>
          <w:szCs w:val="24"/>
        </w:rPr>
        <w:t>gadā nepabeigti bija 490 kriminālprocesi, bet 2018.</w:t>
      </w:r>
      <w:r w:rsidR="004009D5">
        <w:rPr>
          <w:rFonts w:cs="Times New Roman"/>
          <w:szCs w:val="24"/>
        </w:rPr>
        <w:t> </w:t>
      </w:r>
      <w:r>
        <w:rPr>
          <w:rFonts w:cs="Times New Roman"/>
          <w:szCs w:val="24"/>
        </w:rPr>
        <w:t xml:space="preserve">gadā </w:t>
      </w:r>
      <w:r w:rsidR="004009D5">
        <w:rPr>
          <w:rFonts w:cs="Times New Roman"/>
          <w:szCs w:val="24"/>
        </w:rPr>
        <w:t xml:space="preserve">– </w:t>
      </w:r>
      <w:r>
        <w:rPr>
          <w:rFonts w:cs="Times New Roman"/>
          <w:szCs w:val="24"/>
        </w:rPr>
        <w:t>486</w:t>
      </w:r>
      <w:r w:rsidR="004009D5">
        <w:rPr>
          <w:rFonts w:cs="Times New Roman"/>
          <w:szCs w:val="24"/>
        </w:rPr>
        <w:t> </w:t>
      </w:r>
      <w:r>
        <w:rPr>
          <w:rFonts w:cs="Times New Roman"/>
          <w:szCs w:val="24"/>
        </w:rPr>
        <w:t xml:space="preserve">kriminālprocesi. </w:t>
      </w:r>
    </w:p>
    <w:p w14:paraId="59C69E76" w14:textId="11ADEA83" w:rsidR="00C41BD0" w:rsidRDefault="00C41BD0" w:rsidP="00FB44FB">
      <w:pPr>
        <w:spacing w:after="0" w:line="240" w:lineRule="auto"/>
        <w:ind w:firstLine="720"/>
        <w:jc w:val="both"/>
        <w:rPr>
          <w:rFonts w:cs="Times New Roman"/>
          <w:szCs w:val="24"/>
        </w:rPr>
      </w:pPr>
    </w:p>
    <w:p w14:paraId="33B9EBA3" w14:textId="580A6719" w:rsidR="00C41BD0" w:rsidRDefault="00C41BD0" w:rsidP="000008BE">
      <w:pPr>
        <w:jc w:val="center"/>
      </w:pPr>
      <w:r w:rsidRPr="00B60716">
        <w:rPr>
          <w:b/>
          <w:bCs/>
          <w:noProof/>
        </w:rPr>
        <w:drawing>
          <wp:inline distT="0" distB="0" distL="0" distR="0" wp14:anchorId="0638FFDD" wp14:editId="0C67A900">
            <wp:extent cx="4797771" cy="2189018"/>
            <wp:effectExtent l="0" t="0" r="3175" b="1905"/>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2BE54F2" w14:textId="03576A8F" w:rsidR="004324A0" w:rsidRDefault="00C41BD0" w:rsidP="000008BE">
      <w:pPr>
        <w:jc w:val="center"/>
      </w:pPr>
      <w:r w:rsidRPr="00B60716">
        <w:rPr>
          <w:noProof/>
        </w:rPr>
        <w:drawing>
          <wp:inline distT="0" distB="0" distL="0" distR="0" wp14:anchorId="028CEF59" wp14:editId="2446FF64">
            <wp:extent cx="4816244" cy="2226426"/>
            <wp:effectExtent l="0" t="0" r="3810" b="254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D0A479" w14:textId="56A0F9FF" w:rsidR="00C41BD0" w:rsidRDefault="00C41BD0" w:rsidP="000008BE">
      <w:pPr>
        <w:spacing w:after="0"/>
        <w:jc w:val="center"/>
      </w:pPr>
      <w:r w:rsidRPr="00B60716">
        <w:rPr>
          <w:noProof/>
        </w:rPr>
        <w:lastRenderedPageBreak/>
        <w:drawing>
          <wp:inline distT="0" distB="0" distL="0" distR="0" wp14:anchorId="2FA45C47" wp14:editId="34693C9E">
            <wp:extent cx="4814397" cy="2182091"/>
            <wp:effectExtent l="0" t="0" r="5715" b="889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8EF8627" w14:textId="77777777" w:rsidR="004324A0" w:rsidRDefault="004324A0" w:rsidP="004324A0">
      <w:pPr>
        <w:spacing w:after="0"/>
        <w:ind w:firstLine="720"/>
        <w:jc w:val="both"/>
      </w:pPr>
    </w:p>
    <w:p w14:paraId="4F4274D2" w14:textId="30F92133" w:rsidR="00C41BD0" w:rsidRDefault="00C41BD0" w:rsidP="00C41BD0">
      <w:pPr>
        <w:pStyle w:val="NoSpacing"/>
        <w:ind w:firstLine="720"/>
        <w:jc w:val="both"/>
      </w:pPr>
      <w:r>
        <w:t>Analizējot trīs gadu rādītājus, redzams, ka 2020.</w:t>
      </w:r>
      <w:r w:rsidR="004324A0">
        <w:t> </w:t>
      </w:r>
      <w:r>
        <w:t>gadā turpināja (attiecībā pret 2018.</w:t>
      </w:r>
      <w:r w:rsidR="004324A0">
        <w:t> </w:t>
      </w:r>
      <w:r>
        <w:t>gadu pieaugums</w:t>
      </w:r>
      <w:r w:rsidR="004324A0">
        <w:t xml:space="preserve"> – </w:t>
      </w:r>
      <w:r>
        <w:t>380 kriminālprocesi) palielināties to kriminālprocesu skaits, kuros prokurori konstatējuši, ka tos var pabeigt</w:t>
      </w:r>
      <w:r w:rsidR="008530D0">
        <w:t xml:space="preserve"> prokuratūrā</w:t>
      </w:r>
      <w:r>
        <w:t xml:space="preserve">, nosakot </w:t>
      </w:r>
      <w:r w:rsidR="008530D0">
        <w:t xml:space="preserve">apsūdzētajai </w:t>
      </w:r>
      <w:r>
        <w:t>personai sodu.</w:t>
      </w:r>
    </w:p>
    <w:p w14:paraId="43888557" w14:textId="3C159AD5" w:rsidR="00C41BD0" w:rsidRDefault="00C41BD0" w:rsidP="00C41BD0">
      <w:pPr>
        <w:pStyle w:val="NoSpacing"/>
        <w:ind w:firstLine="720"/>
        <w:jc w:val="both"/>
      </w:pPr>
      <w:r>
        <w:t xml:space="preserve">Prokurora </w:t>
      </w:r>
      <w:r w:rsidR="00034C36">
        <w:t xml:space="preserve">priekšraksta </w:t>
      </w:r>
      <w:r>
        <w:t>par sodu piemērošanas pamats – persona izdarījusi kriminālpārkāpumu, mazāk smagu noziegumu vai smagu noziegumu, par kuru paredzēts brīvības atņemšanas sods līdz pieciem gadiem, un prokurors, ņemot vērā izdarītā noziedzīg</w:t>
      </w:r>
      <w:r w:rsidR="00034C36">
        <w:t>ā</w:t>
      </w:r>
      <w:r>
        <w:t xml:space="preserve"> nodarījuma raksturu un radīto kaitējumu, personu raksturojošus datus un citus lietas apstākļus, ir guvis pārliecību, ka šai personai nevajadzētu piemērot brīvības atņemšanas sodu, taču to nevar atstāt nesodītu</w:t>
      </w:r>
      <w:r w:rsidR="00105CC7">
        <w:t>.</w:t>
      </w:r>
    </w:p>
    <w:p w14:paraId="67702768" w14:textId="008B23CB" w:rsidR="00C41BD0" w:rsidRDefault="00C41BD0" w:rsidP="00C41BD0">
      <w:pPr>
        <w:pStyle w:val="NoSpacing"/>
        <w:ind w:firstLine="720"/>
        <w:jc w:val="both"/>
      </w:pPr>
      <w:r>
        <w:t>2020.</w:t>
      </w:r>
      <w:r w:rsidR="00105CC7">
        <w:t> </w:t>
      </w:r>
      <w:r>
        <w:t xml:space="preserve">gadā ar prokurora priekšrakstu par sodu pabeigtajos </w:t>
      </w:r>
      <w:r w:rsidR="00034C36">
        <w:t>krimināl</w:t>
      </w:r>
      <w:r>
        <w:t>procesos – 1765</w:t>
      </w:r>
      <w:r w:rsidR="00105CC7">
        <w:t> </w:t>
      </w:r>
      <w:r>
        <w:t>gadījumos personas sodītas ar piespiedu darbu, 189</w:t>
      </w:r>
      <w:r w:rsidR="00105CC7">
        <w:t> </w:t>
      </w:r>
      <w:r>
        <w:t>gadījumos personām piemērots naudas sods, bet 418</w:t>
      </w:r>
      <w:r w:rsidR="00105CC7">
        <w:t> </w:t>
      </w:r>
      <w:r>
        <w:t xml:space="preserve">gadījumos noteikts papildsods – tiesību ierobežošana. </w:t>
      </w:r>
    </w:p>
    <w:p w14:paraId="54A4A196" w14:textId="77777777" w:rsidR="00C41BD0" w:rsidRDefault="00C41BD0" w:rsidP="00C41BD0">
      <w:pPr>
        <w:pStyle w:val="NoSpacing"/>
        <w:ind w:firstLine="720"/>
        <w:jc w:val="both"/>
      </w:pPr>
    </w:p>
    <w:p w14:paraId="0A5EB6B5" w14:textId="110F0FCB" w:rsidR="00105CC7" w:rsidRDefault="00C41BD0" w:rsidP="004038B9">
      <w:pPr>
        <w:jc w:val="center"/>
      </w:pPr>
      <w:r w:rsidRPr="00CA78DE">
        <w:rPr>
          <w:noProof/>
        </w:rPr>
        <w:drawing>
          <wp:inline distT="0" distB="0" distL="0" distR="0" wp14:anchorId="53D4B648" wp14:editId="6B9E5800">
            <wp:extent cx="4879975" cy="2324100"/>
            <wp:effectExtent l="0" t="0" r="15875" b="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9E0AAAE" w14:textId="01B4EFC3" w:rsidR="00105CC7" w:rsidRDefault="00C41BD0" w:rsidP="004038B9">
      <w:pPr>
        <w:jc w:val="center"/>
      </w:pPr>
      <w:r>
        <w:rPr>
          <w:noProof/>
        </w:rPr>
        <w:lastRenderedPageBreak/>
        <w:drawing>
          <wp:inline distT="0" distB="0" distL="0" distR="0" wp14:anchorId="1B33E71F" wp14:editId="3DE0CA44">
            <wp:extent cx="4882746" cy="2303319"/>
            <wp:effectExtent l="0" t="0" r="13335" b="190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DF69B90" w14:textId="7C1D5FB4" w:rsidR="00C41BD0" w:rsidRDefault="00C41BD0" w:rsidP="004038B9">
      <w:pPr>
        <w:spacing w:after="0" w:line="240" w:lineRule="auto"/>
        <w:jc w:val="center"/>
      </w:pPr>
      <w:r>
        <w:rPr>
          <w:noProof/>
        </w:rPr>
        <w:drawing>
          <wp:inline distT="0" distB="0" distL="0" distR="0" wp14:anchorId="0CA5DABF" wp14:editId="5E4E90B1">
            <wp:extent cx="4883785" cy="2311400"/>
            <wp:effectExtent l="0" t="0" r="12065" b="1270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126971A" w14:textId="77777777" w:rsidR="009057C3" w:rsidRDefault="009057C3" w:rsidP="009057C3">
      <w:pPr>
        <w:spacing w:after="0" w:line="240" w:lineRule="auto"/>
        <w:jc w:val="both"/>
      </w:pPr>
    </w:p>
    <w:p w14:paraId="68BAC0D2" w14:textId="7C35B6F2" w:rsidR="00C41BD0" w:rsidRDefault="00C41BD0" w:rsidP="00C41BD0">
      <w:pPr>
        <w:pStyle w:val="NoSpacing"/>
        <w:ind w:firstLine="720"/>
        <w:jc w:val="both"/>
      </w:pPr>
      <w:r>
        <w:t>2020.</w:t>
      </w:r>
      <w:r w:rsidR="007C19B7">
        <w:t> </w:t>
      </w:r>
      <w:r>
        <w:t xml:space="preserve">gadā </w:t>
      </w:r>
      <w:bookmarkStart w:id="7" w:name="_Hlk64865977"/>
      <w:r>
        <w:t>tiesai kopā nodotas 9019</w:t>
      </w:r>
      <w:r w:rsidR="007C19B7">
        <w:t xml:space="preserve"> apsūdzētās </w:t>
      </w:r>
      <w:r>
        <w:t>personas (tajā skaitā 479</w:t>
      </w:r>
      <w:r w:rsidR="007C19B7">
        <w:t> </w:t>
      </w:r>
      <w:r>
        <w:t>nepilngadīgas personas) par 14</w:t>
      </w:r>
      <w:r w:rsidR="008530D0">
        <w:t> </w:t>
      </w:r>
      <w:r>
        <w:t>158</w:t>
      </w:r>
      <w:r w:rsidR="007C19B7">
        <w:t> </w:t>
      </w:r>
      <w:r>
        <w:t>noziedzīgu nodarījumu izdarīšanu.</w:t>
      </w:r>
      <w:bookmarkEnd w:id="7"/>
    </w:p>
    <w:p w14:paraId="5F842C80" w14:textId="607B7B4A" w:rsidR="00C41BD0" w:rsidRDefault="00C41BD0" w:rsidP="00C41BD0">
      <w:pPr>
        <w:pStyle w:val="NoSpacing"/>
        <w:ind w:firstLine="720"/>
        <w:jc w:val="both"/>
      </w:pPr>
      <w:r>
        <w:t>2019.</w:t>
      </w:r>
      <w:r w:rsidR="007C19B7">
        <w:t> </w:t>
      </w:r>
      <w:r>
        <w:t>gadā</w:t>
      </w:r>
      <w:r w:rsidRPr="005D7A9F">
        <w:t xml:space="preserve"> </w:t>
      </w:r>
      <w:r>
        <w:t>tiesai kopā nodotas 9626</w:t>
      </w:r>
      <w:r w:rsidR="007C19B7">
        <w:t xml:space="preserve"> apsūdzētās </w:t>
      </w:r>
      <w:r>
        <w:t>personas (tajā skaitā 507</w:t>
      </w:r>
      <w:r w:rsidR="007C19B7">
        <w:t> </w:t>
      </w:r>
      <w:r>
        <w:t>nepilngadīgas personas) par</w:t>
      </w:r>
      <w:r w:rsidR="007C19B7">
        <w:t> </w:t>
      </w:r>
      <w:r>
        <w:t>14</w:t>
      </w:r>
      <w:r w:rsidR="008530D0">
        <w:t> </w:t>
      </w:r>
      <w:r>
        <w:t>997 noziedzīgu nodarījumu izdarīšanu.</w:t>
      </w:r>
    </w:p>
    <w:p w14:paraId="6CAC2023" w14:textId="42F1144F" w:rsidR="00C41BD0" w:rsidRDefault="00C41BD0" w:rsidP="00C41BD0">
      <w:pPr>
        <w:pStyle w:val="NoSpacing"/>
        <w:ind w:firstLine="720"/>
        <w:jc w:val="both"/>
      </w:pPr>
      <w:r>
        <w:t>2018.</w:t>
      </w:r>
      <w:r w:rsidR="007C19B7">
        <w:t> </w:t>
      </w:r>
      <w:r>
        <w:t>gadā</w:t>
      </w:r>
      <w:r w:rsidRPr="005D7A9F">
        <w:t xml:space="preserve"> </w:t>
      </w:r>
      <w:r>
        <w:t>tiesai kopā nodota 10</w:t>
      </w:r>
      <w:r w:rsidR="007C19B7">
        <w:t> </w:t>
      </w:r>
      <w:r>
        <w:t xml:space="preserve">041 </w:t>
      </w:r>
      <w:r w:rsidR="007C19B7">
        <w:t xml:space="preserve">apsūdzētā </w:t>
      </w:r>
      <w:r>
        <w:t>persona (tajā skaitā 523</w:t>
      </w:r>
      <w:r w:rsidR="007C19B7">
        <w:t> </w:t>
      </w:r>
      <w:r>
        <w:t>nepilngadīgas personas) par 14</w:t>
      </w:r>
      <w:r w:rsidR="007C19B7">
        <w:t> </w:t>
      </w:r>
      <w:r>
        <w:t>666</w:t>
      </w:r>
      <w:r w:rsidR="007C19B7">
        <w:t> </w:t>
      </w:r>
      <w:r>
        <w:t>noziedzīgu nodarījumu izdarīšanu.</w:t>
      </w:r>
    </w:p>
    <w:p w14:paraId="2259BF4D" w14:textId="77777777" w:rsidR="00C41BD0" w:rsidRDefault="00C41BD0" w:rsidP="004038B9">
      <w:pPr>
        <w:spacing w:after="0"/>
        <w:ind w:firstLine="720"/>
        <w:jc w:val="both"/>
      </w:pPr>
    </w:p>
    <w:p w14:paraId="680CA5B1" w14:textId="777EF915" w:rsidR="00C41BD0" w:rsidRDefault="00C41BD0" w:rsidP="004038B9">
      <w:pPr>
        <w:spacing w:after="0"/>
        <w:jc w:val="center"/>
      </w:pPr>
      <w:r>
        <w:rPr>
          <w:noProof/>
        </w:rPr>
        <w:drawing>
          <wp:inline distT="0" distB="0" distL="0" distR="0" wp14:anchorId="210E2964" wp14:editId="3C5EE5E8">
            <wp:extent cx="4926330" cy="1927860"/>
            <wp:effectExtent l="0" t="0" r="7620" b="1524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D269B21" w14:textId="77777777" w:rsidR="009057C3" w:rsidRDefault="009057C3" w:rsidP="009057C3">
      <w:pPr>
        <w:spacing w:after="0"/>
        <w:ind w:firstLine="720"/>
        <w:jc w:val="both"/>
      </w:pPr>
    </w:p>
    <w:p w14:paraId="483D6465" w14:textId="75546CCD" w:rsidR="00C41BD0" w:rsidRDefault="00C41BD0" w:rsidP="00C41BD0">
      <w:pPr>
        <w:pStyle w:val="NoSpacing"/>
        <w:ind w:firstLine="720"/>
        <w:jc w:val="both"/>
      </w:pPr>
      <w:r>
        <w:t>2018.</w:t>
      </w:r>
      <w:r w:rsidR="00A26604">
        <w:t> </w:t>
      </w:r>
      <w:r>
        <w:t xml:space="preserve">gadā </w:t>
      </w:r>
      <w:bookmarkStart w:id="8" w:name="_Hlk64792857"/>
      <w:r>
        <w:t>pirmā</w:t>
      </w:r>
      <w:r w:rsidR="00A26604">
        <w:t>s</w:t>
      </w:r>
      <w:r>
        <w:t xml:space="preserve"> instances tiesā ar nolēmuma taisīšanu izskatītas </w:t>
      </w:r>
      <w:bookmarkEnd w:id="8"/>
      <w:r>
        <w:t>8406</w:t>
      </w:r>
      <w:r w:rsidR="00A26604">
        <w:t> </w:t>
      </w:r>
      <w:r w:rsidR="00034C36">
        <w:t>krimināl</w:t>
      </w:r>
      <w:r>
        <w:t>lietas, tajā skaitā bez pierādījum</w:t>
      </w:r>
      <w:r w:rsidR="00A26604">
        <w:t xml:space="preserve">u </w:t>
      </w:r>
      <w:r>
        <w:t>pārbaudes</w:t>
      </w:r>
      <w:r w:rsidR="00A26604">
        <w:t> </w:t>
      </w:r>
      <w:r>
        <w:t>5327</w:t>
      </w:r>
      <w:r w:rsidR="00A26604">
        <w:t> krimināl</w:t>
      </w:r>
      <w:r>
        <w:t xml:space="preserve">lietas, </w:t>
      </w:r>
      <w:r w:rsidR="00034C36">
        <w:t xml:space="preserve">bet </w:t>
      </w:r>
      <w:r>
        <w:t>1494</w:t>
      </w:r>
      <w:r w:rsidR="00A26604">
        <w:t> krimināl</w:t>
      </w:r>
      <w:r>
        <w:t>lietās apstiprināta vienošanās starp prokuroru un apsūdzēto par vainas atzīšanu un sodu.</w:t>
      </w:r>
    </w:p>
    <w:p w14:paraId="76416283" w14:textId="035F9CF3" w:rsidR="00C41BD0" w:rsidRDefault="00C41BD0" w:rsidP="00C41BD0">
      <w:pPr>
        <w:pStyle w:val="NoSpacing"/>
        <w:ind w:firstLine="720"/>
        <w:jc w:val="both"/>
      </w:pPr>
      <w:r>
        <w:lastRenderedPageBreak/>
        <w:t>2019.</w:t>
      </w:r>
      <w:r w:rsidR="00A26604">
        <w:t> </w:t>
      </w:r>
      <w:r>
        <w:t>gadā pirmā</w:t>
      </w:r>
      <w:r w:rsidR="00A26604">
        <w:t>s</w:t>
      </w:r>
      <w:r>
        <w:t xml:space="preserve"> instances tiesā ar nolēmuma taisīšanu izskatītas 7835</w:t>
      </w:r>
      <w:r w:rsidR="00A26604">
        <w:t> krimināl</w:t>
      </w:r>
      <w:r>
        <w:t>lietas, tajā skaitā bez pierādījumu pārbaudes 4705</w:t>
      </w:r>
      <w:r w:rsidR="00A26604">
        <w:t> krimināl</w:t>
      </w:r>
      <w:r>
        <w:t xml:space="preserve">lietas, </w:t>
      </w:r>
      <w:r w:rsidR="00034C36">
        <w:t xml:space="preserve">bet </w:t>
      </w:r>
      <w:r>
        <w:t>1485</w:t>
      </w:r>
      <w:r w:rsidR="00A26604">
        <w:t> krimināl</w:t>
      </w:r>
      <w:r>
        <w:t>lietās apstiprināta vienošanās starp prokuroru un apsūdzēto par vainas atzīšanu un sodu.</w:t>
      </w:r>
    </w:p>
    <w:p w14:paraId="456D240A" w14:textId="76CB7BD8" w:rsidR="00C41BD0" w:rsidRDefault="00C41BD0" w:rsidP="00C41BD0">
      <w:pPr>
        <w:pStyle w:val="NoSpacing"/>
        <w:ind w:firstLine="720"/>
        <w:jc w:val="both"/>
      </w:pPr>
      <w:r>
        <w:t>2020.</w:t>
      </w:r>
      <w:r w:rsidR="00A26604">
        <w:t> </w:t>
      </w:r>
      <w:r>
        <w:t>gadā pirmā</w:t>
      </w:r>
      <w:r w:rsidR="00A26604">
        <w:t>s</w:t>
      </w:r>
      <w:r>
        <w:t xml:space="preserve"> instances tiesā ar nolēmuma taisīšanu izskatītas 6809</w:t>
      </w:r>
      <w:r w:rsidR="00A26604">
        <w:t> krimināl</w:t>
      </w:r>
      <w:r>
        <w:t>lietas, tajā skaitā bez pierādījumu pārbaudes 4061</w:t>
      </w:r>
      <w:r w:rsidR="00A26604">
        <w:t> krimināl</w:t>
      </w:r>
      <w:r>
        <w:t xml:space="preserve">lieta, </w:t>
      </w:r>
      <w:r w:rsidR="00C14274">
        <w:t xml:space="preserve">bet </w:t>
      </w:r>
      <w:r>
        <w:t>1495</w:t>
      </w:r>
      <w:r w:rsidR="00A26604">
        <w:t> krimināl</w:t>
      </w:r>
      <w:r>
        <w:t>lietās apstiprināta vienošanās starp prokuroru un apsūdzēto par vainas atzīšanu un sodu.</w:t>
      </w:r>
    </w:p>
    <w:p w14:paraId="38DB7845" w14:textId="140AE7C4" w:rsidR="000A71B6" w:rsidRDefault="00A52D50" w:rsidP="00C41BD0">
      <w:pPr>
        <w:pStyle w:val="NoSpacing"/>
        <w:ind w:firstLine="720"/>
        <w:jc w:val="both"/>
      </w:pPr>
      <w:r>
        <w:t>I</w:t>
      </w:r>
      <w:r w:rsidR="000A71B6">
        <w:t xml:space="preserve">epriekš minētie rādītāji </w:t>
      </w:r>
      <w:r w:rsidR="00D106B5">
        <w:t xml:space="preserve">liecina, ka ir tendence </w:t>
      </w:r>
      <w:r w:rsidR="00901F9C">
        <w:t>mazināties krimi</w:t>
      </w:r>
      <w:r w:rsidR="00C14274">
        <w:t>nāllietu</w:t>
      </w:r>
      <w:r w:rsidR="00901F9C">
        <w:t xml:space="preserve"> iztiesāšanai, kas prasa </w:t>
      </w:r>
      <w:r w:rsidR="00115798">
        <w:t xml:space="preserve">liela skaita </w:t>
      </w:r>
      <w:r w:rsidR="00901F9C">
        <w:t>lietas dalībnieku</w:t>
      </w:r>
      <w:r>
        <w:t xml:space="preserve"> personisku</w:t>
      </w:r>
      <w:r w:rsidR="00901F9C">
        <w:t xml:space="preserve"> klātbūtni</w:t>
      </w:r>
      <w:r w:rsidR="00034C36">
        <w:t xml:space="preserve"> tajā</w:t>
      </w:r>
      <w:r w:rsidR="00115798">
        <w:t>, tādējādi ietaupot darba laika resursu.</w:t>
      </w:r>
      <w:r w:rsidR="00901F9C">
        <w:t xml:space="preserve"> Šāda pieeja jāturpina, lai iztiesāšanas laiks tiktu veltīts kriminālprocesiem par sarežģītiem smagiem un sevišķi smagiem noziegumiem.</w:t>
      </w:r>
    </w:p>
    <w:p w14:paraId="070C7591" w14:textId="77777777" w:rsidR="00C41BD0" w:rsidRDefault="00C41BD0" w:rsidP="00C41BD0">
      <w:pPr>
        <w:pStyle w:val="NoSpacing"/>
        <w:ind w:firstLine="720"/>
        <w:jc w:val="both"/>
      </w:pPr>
    </w:p>
    <w:p w14:paraId="0406FEAA" w14:textId="10C36958" w:rsidR="00C41BD0" w:rsidRDefault="00C41BD0" w:rsidP="004038B9">
      <w:pPr>
        <w:spacing w:after="0"/>
        <w:jc w:val="center"/>
      </w:pPr>
      <w:r>
        <w:rPr>
          <w:noProof/>
        </w:rPr>
        <w:drawing>
          <wp:inline distT="0" distB="0" distL="0" distR="0" wp14:anchorId="12775367" wp14:editId="0169FA16">
            <wp:extent cx="4965700" cy="1981200"/>
            <wp:effectExtent l="0" t="0" r="6350" b="0"/>
            <wp:docPr id="152" name="Chart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3AD072C" w14:textId="77777777" w:rsidR="004038B9" w:rsidRDefault="004038B9" w:rsidP="004038B9">
      <w:pPr>
        <w:spacing w:after="0" w:line="240" w:lineRule="auto"/>
        <w:ind w:firstLine="720"/>
        <w:jc w:val="both"/>
      </w:pPr>
    </w:p>
    <w:p w14:paraId="1B648212" w14:textId="46F9B2EE" w:rsidR="00C41BD0" w:rsidRDefault="00C41BD0" w:rsidP="00034C36">
      <w:pPr>
        <w:spacing w:after="0" w:line="240" w:lineRule="auto"/>
        <w:jc w:val="both"/>
      </w:pPr>
      <w:r>
        <w:t>2020.</w:t>
      </w:r>
      <w:r w:rsidR="00A26604">
        <w:t> </w:t>
      </w:r>
      <w:r>
        <w:t xml:space="preserve">gadā kopā izskatīti: </w:t>
      </w:r>
    </w:p>
    <w:p w14:paraId="79DEBCDC" w14:textId="08DD2213" w:rsidR="00C41BD0" w:rsidRDefault="00C41BD0" w:rsidP="00E329FC">
      <w:pPr>
        <w:pStyle w:val="ListParagraph"/>
        <w:numPr>
          <w:ilvl w:val="0"/>
          <w:numId w:val="56"/>
        </w:numPr>
        <w:spacing w:line="240" w:lineRule="auto"/>
        <w:jc w:val="both"/>
      </w:pPr>
      <w:r>
        <w:t>255</w:t>
      </w:r>
      <w:r w:rsidR="00A26604">
        <w:t> </w:t>
      </w:r>
      <w:r>
        <w:t xml:space="preserve"> apelācijas protesti, no tiem apmierināti 169, bet noraidīti 90</w:t>
      </w:r>
      <w:r w:rsidR="00A26604">
        <w:t> </w:t>
      </w:r>
      <w:r>
        <w:t>protesti;</w:t>
      </w:r>
    </w:p>
    <w:p w14:paraId="71003955" w14:textId="5DD186B0" w:rsidR="00C41BD0" w:rsidRDefault="00C41BD0" w:rsidP="00E329FC">
      <w:pPr>
        <w:pStyle w:val="ListParagraph"/>
        <w:numPr>
          <w:ilvl w:val="0"/>
          <w:numId w:val="56"/>
        </w:numPr>
        <w:spacing w:line="240" w:lineRule="auto"/>
        <w:jc w:val="both"/>
      </w:pPr>
      <w:r>
        <w:t>69</w:t>
      </w:r>
      <w:r w:rsidR="007B5D06">
        <w:t> </w:t>
      </w:r>
      <w:r>
        <w:t>kasācijas protesti, no tiem apmierināti 48, bet noraidīts 21</w:t>
      </w:r>
      <w:r w:rsidR="007B5D06">
        <w:t> </w:t>
      </w:r>
      <w:r>
        <w:t>protests;</w:t>
      </w:r>
    </w:p>
    <w:p w14:paraId="6957A9CA" w14:textId="77777777" w:rsidR="00034C36" w:rsidRDefault="00C41BD0" w:rsidP="00E329FC">
      <w:pPr>
        <w:pStyle w:val="ListParagraph"/>
        <w:numPr>
          <w:ilvl w:val="0"/>
          <w:numId w:val="56"/>
        </w:numPr>
        <w:spacing w:after="0" w:line="240" w:lineRule="auto"/>
        <w:ind w:left="714" w:hanging="357"/>
        <w:jc w:val="both"/>
      </w:pPr>
      <w:r>
        <w:t>38 K</w:t>
      </w:r>
      <w:r w:rsidR="007B5D06">
        <w:t>riminālprocesa likuma</w:t>
      </w:r>
      <w:r>
        <w:t xml:space="preserve"> 61. un 63.</w:t>
      </w:r>
      <w:r w:rsidR="007B5D06">
        <w:t> </w:t>
      </w:r>
      <w:r>
        <w:t>nodaļas kārtībā iesniegtie protesti, visi 38</w:t>
      </w:r>
      <w:r w:rsidR="007B5D06">
        <w:t> </w:t>
      </w:r>
      <w:r>
        <w:t>protesti apmierināti.</w:t>
      </w:r>
      <w:r w:rsidR="00034C36">
        <w:t xml:space="preserve"> </w:t>
      </w:r>
    </w:p>
    <w:p w14:paraId="16CD6904" w14:textId="28308B2B" w:rsidR="000A66AF" w:rsidRDefault="00EA45C4" w:rsidP="00034C36">
      <w:pPr>
        <w:spacing w:after="0" w:line="240" w:lineRule="auto"/>
        <w:ind w:firstLine="714"/>
        <w:jc w:val="both"/>
      </w:pPr>
      <w:r>
        <w:t xml:space="preserve">Minētie rādītāji </w:t>
      </w:r>
      <w:r w:rsidR="00820184">
        <w:t>liecina</w:t>
      </w:r>
      <w:r>
        <w:t xml:space="preserve">, ka kopumā </w:t>
      </w:r>
      <w:r w:rsidR="00820184">
        <w:t xml:space="preserve">ir </w:t>
      </w:r>
      <w:r>
        <w:t xml:space="preserve">tendence </w:t>
      </w:r>
      <w:r w:rsidR="00820184">
        <w:t xml:space="preserve">mazināties </w:t>
      </w:r>
      <w:r w:rsidR="006B15A5">
        <w:t>prokuroru iesniegto protestu skaitam. Tas</w:t>
      </w:r>
      <w:r w:rsidR="001900BC">
        <w:t xml:space="preserve"> no vienas puses saistīts ar to, ka kopumā arī iztiesāto </w:t>
      </w:r>
      <w:r w:rsidR="00820184">
        <w:t>krimināl</w:t>
      </w:r>
      <w:r w:rsidR="001900BC">
        <w:t>lietu skaits mazinājies, kā arī</w:t>
      </w:r>
      <w:r w:rsidR="006B15A5">
        <w:t xml:space="preserve"> </w:t>
      </w:r>
      <w:r w:rsidR="00820184">
        <w:t xml:space="preserve">norāda uz </w:t>
      </w:r>
      <w:r w:rsidR="006B15A5">
        <w:t xml:space="preserve">vienotas izpratnes nostiprināšanos valsts apsūdzības </w:t>
      </w:r>
      <w:r w:rsidR="00337615">
        <w:t>un tiesas pozīcijā par apsūdzētajam piemērojamo soda veidu un mēru, kā arī citiem būtiskiem jautājumiem, kas izlemjami tiesas spriedumā.</w:t>
      </w:r>
    </w:p>
    <w:p w14:paraId="6000AD71" w14:textId="150AB00E" w:rsidR="00BF4860" w:rsidRDefault="00BF4860" w:rsidP="00337615">
      <w:pPr>
        <w:jc w:val="both"/>
      </w:pPr>
    </w:p>
    <w:p w14:paraId="22C9B71C" w14:textId="33B865CA" w:rsidR="000A66AF" w:rsidRDefault="000A66AF" w:rsidP="008530D0">
      <w:r>
        <w:br w:type="page"/>
      </w:r>
    </w:p>
    <w:p w14:paraId="658CF028" w14:textId="4EEA96DA" w:rsidR="00E377E9" w:rsidRPr="00577BF3" w:rsidRDefault="00E51A72" w:rsidP="00CF4214">
      <w:pPr>
        <w:spacing w:after="0" w:line="240" w:lineRule="auto"/>
        <w:jc w:val="center"/>
        <w:rPr>
          <w:rFonts w:cs="Times New Roman"/>
          <w:b/>
          <w:sz w:val="32"/>
          <w:szCs w:val="32"/>
        </w:rPr>
      </w:pPr>
      <w:r w:rsidRPr="00577BF3">
        <w:rPr>
          <w:rFonts w:cs="Times New Roman"/>
          <w:b/>
          <w:sz w:val="32"/>
          <w:szCs w:val="32"/>
        </w:rPr>
        <w:lastRenderedPageBreak/>
        <w:t xml:space="preserve">Rīgas tiesas apgabala prokuratūras un tās darbības teritorijā </w:t>
      </w:r>
      <w:r w:rsidR="008530D0">
        <w:rPr>
          <w:rFonts w:cs="Times New Roman"/>
          <w:b/>
          <w:sz w:val="32"/>
          <w:szCs w:val="32"/>
        </w:rPr>
        <w:t>ietilpstošo</w:t>
      </w:r>
      <w:r w:rsidRPr="00577BF3">
        <w:rPr>
          <w:rFonts w:cs="Times New Roman"/>
          <w:b/>
          <w:sz w:val="32"/>
          <w:szCs w:val="32"/>
        </w:rPr>
        <w:t xml:space="preserve"> rajona līmeņa prokuratūru pārskats par 2020.</w:t>
      </w:r>
      <w:r w:rsidR="00F73644" w:rsidRPr="00577BF3">
        <w:rPr>
          <w:rFonts w:cs="Times New Roman"/>
          <w:b/>
          <w:sz w:val="32"/>
          <w:szCs w:val="32"/>
        </w:rPr>
        <w:t> </w:t>
      </w:r>
      <w:r w:rsidRPr="00577BF3">
        <w:rPr>
          <w:rFonts w:cs="Times New Roman"/>
          <w:b/>
          <w:sz w:val="32"/>
          <w:szCs w:val="32"/>
        </w:rPr>
        <w:t xml:space="preserve">gada darba rezultātiem </w:t>
      </w:r>
    </w:p>
    <w:p w14:paraId="447271E6" w14:textId="77777777" w:rsidR="000E26DD" w:rsidRPr="008530D0" w:rsidRDefault="000E26DD" w:rsidP="00CF4214">
      <w:pPr>
        <w:spacing w:after="0" w:line="240" w:lineRule="auto"/>
        <w:jc w:val="center"/>
        <w:rPr>
          <w:rFonts w:cs="Times New Roman"/>
          <w:b/>
          <w:szCs w:val="24"/>
        </w:rPr>
      </w:pPr>
    </w:p>
    <w:p w14:paraId="24ED1921" w14:textId="320E8498" w:rsidR="00BD43D4" w:rsidRPr="00577BF3" w:rsidRDefault="00AE028B" w:rsidP="00CF4214">
      <w:pPr>
        <w:spacing w:after="0" w:line="240" w:lineRule="auto"/>
        <w:ind w:left="1077"/>
        <w:jc w:val="center"/>
        <w:rPr>
          <w:rFonts w:cs="Times New Roman"/>
          <w:b/>
          <w:bCs/>
          <w:sz w:val="28"/>
          <w:szCs w:val="28"/>
        </w:rPr>
      </w:pPr>
      <w:r w:rsidRPr="00577BF3">
        <w:rPr>
          <w:rFonts w:cs="Times New Roman"/>
          <w:b/>
          <w:bCs/>
          <w:sz w:val="28"/>
          <w:szCs w:val="28"/>
        </w:rPr>
        <w:t>I. </w:t>
      </w:r>
      <w:r w:rsidR="00E51A72" w:rsidRPr="00577BF3">
        <w:rPr>
          <w:rFonts w:cs="Times New Roman"/>
          <w:b/>
          <w:bCs/>
          <w:sz w:val="28"/>
          <w:szCs w:val="28"/>
        </w:rPr>
        <w:t>Strukturālais modelis un prokuroru personālsastāvs</w:t>
      </w:r>
    </w:p>
    <w:p w14:paraId="1D828E81" w14:textId="77777777" w:rsidR="000E26DD" w:rsidRPr="008530D0" w:rsidRDefault="000E26DD" w:rsidP="00CF4214">
      <w:pPr>
        <w:spacing w:after="0" w:line="240" w:lineRule="auto"/>
        <w:rPr>
          <w:rFonts w:cs="Times New Roman"/>
          <w:b/>
          <w:bCs/>
          <w:szCs w:val="24"/>
        </w:rPr>
      </w:pPr>
    </w:p>
    <w:p w14:paraId="682AA743" w14:textId="3ADA9322" w:rsidR="00E51A72" w:rsidRPr="00577BF3" w:rsidRDefault="00E51A72" w:rsidP="00CF4214">
      <w:pPr>
        <w:spacing w:after="0" w:line="240" w:lineRule="auto"/>
        <w:ind w:firstLine="720"/>
        <w:jc w:val="both"/>
        <w:rPr>
          <w:rFonts w:cs="Times New Roman"/>
          <w:szCs w:val="24"/>
        </w:rPr>
      </w:pPr>
      <w:bookmarkStart w:id="9" w:name="_Hlk63680077"/>
      <w:r w:rsidRPr="00577BF3">
        <w:rPr>
          <w:rFonts w:cs="Times New Roman"/>
          <w:szCs w:val="24"/>
        </w:rPr>
        <w:t>Saskaņā ar ģenerālprokurora pavēli Nr.</w:t>
      </w:r>
      <w:r w:rsidR="00F73644" w:rsidRPr="00577BF3">
        <w:rPr>
          <w:rFonts w:cs="Times New Roman"/>
          <w:szCs w:val="24"/>
        </w:rPr>
        <w:t> </w:t>
      </w:r>
      <w:r w:rsidRPr="00577BF3">
        <w:rPr>
          <w:rFonts w:cs="Times New Roman"/>
          <w:szCs w:val="24"/>
        </w:rPr>
        <w:t xml:space="preserve">4 </w:t>
      </w:r>
      <w:r w:rsidR="003C2D52" w:rsidRPr="00577BF3">
        <w:rPr>
          <w:rFonts w:cs="Times New Roman"/>
          <w:szCs w:val="24"/>
        </w:rPr>
        <w:t xml:space="preserve">“Par prokuratūras struktūru un štatiem, tiesu apgabalu prokuratūru un rajonu (pilsētu) prokuratūru darbības teritoriju” </w:t>
      </w:r>
      <w:r w:rsidR="008F1098">
        <w:rPr>
          <w:rFonts w:cs="Times New Roman"/>
          <w:szCs w:val="24"/>
        </w:rPr>
        <w:t>2020.</w:t>
      </w:r>
      <w:r w:rsidR="00664178">
        <w:rPr>
          <w:rFonts w:cs="Times New Roman"/>
          <w:szCs w:val="24"/>
        </w:rPr>
        <w:t> gada 28. </w:t>
      </w:r>
      <w:r w:rsidR="00C627BB">
        <w:rPr>
          <w:rFonts w:cs="Times New Roman"/>
          <w:szCs w:val="24"/>
        </w:rPr>
        <w:t xml:space="preserve">oktobra redakcijā </w:t>
      </w:r>
      <w:r w:rsidRPr="00577BF3">
        <w:rPr>
          <w:rFonts w:cs="Times New Roman"/>
          <w:szCs w:val="24"/>
        </w:rPr>
        <w:t>Rīgas tiesas apgabalā 2020.</w:t>
      </w:r>
      <w:r w:rsidR="00F73644" w:rsidRPr="00577BF3">
        <w:rPr>
          <w:rFonts w:cs="Times New Roman"/>
          <w:szCs w:val="24"/>
        </w:rPr>
        <w:t> </w:t>
      </w:r>
      <w:r w:rsidRPr="00577BF3">
        <w:rPr>
          <w:rFonts w:cs="Times New Roman"/>
          <w:szCs w:val="24"/>
        </w:rPr>
        <w:t>gadā darbojās 1</w:t>
      </w:r>
      <w:r w:rsidR="00F73644" w:rsidRPr="00577BF3">
        <w:rPr>
          <w:rFonts w:cs="Times New Roman"/>
          <w:szCs w:val="24"/>
        </w:rPr>
        <w:t> </w:t>
      </w:r>
      <w:r w:rsidRPr="00577BF3">
        <w:rPr>
          <w:rFonts w:cs="Times New Roman"/>
          <w:szCs w:val="24"/>
        </w:rPr>
        <w:t>apgabala līmeņa teritoriālā prokuratūra</w:t>
      </w:r>
      <w:r w:rsidR="00BC172F" w:rsidRPr="00577BF3">
        <w:rPr>
          <w:rFonts w:cs="Times New Roman"/>
          <w:szCs w:val="24"/>
        </w:rPr>
        <w:t>s struktūrvienība</w:t>
      </w:r>
      <w:r w:rsidRPr="00577BF3">
        <w:rPr>
          <w:rFonts w:cs="Times New Roman"/>
          <w:szCs w:val="24"/>
        </w:rPr>
        <w:t xml:space="preserve"> un 8</w:t>
      </w:r>
      <w:r w:rsidR="00F73644" w:rsidRPr="00577BF3">
        <w:rPr>
          <w:rFonts w:cs="Times New Roman"/>
          <w:szCs w:val="24"/>
        </w:rPr>
        <w:t> </w:t>
      </w:r>
      <w:r w:rsidRPr="00577BF3">
        <w:rPr>
          <w:rFonts w:cs="Times New Roman"/>
          <w:szCs w:val="24"/>
        </w:rPr>
        <w:t xml:space="preserve">rajona līmeņa teritoriālās prokuratūras struktūrvienības </w:t>
      </w:r>
      <w:r w:rsidR="00BC172F" w:rsidRPr="00577BF3">
        <w:rPr>
          <w:rFonts w:cs="Times New Roman"/>
          <w:szCs w:val="24"/>
        </w:rPr>
        <w:t>pie</w:t>
      </w:r>
      <w:r w:rsidRPr="00577BF3">
        <w:rPr>
          <w:rFonts w:cs="Times New Roman"/>
          <w:szCs w:val="24"/>
        </w:rPr>
        <w:t xml:space="preserve"> šād</w:t>
      </w:r>
      <w:r w:rsidR="00BC172F" w:rsidRPr="00577BF3">
        <w:rPr>
          <w:rFonts w:cs="Times New Roman"/>
          <w:szCs w:val="24"/>
        </w:rPr>
        <w:t>a</w:t>
      </w:r>
      <w:r w:rsidRPr="00577BF3">
        <w:rPr>
          <w:rFonts w:cs="Times New Roman"/>
          <w:szCs w:val="24"/>
        </w:rPr>
        <w:t xml:space="preserve"> prokuror</w:t>
      </w:r>
      <w:r w:rsidR="002171C6" w:rsidRPr="00577BF3">
        <w:rPr>
          <w:rFonts w:cs="Times New Roman"/>
          <w:szCs w:val="24"/>
        </w:rPr>
        <w:t xml:space="preserve">a amata </w:t>
      </w:r>
      <w:r w:rsidRPr="00577BF3">
        <w:rPr>
          <w:rFonts w:cs="Times New Roman"/>
          <w:szCs w:val="24"/>
        </w:rPr>
        <w:t xml:space="preserve">vietu </w:t>
      </w:r>
      <w:r w:rsidR="002F4C67" w:rsidRPr="00577BF3">
        <w:rPr>
          <w:rFonts w:cs="Times New Roman"/>
          <w:szCs w:val="24"/>
        </w:rPr>
        <w:t>sa</w:t>
      </w:r>
      <w:r w:rsidRPr="00577BF3">
        <w:rPr>
          <w:rFonts w:cs="Times New Roman"/>
          <w:szCs w:val="24"/>
        </w:rPr>
        <w:t>dalījum</w:t>
      </w:r>
      <w:r w:rsidR="00BC172F" w:rsidRPr="00577BF3">
        <w:rPr>
          <w:rFonts w:cs="Times New Roman"/>
          <w:szCs w:val="24"/>
        </w:rPr>
        <w:t>a</w:t>
      </w:r>
      <w:r w:rsidRPr="00577BF3">
        <w:rPr>
          <w:rFonts w:cs="Times New Roman"/>
          <w:szCs w:val="24"/>
        </w:rPr>
        <w:t>:</w:t>
      </w:r>
    </w:p>
    <w:p w14:paraId="475FAEE0" w14:textId="394652A4" w:rsidR="00E51A72" w:rsidRPr="00577BF3" w:rsidRDefault="00E51A72" w:rsidP="00B16727">
      <w:pPr>
        <w:pStyle w:val="ListParagraph"/>
        <w:numPr>
          <w:ilvl w:val="0"/>
          <w:numId w:val="1"/>
        </w:numPr>
        <w:spacing w:after="0" w:line="240" w:lineRule="auto"/>
        <w:jc w:val="both"/>
        <w:rPr>
          <w:rFonts w:cs="Times New Roman"/>
          <w:szCs w:val="24"/>
        </w:rPr>
      </w:pPr>
      <w:r w:rsidRPr="00577BF3">
        <w:rPr>
          <w:rFonts w:cs="Times New Roman"/>
          <w:szCs w:val="24"/>
        </w:rPr>
        <w:t>Rīgas tiesas apgabala prokuratūra – 41</w:t>
      </w:r>
      <w:r w:rsidR="00F73644" w:rsidRPr="00577BF3">
        <w:rPr>
          <w:rFonts w:cs="Times New Roman"/>
          <w:szCs w:val="24"/>
        </w:rPr>
        <w:t> </w:t>
      </w:r>
      <w:r w:rsidRPr="00577BF3">
        <w:rPr>
          <w:rFonts w:cs="Times New Roman"/>
          <w:szCs w:val="24"/>
        </w:rPr>
        <w:t>prokurora amata vieta (1</w:t>
      </w:r>
      <w:r w:rsidR="00F73644" w:rsidRPr="00577BF3">
        <w:rPr>
          <w:rFonts w:cs="Times New Roman"/>
          <w:szCs w:val="24"/>
        </w:rPr>
        <w:t> </w:t>
      </w:r>
      <w:r w:rsidRPr="00577BF3">
        <w:rPr>
          <w:rFonts w:cs="Times New Roman"/>
          <w:szCs w:val="24"/>
        </w:rPr>
        <w:t>virsprokurora, 3</w:t>
      </w:r>
      <w:r w:rsidR="00F73644" w:rsidRPr="00577BF3">
        <w:rPr>
          <w:rFonts w:cs="Times New Roman"/>
          <w:szCs w:val="24"/>
        </w:rPr>
        <w:t> </w:t>
      </w:r>
      <w:r w:rsidRPr="00577BF3">
        <w:rPr>
          <w:rFonts w:cs="Times New Roman"/>
          <w:szCs w:val="24"/>
        </w:rPr>
        <w:t>virsprokurora vietniek</w:t>
      </w:r>
      <w:r w:rsidR="004E2537" w:rsidRPr="00577BF3">
        <w:rPr>
          <w:rFonts w:cs="Times New Roman"/>
          <w:szCs w:val="24"/>
        </w:rPr>
        <w:t>a</w:t>
      </w:r>
      <w:r w:rsidRPr="00577BF3">
        <w:rPr>
          <w:rFonts w:cs="Times New Roman"/>
          <w:szCs w:val="24"/>
        </w:rPr>
        <w:t xml:space="preserve"> un 37</w:t>
      </w:r>
      <w:r w:rsidR="00F73644" w:rsidRPr="00577BF3">
        <w:rPr>
          <w:rFonts w:cs="Times New Roman"/>
          <w:szCs w:val="24"/>
        </w:rPr>
        <w:t> </w:t>
      </w:r>
      <w:r w:rsidRPr="00577BF3">
        <w:rPr>
          <w:rFonts w:cs="Times New Roman"/>
          <w:szCs w:val="24"/>
        </w:rPr>
        <w:t>prokurora štata vietas);</w:t>
      </w:r>
    </w:p>
    <w:p w14:paraId="3CC492AE" w14:textId="544165C5" w:rsidR="00E51A72" w:rsidRPr="00577BF3" w:rsidRDefault="00E51A72" w:rsidP="00B16727">
      <w:pPr>
        <w:pStyle w:val="ListParagraph"/>
        <w:numPr>
          <w:ilvl w:val="0"/>
          <w:numId w:val="1"/>
        </w:numPr>
        <w:spacing w:after="0" w:line="240" w:lineRule="auto"/>
        <w:jc w:val="both"/>
        <w:rPr>
          <w:rFonts w:cs="Times New Roman"/>
          <w:szCs w:val="24"/>
        </w:rPr>
      </w:pPr>
      <w:bookmarkStart w:id="10" w:name="_Hlk63682021"/>
      <w:r w:rsidRPr="00577BF3">
        <w:rPr>
          <w:rFonts w:cs="Times New Roman"/>
          <w:szCs w:val="24"/>
        </w:rPr>
        <w:t>Rīgas pilsētas Centra rajona prokuratūra</w:t>
      </w:r>
      <w:r w:rsidR="00F73644" w:rsidRPr="00577BF3">
        <w:rPr>
          <w:rFonts w:cs="Times New Roman"/>
          <w:szCs w:val="24"/>
        </w:rPr>
        <w:t xml:space="preserve"> </w:t>
      </w:r>
      <w:bookmarkEnd w:id="10"/>
      <w:r w:rsidR="00F73644" w:rsidRPr="00577BF3">
        <w:rPr>
          <w:rFonts w:cs="Times New Roman"/>
          <w:szCs w:val="24"/>
        </w:rPr>
        <w:t xml:space="preserve">– </w:t>
      </w:r>
      <w:r w:rsidRPr="00577BF3">
        <w:rPr>
          <w:rFonts w:cs="Times New Roman"/>
          <w:szCs w:val="24"/>
        </w:rPr>
        <w:t>9</w:t>
      </w:r>
      <w:r w:rsidR="00F73644" w:rsidRPr="00577BF3">
        <w:rPr>
          <w:rFonts w:cs="Times New Roman"/>
          <w:szCs w:val="24"/>
        </w:rPr>
        <w:t> </w:t>
      </w:r>
      <w:r w:rsidRPr="00577BF3">
        <w:rPr>
          <w:rFonts w:cs="Times New Roman"/>
          <w:szCs w:val="24"/>
        </w:rPr>
        <w:t>prokurora amata vietas  (1</w:t>
      </w:r>
      <w:r w:rsidR="00F73644" w:rsidRPr="00577BF3">
        <w:rPr>
          <w:rFonts w:cs="Times New Roman"/>
          <w:szCs w:val="24"/>
        </w:rPr>
        <w:t> </w:t>
      </w:r>
      <w:r w:rsidRPr="00577BF3">
        <w:rPr>
          <w:rFonts w:cs="Times New Roman"/>
          <w:szCs w:val="24"/>
        </w:rPr>
        <w:t>virsprokurora un 8</w:t>
      </w:r>
      <w:r w:rsidR="00F73644" w:rsidRPr="00577BF3">
        <w:rPr>
          <w:rFonts w:cs="Times New Roman"/>
          <w:szCs w:val="24"/>
        </w:rPr>
        <w:t> </w:t>
      </w:r>
      <w:r w:rsidRPr="00577BF3">
        <w:rPr>
          <w:rFonts w:cs="Times New Roman"/>
          <w:szCs w:val="24"/>
        </w:rPr>
        <w:t>prokurora štata vietas);</w:t>
      </w:r>
    </w:p>
    <w:p w14:paraId="5C3BE5BD" w14:textId="6C9B3075" w:rsidR="00E51A72" w:rsidRPr="00577BF3" w:rsidRDefault="00E51A72"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Rīgas pilsētas Latgales priekšpilsētas prokuratūra </w:t>
      </w:r>
      <w:r w:rsidR="00F73644" w:rsidRPr="00577BF3">
        <w:rPr>
          <w:rFonts w:cs="Times New Roman"/>
          <w:szCs w:val="24"/>
        </w:rPr>
        <w:t xml:space="preserve">– </w:t>
      </w:r>
      <w:r w:rsidRPr="00577BF3">
        <w:rPr>
          <w:rFonts w:cs="Times New Roman"/>
          <w:szCs w:val="24"/>
        </w:rPr>
        <w:t>23</w:t>
      </w:r>
      <w:r w:rsidR="00F73644" w:rsidRPr="00577BF3">
        <w:rPr>
          <w:rFonts w:cs="Times New Roman"/>
          <w:szCs w:val="24"/>
        </w:rPr>
        <w:t> </w:t>
      </w:r>
      <w:r w:rsidRPr="00577BF3">
        <w:rPr>
          <w:rFonts w:cs="Times New Roman"/>
          <w:szCs w:val="24"/>
        </w:rPr>
        <w:t>prokurora amata vietas (1</w:t>
      </w:r>
      <w:r w:rsidR="00F73644" w:rsidRPr="00577BF3">
        <w:rPr>
          <w:rFonts w:cs="Times New Roman"/>
          <w:szCs w:val="24"/>
        </w:rPr>
        <w:t> </w:t>
      </w:r>
      <w:r w:rsidRPr="00577BF3">
        <w:rPr>
          <w:rFonts w:cs="Times New Roman"/>
          <w:szCs w:val="24"/>
        </w:rPr>
        <w:t>virsprokurora, 1</w:t>
      </w:r>
      <w:r w:rsidR="00F73644" w:rsidRPr="00577BF3">
        <w:rPr>
          <w:rFonts w:cs="Times New Roman"/>
          <w:szCs w:val="24"/>
        </w:rPr>
        <w:t> </w:t>
      </w:r>
      <w:r w:rsidRPr="00577BF3">
        <w:rPr>
          <w:rFonts w:cs="Times New Roman"/>
          <w:szCs w:val="24"/>
        </w:rPr>
        <w:t>virsprokurora vietnieka un 21</w:t>
      </w:r>
      <w:r w:rsidR="00F73644" w:rsidRPr="00577BF3">
        <w:rPr>
          <w:rFonts w:cs="Times New Roman"/>
          <w:szCs w:val="24"/>
        </w:rPr>
        <w:t> </w:t>
      </w:r>
      <w:r w:rsidRPr="00577BF3">
        <w:rPr>
          <w:rFonts w:cs="Times New Roman"/>
          <w:szCs w:val="24"/>
        </w:rPr>
        <w:t>prokurora štata vieta);</w:t>
      </w:r>
    </w:p>
    <w:p w14:paraId="00E97D46" w14:textId="13F8347F" w:rsidR="00E51A72" w:rsidRPr="00577BF3" w:rsidRDefault="00E51A72"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Rīgas pilsētas Vidzemes priekšpilsētas prokuratūra </w:t>
      </w:r>
      <w:r w:rsidR="004E2537" w:rsidRPr="00577BF3">
        <w:rPr>
          <w:rFonts w:cs="Times New Roman"/>
          <w:szCs w:val="24"/>
        </w:rPr>
        <w:t xml:space="preserve">– </w:t>
      </w:r>
      <w:r w:rsidRPr="00577BF3">
        <w:rPr>
          <w:rFonts w:cs="Times New Roman"/>
          <w:szCs w:val="24"/>
        </w:rPr>
        <w:t>19</w:t>
      </w:r>
      <w:r w:rsidR="004E2537" w:rsidRPr="00577BF3">
        <w:rPr>
          <w:rFonts w:cs="Times New Roman"/>
          <w:szCs w:val="24"/>
        </w:rPr>
        <w:t> </w:t>
      </w:r>
      <w:r w:rsidRPr="00577BF3">
        <w:rPr>
          <w:rFonts w:cs="Times New Roman"/>
          <w:szCs w:val="24"/>
        </w:rPr>
        <w:t>prokurora amata vietas (1</w:t>
      </w:r>
      <w:r w:rsidR="004E2537" w:rsidRPr="00577BF3">
        <w:rPr>
          <w:rFonts w:cs="Times New Roman"/>
          <w:szCs w:val="24"/>
        </w:rPr>
        <w:t> </w:t>
      </w:r>
      <w:r w:rsidRPr="00577BF3">
        <w:rPr>
          <w:rFonts w:cs="Times New Roman"/>
          <w:szCs w:val="24"/>
        </w:rPr>
        <w:t>virsprokurora, 1</w:t>
      </w:r>
      <w:r w:rsidR="004E2537" w:rsidRPr="00577BF3">
        <w:rPr>
          <w:rFonts w:cs="Times New Roman"/>
          <w:szCs w:val="24"/>
        </w:rPr>
        <w:t> </w:t>
      </w:r>
      <w:r w:rsidRPr="00577BF3">
        <w:rPr>
          <w:rFonts w:cs="Times New Roman"/>
          <w:szCs w:val="24"/>
        </w:rPr>
        <w:t>virsprokurora vietnieka un 17</w:t>
      </w:r>
      <w:r w:rsidR="004E2537" w:rsidRPr="00577BF3">
        <w:rPr>
          <w:rFonts w:cs="Times New Roman"/>
          <w:szCs w:val="24"/>
        </w:rPr>
        <w:t> </w:t>
      </w:r>
      <w:r w:rsidRPr="00577BF3">
        <w:rPr>
          <w:rFonts w:cs="Times New Roman"/>
          <w:szCs w:val="24"/>
        </w:rPr>
        <w:t>prokurora štata vietas);</w:t>
      </w:r>
    </w:p>
    <w:p w14:paraId="18779257" w14:textId="369BEF79" w:rsidR="00E51A72" w:rsidRPr="00577BF3" w:rsidRDefault="00E51A72"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Rīgas pilsētas Ziemeļu rajona prokuratūra </w:t>
      </w:r>
      <w:r w:rsidR="004E2537" w:rsidRPr="00577BF3">
        <w:rPr>
          <w:rFonts w:cs="Times New Roman"/>
          <w:szCs w:val="24"/>
        </w:rPr>
        <w:t xml:space="preserve">– </w:t>
      </w:r>
      <w:r w:rsidRPr="00577BF3">
        <w:rPr>
          <w:rFonts w:cs="Times New Roman"/>
          <w:szCs w:val="24"/>
        </w:rPr>
        <w:t>9</w:t>
      </w:r>
      <w:r w:rsidR="004E2537" w:rsidRPr="00577BF3">
        <w:rPr>
          <w:rFonts w:cs="Times New Roman"/>
          <w:szCs w:val="24"/>
        </w:rPr>
        <w:t> </w:t>
      </w:r>
      <w:r w:rsidRPr="00577BF3">
        <w:rPr>
          <w:rFonts w:cs="Times New Roman"/>
          <w:szCs w:val="24"/>
        </w:rPr>
        <w:t>prokurora amata vietas (1</w:t>
      </w:r>
      <w:r w:rsidR="004E2537" w:rsidRPr="00577BF3">
        <w:rPr>
          <w:rFonts w:cs="Times New Roman"/>
          <w:szCs w:val="24"/>
        </w:rPr>
        <w:t> </w:t>
      </w:r>
      <w:r w:rsidRPr="00577BF3">
        <w:rPr>
          <w:rFonts w:cs="Times New Roman"/>
          <w:szCs w:val="24"/>
        </w:rPr>
        <w:t>virsprokurora un 8</w:t>
      </w:r>
      <w:r w:rsidR="004E2537" w:rsidRPr="00577BF3">
        <w:rPr>
          <w:rFonts w:cs="Times New Roman"/>
          <w:szCs w:val="24"/>
        </w:rPr>
        <w:t> </w:t>
      </w:r>
      <w:r w:rsidRPr="00577BF3">
        <w:rPr>
          <w:rFonts w:cs="Times New Roman"/>
          <w:szCs w:val="24"/>
        </w:rPr>
        <w:t>prokurora štata vietas);</w:t>
      </w:r>
    </w:p>
    <w:p w14:paraId="3E35D804" w14:textId="24EA8019" w:rsidR="00E51A72" w:rsidRPr="00577BF3" w:rsidRDefault="00E51A72" w:rsidP="00B16727">
      <w:pPr>
        <w:pStyle w:val="ListParagraph"/>
        <w:numPr>
          <w:ilvl w:val="0"/>
          <w:numId w:val="1"/>
        </w:numPr>
        <w:spacing w:after="0" w:line="240" w:lineRule="auto"/>
        <w:jc w:val="both"/>
        <w:rPr>
          <w:rFonts w:cs="Times New Roman"/>
          <w:szCs w:val="24"/>
        </w:rPr>
      </w:pPr>
      <w:r w:rsidRPr="00577BF3">
        <w:rPr>
          <w:rFonts w:cs="Times New Roman"/>
          <w:szCs w:val="24"/>
        </w:rPr>
        <w:t>Rīgas pilsētas Pārdaugavas prokuratūra (darbojas</w:t>
      </w:r>
      <w:r w:rsidR="00062281" w:rsidRPr="00577BF3">
        <w:rPr>
          <w:rFonts w:cs="Times New Roman"/>
          <w:szCs w:val="24"/>
        </w:rPr>
        <w:t xml:space="preserve"> </w:t>
      </w:r>
      <w:r w:rsidR="00EE032B" w:rsidRPr="00577BF3">
        <w:rPr>
          <w:rFonts w:cs="Times New Roman"/>
          <w:szCs w:val="24"/>
        </w:rPr>
        <w:t xml:space="preserve">no </w:t>
      </w:r>
      <w:r w:rsidRPr="00577BF3">
        <w:rPr>
          <w:rFonts w:cs="Times New Roman"/>
          <w:szCs w:val="24"/>
        </w:rPr>
        <w:t>2020.</w:t>
      </w:r>
      <w:r w:rsidR="00062281" w:rsidRPr="00577BF3">
        <w:rPr>
          <w:rFonts w:cs="Times New Roman"/>
          <w:szCs w:val="24"/>
        </w:rPr>
        <w:t> gada 1. oktobra</w:t>
      </w:r>
      <w:r w:rsidRPr="00577BF3">
        <w:rPr>
          <w:rFonts w:cs="Times New Roman"/>
          <w:szCs w:val="24"/>
        </w:rPr>
        <w:t xml:space="preserve">, </w:t>
      </w:r>
      <w:bookmarkStart w:id="11" w:name="_Hlk63673660"/>
      <w:r w:rsidRPr="00577BF3">
        <w:rPr>
          <w:rFonts w:cs="Times New Roman"/>
          <w:szCs w:val="24"/>
        </w:rPr>
        <w:t>apvienojot Rīgas pilsētas Zemgales priekšpilsētas prokuratūru un Rīgas pilsētas Kurzemes rajona prokuratūru</w:t>
      </w:r>
      <w:bookmarkEnd w:id="11"/>
      <w:r w:rsidRPr="00577BF3">
        <w:rPr>
          <w:rFonts w:cs="Times New Roman"/>
          <w:szCs w:val="24"/>
        </w:rPr>
        <w:t>) – 2</w:t>
      </w:r>
      <w:r w:rsidR="00401CC7" w:rsidRPr="00577BF3">
        <w:rPr>
          <w:rFonts w:cs="Times New Roman"/>
          <w:szCs w:val="24"/>
        </w:rPr>
        <w:t>1</w:t>
      </w:r>
      <w:r w:rsidR="004E2537" w:rsidRPr="00577BF3">
        <w:rPr>
          <w:rFonts w:cs="Times New Roman"/>
          <w:szCs w:val="24"/>
        </w:rPr>
        <w:t> </w:t>
      </w:r>
      <w:r w:rsidRPr="00577BF3">
        <w:rPr>
          <w:rFonts w:cs="Times New Roman"/>
          <w:szCs w:val="24"/>
        </w:rPr>
        <w:t>prokurora amata vieta (1</w:t>
      </w:r>
      <w:r w:rsidR="004E2537" w:rsidRPr="00577BF3">
        <w:rPr>
          <w:rFonts w:cs="Times New Roman"/>
          <w:szCs w:val="24"/>
        </w:rPr>
        <w:t> </w:t>
      </w:r>
      <w:r w:rsidRPr="00577BF3">
        <w:rPr>
          <w:rFonts w:cs="Times New Roman"/>
          <w:szCs w:val="24"/>
        </w:rPr>
        <w:t>virsprokurora, 1</w:t>
      </w:r>
      <w:r w:rsidR="004E2537" w:rsidRPr="00577BF3">
        <w:rPr>
          <w:rFonts w:cs="Times New Roman"/>
          <w:szCs w:val="24"/>
        </w:rPr>
        <w:t> </w:t>
      </w:r>
      <w:r w:rsidRPr="00577BF3">
        <w:rPr>
          <w:rFonts w:cs="Times New Roman"/>
          <w:szCs w:val="24"/>
        </w:rPr>
        <w:t>virsprokurora vietnieka un 1</w:t>
      </w:r>
      <w:r w:rsidR="00401CC7" w:rsidRPr="00577BF3">
        <w:rPr>
          <w:rFonts w:cs="Times New Roman"/>
          <w:szCs w:val="24"/>
        </w:rPr>
        <w:t>9</w:t>
      </w:r>
      <w:r w:rsidR="004E2537" w:rsidRPr="00577BF3">
        <w:rPr>
          <w:rFonts w:cs="Times New Roman"/>
          <w:szCs w:val="24"/>
        </w:rPr>
        <w:t> </w:t>
      </w:r>
      <w:r w:rsidRPr="00577BF3">
        <w:rPr>
          <w:rFonts w:cs="Times New Roman"/>
          <w:szCs w:val="24"/>
        </w:rPr>
        <w:t>prokurora štata vietas);</w:t>
      </w:r>
    </w:p>
    <w:p w14:paraId="32ACF093" w14:textId="524B60D4" w:rsidR="00E51A72" w:rsidRPr="00577BF3" w:rsidRDefault="00E51A72"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Rīgas rajona prokuratūra </w:t>
      </w:r>
      <w:r w:rsidR="004E2537" w:rsidRPr="00577BF3">
        <w:rPr>
          <w:rFonts w:cs="Times New Roman"/>
          <w:szCs w:val="24"/>
        </w:rPr>
        <w:t xml:space="preserve">– </w:t>
      </w:r>
      <w:r w:rsidRPr="00577BF3">
        <w:rPr>
          <w:rFonts w:cs="Times New Roman"/>
          <w:szCs w:val="24"/>
        </w:rPr>
        <w:t>16</w:t>
      </w:r>
      <w:r w:rsidR="004E2537" w:rsidRPr="00577BF3">
        <w:rPr>
          <w:rFonts w:cs="Times New Roman"/>
          <w:szCs w:val="24"/>
        </w:rPr>
        <w:t> </w:t>
      </w:r>
      <w:r w:rsidRPr="00577BF3">
        <w:rPr>
          <w:rFonts w:cs="Times New Roman"/>
          <w:szCs w:val="24"/>
        </w:rPr>
        <w:t>prokurora amata vietas (1</w:t>
      </w:r>
      <w:r w:rsidR="004E2537" w:rsidRPr="00577BF3">
        <w:rPr>
          <w:rFonts w:cs="Times New Roman"/>
          <w:szCs w:val="24"/>
        </w:rPr>
        <w:t> </w:t>
      </w:r>
      <w:r w:rsidRPr="00577BF3">
        <w:rPr>
          <w:rFonts w:cs="Times New Roman"/>
          <w:szCs w:val="24"/>
        </w:rPr>
        <w:t>virsprokurora, 1</w:t>
      </w:r>
      <w:r w:rsidR="004E2537" w:rsidRPr="00577BF3">
        <w:rPr>
          <w:rFonts w:cs="Times New Roman"/>
          <w:szCs w:val="24"/>
        </w:rPr>
        <w:t> </w:t>
      </w:r>
      <w:r w:rsidRPr="00577BF3">
        <w:rPr>
          <w:rFonts w:cs="Times New Roman"/>
          <w:szCs w:val="24"/>
        </w:rPr>
        <w:t>virsprokurora vietnieka un 14</w:t>
      </w:r>
      <w:r w:rsidR="004E2537" w:rsidRPr="00577BF3">
        <w:rPr>
          <w:rFonts w:cs="Times New Roman"/>
          <w:szCs w:val="24"/>
        </w:rPr>
        <w:t> </w:t>
      </w:r>
      <w:r w:rsidRPr="00577BF3">
        <w:rPr>
          <w:rFonts w:cs="Times New Roman"/>
          <w:szCs w:val="24"/>
        </w:rPr>
        <w:t>prokurora štata vietas);</w:t>
      </w:r>
    </w:p>
    <w:p w14:paraId="2F9614C4" w14:textId="249D2FEA" w:rsidR="00E51A72" w:rsidRPr="00577BF3" w:rsidRDefault="00E51A72"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Jūrmalas pilsētas prokuratūra </w:t>
      </w:r>
      <w:r w:rsidR="004E2537" w:rsidRPr="00577BF3">
        <w:rPr>
          <w:rFonts w:cs="Times New Roman"/>
          <w:szCs w:val="24"/>
        </w:rPr>
        <w:t xml:space="preserve">– </w:t>
      </w:r>
      <w:r w:rsidRPr="00577BF3">
        <w:rPr>
          <w:rFonts w:cs="Times New Roman"/>
          <w:szCs w:val="24"/>
        </w:rPr>
        <w:t>7</w:t>
      </w:r>
      <w:r w:rsidR="004E2537" w:rsidRPr="00577BF3">
        <w:rPr>
          <w:rFonts w:cs="Times New Roman"/>
          <w:szCs w:val="24"/>
        </w:rPr>
        <w:t> </w:t>
      </w:r>
      <w:r w:rsidRPr="00577BF3">
        <w:rPr>
          <w:rFonts w:cs="Times New Roman"/>
          <w:szCs w:val="24"/>
        </w:rPr>
        <w:t>prokurora amata vietas (1</w:t>
      </w:r>
      <w:r w:rsidR="004E2537" w:rsidRPr="00577BF3">
        <w:rPr>
          <w:rFonts w:cs="Times New Roman"/>
          <w:szCs w:val="24"/>
        </w:rPr>
        <w:t> </w:t>
      </w:r>
      <w:r w:rsidRPr="00577BF3">
        <w:rPr>
          <w:rFonts w:cs="Times New Roman"/>
          <w:szCs w:val="24"/>
        </w:rPr>
        <w:t>virsprokurora un 6</w:t>
      </w:r>
      <w:r w:rsidR="004E2537" w:rsidRPr="00577BF3">
        <w:rPr>
          <w:rFonts w:cs="Times New Roman"/>
          <w:szCs w:val="24"/>
        </w:rPr>
        <w:t> </w:t>
      </w:r>
      <w:r w:rsidRPr="00577BF3">
        <w:rPr>
          <w:rFonts w:cs="Times New Roman"/>
          <w:szCs w:val="24"/>
        </w:rPr>
        <w:t>prokurora štata vietas);</w:t>
      </w:r>
    </w:p>
    <w:p w14:paraId="5EDE111E" w14:textId="47870385" w:rsidR="00A46FAE" w:rsidRPr="00577BF3" w:rsidRDefault="00E51A72" w:rsidP="00B16727">
      <w:pPr>
        <w:pStyle w:val="ListParagraph"/>
        <w:numPr>
          <w:ilvl w:val="0"/>
          <w:numId w:val="1"/>
        </w:numPr>
        <w:spacing w:after="0" w:line="240" w:lineRule="auto"/>
        <w:ind w:left="714" w:hanging="357"/>
        <w:jc w:val="both"/>
        <w:rPr>
          <w:rFonts w:cs="Times New Roman"/>
          <w:szCs w:val="24"/>
        </w:rPr>
      </w:pPr>
      <w:r w:rsidRPr="00577BF3">
        <w:rPr>
          <w:rFonts w:cs="Times New Roman"/>
          <w:szCs w:val="24"/>
        </w:rPr>
        <w:t>Ogres rajona prokuratūra – 7</w:t>
      </w:r>
      <w:r w:rsidR="004E2537" w:rsidRPr="00577BF3">
        <w:rPr>
          <w:rFonts w:cs="Times New Roman"/>
          <w:szCs w:val="24"/>
        </w:rPr>
        <w:t> </w:t>
      </w:r>
      <w:r w:rsidRPr="00577BF3">
        <w:rPr>
          <w:rFonts w:cs="Times New Roman"/>
          <w:szCs w:val="24"/>
        </w:rPr>
        <w:t>prokurora amata vietas (1</w:t>
      </w:r>
      <w:r w:rsidR="004E2537" w:rsidRPr="00577BF3">
        <w:rPr>
          <w:rFonts w:cs="Times New Roman"/>
          <w:szCs w:val="24"/>
        </w:rPr>
        <w:t> </w:t>
      </w:r>
      <w:r w:rsidRPr="00577BF3">
        <w:rPr>
          <w:rFonts w:cs="Times New Roman"/>
          <w:szCs w:val="24"/>
        </w:rPr>
        <w:t>virsprokurora un 6</w:t>
      </w:r>
      <w:r w:rsidR="004E2537" w:rsidRPr="00577BF3">
        <w:rPr>
          <w:rFonts w:cs="Times New Roman"/>
          <w:szCs w:val="24"/>
        </w:rPr>
        <w:t> </w:t>
      </w:r>
      <w:r w:rsidRPr="00577BF3">
        <w:rPr>
          <w:rFonts w:cs="Times New Roman"/>
          <w:szCs w:val="24"/>
        </w:rPr>
        <w:t>prokurora štata vietas).</w:t>
      </w:r>
      <w:bookmarkEnd w:id="9"/>
    </w:p>
    <w:p w14:paraId="4D546418" w14:textId="77777777" w:rsidR="00C23A66" w:rsidRPr="00577BF3" w:rsidRDefault="00C23A66" w:rsidP="009F1E35">
      <w:pPr>
        <w:spacing w:after="0" w:line="240" w:lineRule="auto"/>
        <w:jc w:val="both"/>
        <w:rPr>
          <w:rFonts w:cs="Times New Roman"/>
          <w:szCs w:val="24"/>
        </w:rPr>
      </w:pPr>
    </w:p>
    <w:p w14:paraId="51C5389A" w14:textId="2A8C7694" w:rsidR="00C23A66" w:rsidRDefault="00483606" w:rsidP="00E41C92">
      <w:pPr>
        <w:spacing w:after="0" w:line="240" w:lineRule="auto"/>
        <w:jc w:val="center"/>
        <w:rPr>
          <w:rFonts w:cs="Times New Roman"/>
          <w:b/>
          <w:bCs/>
          <w:szCs w:val="24"/>
        </w:rPr>
      </w:pPr>
      <w:r w:rsidRPr="00577BF3">
        <w:rPr>
          <w:rFonts w:cs="Times New Roman"/>
          <w:noProof/>
        </w:rPr>
        <w:drawing>
          <wp:inline distT="0" distB="0" distL="0" distR="0" wp14:anchorId="5F947220" wp14:editId="621FC1E8">
            <wp:extent cx="4225290" cy="1530928"/>
            <wp:effectExtent l="0" t="0" r="3810" b="12700"/>
            <wp:docPr id="4" name="Chart 4">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DB24C5F" w14:textId="77777777" w:rsidR="0085569E" w:rsidRPr="00577BF3" w:rsidRDefault="0085569E" w:rsidP="0067636D">
      <w:pPr>
        <w:spacing w:after="0" w:line="240" w:lineRule="auto"/>
        <w:jc w:val="center"/>
        <w:rPr>
          <w:rFonts w:cs="Times New Roman"/>
          <w:b/>
          <w:bCs/>
          <w:szCs w:val="24"/>
        </w:rPr>
      </w:pPr>
    </w:p>
    <w:bookmarkEnd w:id="4"/>
    <w:p w14:paraId="461A308F" w14:textId="5DCA0DB1" w:rsidR="009F1E35" w:rsidRPr="00577BF3" w:rsidRDefault="009F1E35" w:rsidP="009F1E35">
      <w:pPr>
        <w:spacing w:after="0" w:line="240" w:lineRule="auto"/>
        <w:ind w:firstLine="720"/>
        <w:jc w:val="both"/>
        <w:rPr>
          <w:rFonts w:cs="Times New Roman"/>
          <w:szCs w:val="24"/>
        </w:rPr>
      </w:pPr>
      <w:r w:rsidRPr="00577BF3">
        <w:rPr>
          <w:rFonts w:cs="Times New Roman"/>
          <w:szCs w:val="24"/>
        </w:rPr>
        <w:t>Kopumā Rīgas tiesas apgabalā uz 2020. gada 31. decembri bija noteiktas 152 prokurora amata vietas, no kurām aizpildīta</w:t>
      </w:r>
      <w:r w:rsidR="005B0BAA">
        <w:rPr>
          <w:rFonts w:cs="Times New Roman"/>
          <w:szCs w:val="24"/>
        </w:rPr>
        <w:t xml:space="preserve">s </w:t>
      </w:r>
      <w:r w:rsidRPr="00577BF3">
        <w:rPr>
          <w:rFonts w:cs="Times New Roman"/>
          <w:szCs w:val="24"/>
        </w:rPr>
        <w:t>1</w:t>
      </w:r>
      <w:r w:rsidR="00EA239E">
        <w:rPr>
          <w:rFonts w:cs="Times New Roman"/>
          <w:szCs w:val="24"/>
        </w:rPr>
        <w:t>37</w:t>
      </w:r>
      <w:r w:rsidRPr="00577BF3">
        <w:rPr>
          <w:rFonts w:cs="Times New Roman"/>
          <w:szCs w:val="24"/>
        </w:rPr>
        <w:t> </w:t>
      </w:r>
      <w:r>
        <w:rPr>
          <w:rFonts w:cs="Times New Roman"/>
          <w:szCs w:val="24"/>
        </w:rPr>
        <w:t>(</w:t>
      </w:r>
      <w:r w:rsidRPr="00577BF3">
        <w:rPr>
          <w:rFonts w:cs="Times New Roman"/>
          <w:szCs w:val="24"/>
        </w:rPr>
        <w:t>virsprokurora, virsprokurora vietnieka un prokurora štata vieta</w:t>
      </w:r>
      <w:r w:rsidR="003A146A">
        <w:rPr>
          <w:rFonts w:cs="Times New Roman"/>
          <w:szCs w:val="24"/>
        </w:rPr>
        <w:t>s</w:t>
      </w:r>
      <w:r>
        <w:rPr>
          <w:rFonts w:cs="Times New Roman"/>
          <w:szCs w:val="24"/>
        </w:rPr>
        <w:t>)</w:t>
      </w:r>
      <w:r w:rsidR="001A6A1A">
        <w:rPr>
          <w:rFonts w:cs="Times New Roman"/>
          <w:szCs w:val="24"/>
        </w:rPr>
        <w:t xml:space="preserve"> jeb </w:t>
      </w:r>
      <w:r w:rsidR="00FD477E">
        <w:rPr>
          <w:rFonts w:cs="Times New Roman"/>
          <w:szCs w:val="24"/>
        </w:rPr>
        <w:t>9</w:t>
      </w:r>
      <w:r w:rsidR="003A146A">
        <w:rPr>
          <w:rFonts w:cs="Times New Roman"/>
          <w:szCs w:val="24"/>
        </w:rPr>
        <w:t>0</w:t>
      </w:r>
      <w:r w:rsidR="00FD477E">
        <w:rPr>
          <w:rFonts w:cs="Times New Roman"/>
          <w:szCs w:val="24"/>
        </w:rPr>
        <w:t> %</w:t>
      </w:r>
      <w:r>
        <w:rPr>
          <w:rFonts w:cs="Times New Roman"/>
          <w:szCs w:val="24"/>
        </w:rPr>
        <w:t>, bet reāli strādāja 13</w:t>
      </w:r>
      <w:r w:rsidR="00AE3ED1">
        <w:rPr>
          <w:rFonts w:cs="Times New Roman"/>
          <w:szCs w:val="24"/>
        </w:rPr>
        <w:t>0</w:t>
      </w:r>
      <w:r w:rsidR="00473797">
        <w:rPr>
          <w:rFonts w:cs="Times New Roman"/>
          <w:szCs w:val="24"/>
        </w:rPr>
        <w:t xml:space="preserve"> jeb 8</w:t>
      </w:r>
      <w:r w:rsidR="00F563D5">
        <w:rPr>
          <w:rFonts w:cs="Times New Roman"/>
          <w:szCs w:val="24"/>
        </w:rPr>
        <w:t>5</w:t>
      </w:r>
      <w:r w:rsidR="00473797">
        <w:rPr>
          <w:rFonts w:cs="Times New Roman"/>
          <w:szCs w:val="24"/>
        </w:rPr>
        <w:t> %</w:t>
      </w:r>
      <w:r>
        <w:rPr>
          <w:rFonts w:cs="Times New Roman"/>
          <w:szCs w:val="24"/>
        </w:rPr>
        <w:t xml:space="preserve">, jo kopā </w:t>
      </w:r>
      <w:r w:rsidR="00F679F5">
        <w:rPr>
          <w:rFonts w:cs="Times New Roman"/>
          <w:szCs w:val="24"/>
        </w:rPr>
        <w:t>7</w:t>
      </w:r>
      <w:r>
        <w:rPr>
          <w:rFonts w:cs="Times New Roman"/>
          <w:szCs w:val="24"/>
        </w:rPr>
        <w:t xml:space="preserve"> prokurori atradās ilgstošā prombūtnē vai stažējās citā prokuratūras struktūrvienībā.</w:t>
      </w:r>
    </w:p>
    <w:p w14:paraId="657278E0" w14:textId="2FE2AB58" w:rsidR="00E51A72" w:rsidRPr="00577BF3" w:rsidRDefault="00331C6A" w:rsidP="00331C6A">
      <w:pPr>
        <w:spacing w:after="0" w:line="240" w:lineRule="auto"/>
        <w:ind w:firstLine="720"/>
        <w:jc w:val="both"/>
        <w:rPr>
          <w:rFonts w:cs="Times New Roman"/>
          <w:szCs w:val="24"/>
        </w:rPr>
      </w:pPr>
      <w:r>
        <w:rPr>
          <w:rFonts w:cs="Times New Roman"/>
          <w:szCs w:val="24"/>
        </w:rPr>
        <w:t xml:space="preserve">Minētā situācija </w:t>
      </w:r>
      <w:r w:rsidR="00E51A72" w:rsidRPr="00577BF3">
        <w:rPr>
          <w:rFonts w:cs="Times New Roman"/>
          <w:szCs w:val="24"/>
        </w:rPr>
        <w:t>vērtējam</w:t>
      </w:r>
      <w:r>
        <w:rPr>
          <w:rFonts w:cs="Times New Roman"/>
          <w:szCs w:val="24"/>
        </w:rPr>
        <w:t>a</w:t>
      </w:r>
      <w:r w:rsidR="00E51A72" w:rsidRPr="00577BF3">
        <w:rPr>
          <w:rFonts w:cs="Times New Roman"/>
          <w:szCs w:val="24"/>
        </w:rPr>
        <w:t xml:space="preserve"> kā būtisks faktors, kas atstāj negatīvu ietekmi uz prokuroru noslodzi un kavē prokuratūras funkciju izpildi. Lai nodrošinātu efektīvu prokuroru pilnvaru realizēšanu kriminālprocesos, kā arī mazinātu prokuroru pārslodzes riskus, prokuratūras darbībā pats svarīgākais ir kvalitatīva prokurora amata kandidātu atlase darbam rajona līmeņa prokuratūrās. Ne mazāk svarīgi ir veicināt prokuroru izaugsmi un motivāciju darbam augstāka </w:t>
      </w:r>
      <w:r w:rsidR="00E51A72" w:rsidRPr="00577BF3">
        <w:rPr>
          <w:rFonts w:cs="Times New Roman"/>
          <w:szCs w:val="24"/>
        </w:rPr>
        <w:lastRenderedPageBreak/>
        <w:t xml:space="preserve">līmeņa prokuratūras struktūrvienībās. Rīgas tiesas apgabalā vērojama prokuroru profesionālā izdegšana un iezīmējas personāla krīzes pazīmes, kas no iestādes rīcībspējas viedokļa prasa nekavējošu un efektīvu risinājumu situācijas uzlabošanai. Minimālais uzdevums šim gadam izvirzāms brīvo štata vietu aizpildīšana </w:t>
      </w:r>
      <w:r w:rsidR="004D0A59">
        <w:rPr>
          <w:rFonts w:cs="Times New Roman"/>
          <w:szCs w:val="24"/>
        </w:rPr>
        <w:t xml:space="preserve">Rīgas tiesas apgabala prokuratūrā un tās darbības teritorijā </w:t>
      </w:r>
      <w:r w:rsidR="00214B23">
        <w:rPr>
          <w:rFonts w:cs="Times New Roman"/>
          <w:szCs w:val="24"/>
        </w:rPr>
        <w:t>ietilpstošajās</w:t>
      </w:r>
      <w:r w:rsidR="004D0A59">
        <w:rPr>
          <w:rFonts w:cs="Times New Roman"/>
          <w:szCs w:val="24"/>
        </w:rPr>
        <w:t xml:space="preserve"> </w:t>
      </w:r>
      <w:r w:rsidR="00E51A72" w:rsidRPr="00577BF3">
        <w:rPr>
          <w:rFonts w:cs="Times New Roman"/>
          <w:szCs w:val="24"/>
        </w:rPr>
        <w:t xml:space="preserve">rajona līmeņa prokuratūras struktūrvienībās. </w:t>
      </w:r>
    </w:p>
    <w:p w14:paraId="4C9DF76A" w14:textId="77777777" w:rsidR="001E4661" w:rsidRPr="00577BF3" w:rsidRDefault="001E4661" w:rsidP="00CF4214">
      <w:pPr>
        <w:spacing w:after="0" w:line="240" w:lineRule="auto"/>
        <w:ind w:firstLine="720"/>
        <w:jc w:val="both"/>
        <w:rPr>
          <w:rFonts w:cs="Times New Roman"/>
          <w:szCs w:val="24"/>
        </w:rPr>
      </w:pPr>
    </w:p>
    <w:p w14:paraId="6B6A7876" w14:textId="2EB4AEC0" w:rsidR="00814FBE" w:rsidRPr="00D922EB" w:rsidRDefault="00EE032B" w:rsidP="00D922EB">
      <w:pPr>
        <w:spacing w:after="0" w:line="240" w:lineRule="auto"/>
        <w:ind w:firstLine="720"/>
        <w:jc w:val="both"/>
        <w:rPr>
          <w:rFonts w:cs="Times New Roman"/>
          <w:szCs w:val="24"/>
        </w:rPr>
      </w:pPr>
      <w:bookmarkStart w:id="12" w:name="_Hlk63681037"/>
      <w:r w:rsidRPr="00577BF3">
        <w:rPr>
          <w:rFonts w:cs="Times New Roman"/>
          <w:szCs w:val="24"/>
        </w:rPr>
        <w:t xml:space="preserve">Prokuratūrā notiekošā reorganizācija ietver rajona līmeņa prokuratūras struktūrvienību apvienošanu, izveidojot jaunas prokuratūras struktūrvienības, tādējādi samazinot to skaitu. Rīgas tiesas apgabalā no 2020. gada 1. oktobra, apvienojot Rīgas pilsētas Zemgales priekšpilsētas prokuratūru un Rīgas pilsētas Kurzemes rajona prokuratūru, tika izveidota Rīgas pilsētas Pārdaugavas prokuratūra (no 2021. gada 1. janvāra tai mainīts nosaukums uz </w:t>
      </w:r>
      <w:r w:rsidRPr="00577BF3">
        <w:rPr>
          <w:rFonts w:cs="Times New Roman"/>
          <w:b/>
          <w:bCs/>
          <w:szCs w:val="24"/>
        </w:rPr>
        <w:t>Rīgas Pārdaugavas prokuratūra</w:t>
      </w:r>
      <w:r w:rsidRPr="00577BF3">
        <w:rPr>
          <w:rFonts w:cs="Times New Roman"/>
          <w:szCs w:val="24"/>
        </w:rPr>
        <w:t xml:space="preserve"> un samazināta 1 prokurora </w:t>
      </w:r>
      <w:r w:rsidR="00066536">
        <w:rPr>
          <w:rFonts w:cs="Times New Roman"/>
          <w:szCs w:val="24"/>
        </w:rPr>
        <w:t>amata</w:t>
      </w:r>
      <w:r w:rsidRPr="00577BF3">
        <w:rPr>
          <w:rFonts w:cs="Times New Roman"/>
          <w:szCs w:val="24"/>
        </w:rPr>
        <w:t xml:space="preserve"> vieta) un no 2021. gada 1. janvāra, apvienojot 6 rajona līmeņa prokuratūras struktūrvienības, kā arī iekļaujot Ogres rajona prokuratūru Zemgales tiesas apgabalā,  izveidotas 3 jaunas rajona līmeņa prokuratūras</w:t>
      </w:r>
      <w:r w:rsidR="00F1054A" w:rsidRPr="00577BF3">
        <w:rPr>
          <w:rFonts w:cs="Times New Roman"/>
          <w:szCs w:val="24"/>
        </w:rPr>
        <w:t xml:space="preserve"> struktūrvienības</w:t>
      </w:r>
      <w:r w:rsidRPr="00577BF3">
        <w:rPr>
          <w:rFonts w:cs="Times New Roman"/>
          <w:szCs w:val="24"/>
        </w:rPr>
        <w:t xml:space="preserve"> – </w:t>
      </w:r>
      <w:r w:rsidRPr="00577BF3">
        <w:rPr>
          <w:rFonts w:cs="Times New Roman"/>
          <w:b/>
          <w:bCs/>
          <w:szCs w:val="24"/>
        </w:rPr>
        <w:t>Rīgas Austrumu prokuratūra</w:t>
      </w:r>
      <w:r w:rsidRPr="00577BF3">
        <w:rPr>
          <w:rFonts w:cs="Times New Roman"/>
          <w:szCs w:val="24"/>
        </w:rPr>
        <w:t>, apvienojot Rīgas pilsētas Centra rajona prokuratūru un</w:t>
      </w:r>
      <w:r w:rsidR="00332082" w:rsidRPr="00577BF3">
        <w:rPr>
          <w:rFonts w:cs="Times New Roman"/>
          <w:szCs w:val="24"/>
        </w:rPr>
        <w:t xml:space="preserve"> </w:t>
      </w:r>
      <w:r w:rsidRPr="00577BF3">
        <w:rPr>
          <w:rFonts w:cs="Times New Roman"/>
          <w:szCs w:val="24"/>
        </w:rPr>
        <w:t xml:space="preserve">Rīgas pilsētas Latgales priekšpilsētas prokuratūru, </w:t>
      </w:r>
      <w:r w:rsidRPr="00577BF3">
        <w:rPr>
          <w:rFonts w:cs="Times New Roman"/>
          <w:b/>
          <w:bCs/>
          <w:szCs w:val="24"/>
        </w:rPr>
        <w:t>Rīgas Ziemeļu prokuratūra</w:t>
      </w:r>
      <w:r w:rsidRPr="00577BF3">
        <w:rPr>
          <w:rFonts w:cs="Times New Roman"/>
          <w:szCs w:val="24"/>
        </w:rPr>
        <w:t xml:space="preserve">, apvienojot Rīgas pilsētas Vidzemes priekšpilsētas prokuratūru un Rīgas pilsētas Ziemeļu rajona prokuratūru, un </w:t>
      </w:r>
      <w:r w:rsidRPr="00577BF3">
        <w:rPr>
          <w:rFonts w:cs="Times New Roman"/>
          <w:b/>
          <w:bCs/>
          <w:szCs w:val="24"/>
        </w:rPr>
        <w:t>Pierīgas prokuratūra</w:t>
      </w:r>
      <w:r w:rsidRPr="00577BF3">
        <w:rPr>
          <w:rFonts w:cs="Times New Roman"/>
          <w:szCs w:val="24"/>
        </w:rPr>
        <w:t xml:space="preserve">, apvienojot Rīgas rajona prokuratūru un Jūrmalas pilsētas prokuratūru, un samazināta 1 prokurora </w:t>
      </w:r>
      <w:r w:rsidR="00066536">
        <w:rPr>
          <w:rFonts w:cs="Times New Roman"/>
          <w:szCs w:val="24"/>
        </w:rPr>
        <w:t>amata</w:t>
      </w:r>
      <w:r w:rsidRPr="00577BF3">
        <w:rPr>
          <w:rFonts w:cs="Times New Roman"/>
          <w:szCs w:val="24"/>
        </w:rPr>
        <w:t xml:space="preserve"> vieta.   </w:t>
      </w:r>
      <w:bookmarkEnd w:id="5"/>
      <w:bookmarkEnd w:id="12"/>
    </w:p>
    <w:p w14:paraId="77B944D3" w14:textId="77777777" w:rsidR="00814FBE" w:rsidRPr="008530D0" w:rsidRDefault="00814FBE" w:rsidP="00CF4214">
      <w:pPr>
        <w:spacing w:after="0" w:line="240" w:lineRule="auto"/>
        <w:ind w:firstLine="357"/>
        <w:jc w:val="center"/>
        <w:rPr>
          <w:rFonts w:cs="Times New Roman"/>
          <w:b/>
          <w:bCs/>
          <w:szCs w:val="24"/>
        </w:rPr>
      </w:pPr>
    </w:p>
    <w:p w14:paraId="14CB8EA2" w14:textId="07EAD73B" w:rsidR="00E51A72" w:rsidRPr="00577BF3" w:rsidRDefault="00E51A72" w:rsidP="003534DE">
      <w:pPr>
        <w:spacing w:after="0" w:line="240" w:lineRule="auto"/>
        <w:jc w:val="center"/>
        <w:rPr>
          <w:rFonts w:cs="Times New Roman"/>
          <w:szCs w:val="24"/>
        </w:rPr>
      </w:pPr>
      <w:r w:rsidRPr="00577BF3">
        <w:rPr>
          <w:rFonts w:cs="Times New Roman"/>
          <w:b/>
          <w:bCs/>
          <w:sz w:val="28"/>
          <w:szCs w:val="28"/>
        </w:rPr>
        <w:t>II</w:t>
      </w:r>
      <w:r w:rsidR="00A46FAE" w:rsidRPr="00577BF3">
        <w:rPr>
          <w:rFonts w:cs="Times New Roman"/>
          <w:b/>
          <w:bCs/>
          <w:sz w:val="28"/>
          <w:szCs w:val="28"/>
        </w:rPr>
        <w:t>.</w:t>
      </w:r>
      <w:r w:rsidR="0010445A" w:rsidRPr="00577BF3">
        <w:rPr>
          <w:rFonts w:cs="Times New Roman"/>
          <w:b/>
          <w:bCs/>
          <w:sz w:val="28"/>
          <w:szCs w:val="28"/>
        </w:rPr>
        <w:t> </w:t>
      </w:r>
      <w:r w:rsidRPr="00577BF3">
        <w:rPr>
          <w:rFonts w:cs="Times New Roman"/>
          <w:b/>
          <w:bCs/>
          <w:sz w:val="28"/>
          <w:szCs w:val="28"/>
        </w:rPr>
        <w:t>Tiesas apgabala prokuratūras darba rādītāji</w:t>
      </w:r>
    </w:p>
    <w:p w14:paraId="039D090F" w14:textId="0CFD7A7F" w:rsidR="00E51A72" w:rsidRPr="00577BF3" w:rsidRDefault="00E51A72" w:rsidP="00CF4214">
      <w:pPr>
        <w:spacing w:after="0" w:line="240" w:lineRule="auto"/>
        <w:jc w:val="center"/>
        <w:rPr>
          <w:rFonts w:cs="Times New Roman"/>
          <w:b/>
          <w:bCs/>
          <w:sz w:val="28"/>
          <w:szCs w:val="28"/>
        </w:rPr>
      </w:pPr>
      <w:r w:rsidRPr="00577BF3">
        <w:rPr>
          <w:rFonts w:cs="Times New Roman"/>
          <w:b/>
          <w:bCs/>
          <w:sz w:val="28"/>
          <w:szCs w:val="28"/>
        </w:rPr>
        <w:t>(salīdzinājum</w:t>
      </w:r>
      <w:r w:rsidR="003F12BE" w:rsidRPr="00577BF3">
        <w:rPr>
          <w:rFonts w:cs="Times New Roman"/>
          <w:b/>
          <w:bCs/>
          <w:sz w:val="28"/>
          <w:szCs w:val="28"/>
        </w:rPr>
        <w:t>s</w:t>
      </w:r>
      <w:r w:rsidRPr="00577BF3">
        <w:rPr>
          <w:rFonts w:cs="Times New Roman"/>
          <w:b/>
          <w:bCs/>
          <w:sz w:val="28"/>
          <w:szCs w:val="28"/>
        </w:rPr>
        <w:t xml:space="preserve"> 3 gadu periodā)</w:t>
      </w:r>
    </w:p>
    <w:p w14:paraId="73512536" w14:textId="77777777" w:rsidR="00A11FF5" w:rsidRPr="008530D0" w:rsidRDefault="00A11FF5" w:rsidP="00CF4214">
      <w:pPr>
        <w:spacing w:after="0" w:line="240" w:lineRule="auto"/>
        <w:jc w:val="center"/>
        <w:rPr>
          <w:rFonts w:cs="Times New Roman"/>
          <w:b/>
          <w:bCs/>
          <w:szCs w:val="24"/>
        </w:rPr>
      </w:pPr>
    </w:p>
    <w:p w14:paraId="46E7D60B" w14:textId="59451549" w:rsidR="001E4661" w:rsidRDefault="00E51A72" w:rsidP="00A728CC">
      <w:pPr>
        <w:pStyle w:val="ListParagraph"/>
        <w:numPr>
          <w:ilvl w:val="0"/>
          <w:numId w:val="5"/>
        </w:numPr>
        <w:spacing w:after="120" w:line="240" w:lineRule="auto"/>
        <w:ind w:left="714" w:hanging="357"/>
        <w:jc w:val="both"/>
        <w:rPr>
          <w:rFonts w:cs="Times New Roman"/>
          <w:b/>
          <w:szCs w:val="24"/>
        </w:rPr>
      </w:pPr>
      <w:bookmarkStart w:id="13" w:name="_Hlk61692992"/>
      <w:r w:rsidRPr="00577BF3">
        <w:rPr>
          <w:rFonts w:cs="Times New Roman"/>
          <w:b/>
          <w:szCs w:val="24"/>
        </w:rPr>
        <w:t>Kriminālvajāšanai saņemt</w:t>
      </w:r>
      <w:r w:rsidR="0017196D">
        <w:rPr>
          <w:rFonts w:cs="Times New Roman"/>
          <w:b/>
          <w:szCs w:val="24"/>
        </w:rPr>
        <w:t xml:space="preserve">i </w:t>
      </w:r>
      <w:r w:rsidRPr="00577BF3">
        <w:rPr>
          <w:rFonts w:cs="Times New Roman"/>
          <w:b/>
          <w:szCs w:val="24"/>
        </w:rPr>
        <w:t>krimināl</w:t>
      </w:r>
      <w:bookmarkStart w:id="14" w:name="_Hlk62898039"/>
      <w:r w:rsidR="0017196D">
        <w:rPr>
          <w:rFonts w:cs="Times New Roman"/>
          <w:b/>
          <w:szCs w:val="24"/>
        </w:rPr>
        <w:t>procesi</w:t>
      </w:r>
    </w:p>
    <w:bookmarkEnd w:id="14"/>
    <w:p w14:paraId="6782D6D2" w14:textId="5DCC616A" w:rsidR="00E51A72" w:rsidRPr="00577BF3" w:rsidRDefault="00E51A72" w:rsidP="008F03D9">
      <w:pPr>
        <w:spacing w:after="0" w:line="240" w:lineRule="auto"/>
        <w:jc w:val="center"/>
        <w:rPr>
          <w:rFonts w:cs="Times New Roman"/>
          <w:bCs/>
          <w:szCs w:val="24"/>
        </w:rPr>
      </w:pPr>
      <w:r w:rsidRPr="008C21FA">
        <w:rPr>
          <w:rFonts w:cs="Times New Roman"/>
          <w:b/>
          <w:bCs/>
          <w:noProof/>
        </w:rPr>
        <w:drawing>
          <wp:inline distT="0" distB="0" distL="0" distR="0" wp14:anchorId="2D390193" wp14:editId="60A1FF16">
            <wp:extent cx="3981450" cy="1662546"/>
            <wp:effectExtent l="0" t="0" r="0" b="1397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854F19C" w14:textId="77777777" w:rsidR="001E4661" w:rsidRPr="00577BF3" w:rsidRDefault="001E4661" w:rsidP="00A728CC">
      <w:pPr>
        <w:spacing w:after="0" w:line="240" w:lineRule="auto"/>
        <w:rPr>
          <w:rFonts w:cs="Times New Roman"/>
          <w:bCs/>
          <w:szCs w:val="24"/>
        </w:rPr>
      </w:pPr>
    </w:p>
    <w:bookmarkEnd w:id="13"/>
    <w:p w14:paraId="447F438E" w14:textId="1F088AAE" w:rsidR="001E4661" w:rsidRDefault="009F6DAA" w:rsidP="008530D0">
      <w:pPr>
        <w:spacing w:after="0" w:line="240" w:lineRule="auto"/>
        <w:ind w:firstLine="720"/>
        <w:jc w:val="both"/>
        <w:rPr>
          <w:rFonts w:cs="Times New Roman"/>
          <w:bCs/>
          <w:szCs w:val="24"/>
        </w:rPr>
      </w:pPr>
      <w:r>
        <w:rPr>
          <w:rFonts w:cs="Times New Roman"/>
          <w:bCs/>
          <w:szCs w:val="24"/>
        </w:rPr>
        <w:t>Rīgas tiesas apgabala prokuratūrā k</w:t>
      </w:r>
      <w:r w:rsidR="00E51A72" w:rsidRPr="00577BF3">
        <w:rPr>
          <w:rFonts w:cs="Times New Roman"/>
          <w:bCs/>
          <w:szCs w:val="24"/>
        </w:rPr>
        <w:t>riminālvajāšanai saņemto krimināl</w:t>
      </w:r>
      <w:r w:rsidR="00426D3A">
        <w:rPr>
          <w:rFonts w:cs="Times New Roman"/>
          <w:bCs/>
          <w:szCs w:val="24"/>
        </w:rPr>
        <w:t>procesu</w:t>
      </w:r>
      <w:r w:rsidR="00E51A72" w:rsidRPr="00577BF3">
        <w:rPr>
          <w:rFonts w:cs="Times New Roman"/>
          <w:bCs/>
          <w:szCs w:val="24"/>
        </w:rPr>
        <w:t xml:space="preserve"> skaits, salīdzinot ar 2019.</w:t>
      </w:r>
      <w:r w:rsidR="00F526A5" w:rsidRPr="00577BF3">
        <w:rPr>
          <w:rFonts w:cs="Times New Roman"/>
          <w:bCs/>
          <w:szCs w:val="24"/>
        </w:rPr>
        <w:t> </w:t>
      </w:r>
      <w:r w:rsidR="00E51A72" w:rsidRPr="00577BF3">
        <w:rPr>
          <w:rFonts w:cs="Times New Roman"/>
          <w:bCs/>
          <w:szCs w:val="24"/>
        </w:rPr>
        <w:t>gadu</w:t>
      </w:r>
      <w:r w:rsidR="00F526A5" w:rsidRPr="00577BF3">
        <w:rPr>
          <w:rFonts w:cs="Times New Roman"/>
          <w:bCs/>
          <w:szCs w:val="24"/>
        </w:rPr>
        <w:t>,</w:t>
      </w:r>
      <w:r w:rsidR="00E51A72" w:rsidRPr="00577BF3">
        <w:rPr>
          <w:rFonts w:cs="Times New Roman"/>
          <w:bCs/>
          <w:szCs w:val="24"/>
        </w:rPr>
        <w:t xml:space="preserve"> palicis nemainīgs. Akcentējams, ka lietvedībā pieņemto kriminālprocesu apjomu nav ietekmējuši valstī </w:t>
      </w:r>
      <w:bookmarkStart w:id="15" w:name="_Hlk63239586"/>
      <w:r w:rsidR="00E51A72" w:rsidRPr="00577BF3">
        <w:rPr>
          <w:rFonts w:cs="Times New Roman"/>
          <w:bCs/>
          <w:szCs w:val="24"/>
        </w:rPr>
        <w:t>ārkārt</w:t>
      </w:r>
      <w:r w:rsidR="00F526A5" w:rsidRPr="00577BF3">
        <w:rPr>
          <w:rFonts w:cs="Times New Roman"/>
          <w:bCs/>
          <w:szCs w:val="24"/>
        </w:rPr>
        <w:t>ējās</w:t>
      </w:r>
      <w:r w:rsidR="00E51A72" w:rsidRPr="00577BF3">
        <w:rPr>
          <w:rFonts w:cs="Times New Roman"/>
          <w:bCs/>
          <w:szCs w:val="24"/>
        </w:rPr>
        <w:t xml:space="preserve"> s</w:t>
      </w:r>
      <w:r w:rsidR="00F526A5" w:rsidRPr="00577BF3">
        <w:rPr>
          <w:rFonts w:cs="Times New Roman"/>
          <w:bCs/>
          <w:szCs w:val="24"/>
        </w:rPr>
        <w:t>ituācijas</w:t>
      </w:r>
      <w:r w:rsidR="00E51A72" w:rsidRPr="00577BF3">
        <w:rPr>
          <w:rFonts w:cs="Times New Roman"/>
          <w:bCs/>
          <w:szCs w:val="24"/>
        </w:rPr>
        <w:t xml:space="preserve"> dēļ </w:t>
      </w:r>
      <w:bookmarkEnd w:id="15"/>
      <w:r w:rsidR="00E51A72" w:rsidRPr="00577BF3">
        <w:rPr>
          <w:rFonts w:cs="Times New Roman"/>
          <w:bCs/>
          <w:szCs w:val="24"/>
        </w:rPr>
        <w:t>noteiktie ierobežojumi, kas nenoliedzami kavēja izmeklēšanas iestāžu normālu darbību.</w:t>
      </w:r>
    </w:p>
    <w:p w14:paraId="25BCF14E" w14:textId="77777777" w:rsidR="008530D0" w:rsidRPr="00577BF3" w:rsidRDefault="008530D0" w:rsidP="008530D0">
      <w:pPr>
        <w:spacing w:after="0" w:line="240" w:lineRule="auto"/>
        <w:ind w:firstLine="720"/>
        <w:jc w:val="both"/>
        <w:rPr>
          <w:rFonts w:cs="Times New Roman"/>
          <w:bCs/>
          <w:szCs w:val="24"/>
        </w:rPr>
      </w:pPr>
    </w:p>
    <w:p w14:paraId="582B5E25" w14:textId="77777777" w:rsidR="001E4661" w:rsidRDefault="00E51A72" w:rsidP="00A728CC">
      <w:pPr>
        <w:pStyle w:val="ListParagraph"/>
        <w:numPr>
          <w:ilvl w:val="0"/>
          <w:numId w:val="5"/>
        </w:numPr>
        <w:spacing w:after="120" w:line="240" w:lineRule="auto"/>
        <w:ind w:left="714" w:hanging="357"/>
        <w:jc w:val="both"/>
        <w:rPr>
          <w:rFonts w:cs="Times New Roman"/>
          <w:b/>
          <w:szCs w:val="24"/>
        </w:rPr>
      </w:pPr>
      <w:r w:rsidRPr="00577BF3">
        <w:rPr>
          <w:rFonts w:cs="Times New Roman"/>
          <w:b/>
          <w:szCs w:val="24"/>
        </w:rPr>
        <w:t>Tiesai nodot</w:t>
      </w:r>
      <w:r w:rsidR="00556E8A">
        <w:rPr>
          <w:rFonts w:cs="Times New Roman"/>
          <w:b/>
          <w:szCs w:val="24"/>
        </w:rPr>
        <w:t>a</w:t>
      </w:r>
      <w:r w:rsidR="00E765BB">
        <w:rPr>
          <w:rFonts w:cs="Times New Roman"/>
          <w:b/>
          <w:szCs w:val="24"/>
        </w:rPr>
        <w:t xml:space="preserve">s </w:t>
      </w:r>
      <w:r w:rsidRPr="00577BF3">
        <w:rPr>
          <w:rFonts w:cs="Times New Roman"/>
          <w:b/>
          <w:szCs w:val="24"/>
        </w:rPr>
        <w:t>krimināl</w:t>
      </w:r>
      <w:r w:rsidR="00E765BB">
        <w:rPr>
          <w:rFonts w:cs="Times New Roman"/>
          <w:b/>
          <w:szCs w:val="24"/>
        </w:rPr>
        <w:t>lietas</w:t>
      </w:r>
      <w:r w:rsidRPr="00577BF3">
        <w:rPr>
          <w:rFonts w:cs="Times New Roman"/>
          <w:b/>
          <w:szCs w:val="24"/>
        </w:rPr>
        <w:t>, no t</w:t>
      </w:r>
      <w:r w:rsidR="003C7FCD">
        <w:rPr>
          <w:rFonts w:cs="Times New Roman"/>
          <w:b/>
          <w:szCs w:val="24"/>
        </w:rPr>
        <w:t>ām</w:t>
      </w:r>
      <w:r w:rsidRPr="00577BF3">
        <w:rPr>
          <w:rFonts w:cs="Times New Roman"/>
          <w:b/>
          <w:szCs w:val="24"/>
        </w:rPr>
        <w:t xml:space="preserve"> vienošanās procesa kārtībā</w:t>
      </w:r>
      <w:bookmarkStart w:id="16" w:name="_Hlk62898217"/>
      <w:bookmarkStart w:id="17" w:name="_Hlk351363"/>
    </w:p>
    <w:bookmarkEnd w:id="16"/>
    <w:p w14:paraId="75EB780E" w14:textId="481017EE" w:rsidR="00A728CC" w:rsidRDefault="00E51A72" w:rsidP="00A728CC">
      <w:pPr>
        <w:spacing w:after="0" w:line="240" w:lineRule="auto"/>
        <w:jc w:val="center"/>
        <w:rPr>
          <w:rFonts w:cs="Times New Roman"/>
          <w:bCs/>
          <w:szCs w:val="24"/>
        </w:rPr>
      </w:pPr>
      <w:r w:rsidRPr="00577BF3">
        <w:rPr>
          <w:rFonts w:cs="Times New Roman"/>
          <w:noProof/>
        </w:rPr>
        <w:drawing>
          <wp:inline distT="0" distB="0" distL="0" distR="0" wp14:anchorId="76373547" wp14:editId="6A54369F">
            <wp:extent cx="3919855" cy="1627909"/>
            <wp:effectExtent l="0" t="0" r="4445" b="1079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End w:id="17"/>
    </w:p>
    <w:p w14:paraId="2C72CEE4" w14:textId="77777777" w:rsidR="00835081" w:rsidRDefault="00835081" w:rsidP="00835081">
      <w:pPr>
        <w:spacing w:after="0" w:line="240" w:lineRule="auto"/>
        <w:rPr>
          <w:rFonts w:cs="Times New Roman"/>
          <w:bCs/>
          <w:szCs w:val="24"/>
        </w:rPr>
      </w:pPr>
    </w:p>
    <w:p w14:paraId="5900F25D" w14:textId="71F454DA" w:rsidR="00E51A72" w:rsidRPr="00577BF3" w:rsidRDefault="00E51A72" w:rsidP="00034C36">
      <w:pPr>
        <w:spacing w:after="0" w:line="240" w:lineRule="auto"/>
        <w:ind w:firstLine="720"/>
        <w:jc w:val="both"/>
        <w:rPr>
          <w:rFonts w:cs="Times New Roman"/>
          <w:bCs/>
          <w:szCs w:val="24"/>
        </w:rPr>
      </w:pPr>
      <w:r w:rsidRPr="00577BF3">
        <w:rPr>
          <w:rFonts w:cs="Times New Roman"/>
          <w:bCs/>
          <w:szCs w:val="24"/>
        </w:rPr>
        <w:lastRenderedPageBreak/>
        <w:t>Tiesai nodoto krimināl</w:t>
      </w:r>
      <w:r w:rsidR="003C7FCD">
        <w:rPr>
          <w:rFonts w:cs="Times New Roman"/>
          <w:bCs/>
          <w:szCs w:val="24"/>
        </w:rPr>
        <w:t>lietu</w:t>
      </w:r>
      <w:r w:rsidRPr="00577BF3">
        <w:rPr>
          <w:rFonts w:cs="Times New Roman"/>
          <w:bCs/>
          <w:szCs w:val="24"/>
        </w:rPr>
        <w:t xml:space="preserve"> skaita ziņā vērojams būtisks samazinājums, kas galvenokārt saistīts ar pirmstiesas procesa ieilgšanu </w:t>
      </w:r>
      <w:r w:rsidR="00F526A5" w:rsidRPr="00577BF3">
        <w:rPr>
          <w:rFonts w:cs="Times New Roman"/>
          <w:bCs/>
          <w:szCs w:val="24"/>
        </w:rPr>
        <w:t>ārkārtējās situācijas dēļ</w:t>
      </w:r>
      <w:r w:rsidRPr="00577BF3">
        <w:rPr>
          <w:rFonts w:cs="Times New Roman"/>
          <w:bCs/>
          <w:szCs w:val="24"/>
        </w:rPr>
        <w:t xml:space="preserve"> </w:t>
      </w:r>
      <w:r w:rsidR="00F526A5" w:rsidRPr="00577BF3">
        <w:rPr>
          <w:rFonts w:cs="Times New Roman"/>
          <w:bCs/>
          <w:szCs w:val="24"/>
        </w:rPr>
        <w:t>noteikto</w:t>
      </w:r>
      <w:r w:rsidRPr="00577BF3">
        <w:rPr>
          <w:rFonts w:cs="Times New Roman"/>
          <w:bCs/>
          <w:szCs w:val="24"/>
        </w:rPr>
        <w:t xml:space="preserve"> ierobežojumu kontekstā. </w:t>
      </w:r>
      <w:r w:rsidR="0037771D">
        <w:rPr>
          <w:rFonts w:cs="Times New Roman"/>
          <w:bCs/>
          <w:szCs w:val="24"/>
        </w:rPr>
        <w:t>Rīgas tiesas apgabala prokuratūrā</w:t>
      </w:r>
      <w:r w:rsidRPr="00577BF3">
        <w:rPr>
          <w:rFonts w:cs="Times New Roman"/>
          <w:bCs/>
          <w:szCs w:val="24"/>
        </w:rPr>
        <w:t xml:space="preserve"> izveidojies atlikumā esošo </w:t>
      </w:r>
      <w:r w:rsidR="00220438">
        <w:rPr>
          <w:rFonts w:cs="Times New Roman"/>
          <w:bCs/>
          <w:szCs w:val="24"/>
        </w:rPr>
        <w:t>kr</w:t>
      </w:r>
      <w:r w:rsidR="0080270E">
        <w:rPr>
          <w:rFonts w:cs="Times New Roman"/>
          <w:bCs/>
          <w:szCs w:val="24"/>
        </w:rPr>
        <w:t>i</w:t>
      </w:r>
      <w:r w:rsidR="00220438">
        <w:rPr>
          <w:rFonts w:cs="Times New Roman"/>
          <w:bCs/>
          <w:szCs w:val="24"/>
        </w:rPr>
        <w:t>mināl</w:t>
      </w:r>
      <w:r w:rsidR="0080270E">
        <w:rPr>
          <w:rFonts w:cs="Times New Roman"/>
          <w:bCs/>
          <w:szCs w:val="24"/>
        </w:rPr>
        <w:t>l</w:t>
      </w:r>
      <w:r w:rsidRPr="00577BF3">
        <w:rPr>
          <w:rFonts w:cs="Times New Roman"/>
          <w:bCs/>
          <w:szCs w:val="24"/>
        </w:rPr>
        <w:t>ietu pieaugums, ko ietekmējusi procesuālo darbību norises kavēšana un atlikšana ārkārt</w:t>
      </w:r>
      <w:r w:rsidR="0072566E" w:rsidRPr="00577BF3">
        <w:rPr>
          <w:rFonts w:cs="Times New Roman"/>
          <w:bCs/>
          <w:szCs w:val="24"/>
        </w:rPr>
        <w:t>ējās situācijas</w:t>
      </w:r>
      <w:r w:rsidRPr="00577BF3">
        <w:rPr>
          <w:rFonts w:cs="Times New Roman"/>
          <w:bCs/>
          <w:szCs w:val="24"/>
        </w:rPr>
        <w:t xml:space="preserve"> dēļ. </w:t>
      </w:r>
    </w:p>
    <w:p w14:paraId="1131C662" w14:textId="4A49E773" w:rsidR="00E51A72" w:rsidRPr="00577BF3" w:rsidRDefault="00E51A72" w:rsidP="00CF4214">
      <w:pPr>
        <w:spacing w:after="0" w:line="240" w:lineRule="auto"/>
        <w:jc w:val="both"/>
        <w:rPr>
          <w:rFonts w:cs="Times New Roman"/>
          <w:bCs/>
          <w:szCs w:val="24"/>
        </w:rPr>
      </w:pPr>
      <w:r w:rsidRPr="00577BF3">
        <w:rPr>
          <w:rFonts w:cs="Times New Roman"/>
          <w:bCs/>
          <w:szCs w:val="24"/>
        </w:rPr>
        <w:tab/>
        <w:t>Nemainīgi pozitīva tendence raksturīga vienošanās procesa piemērošan</w:t>
      </w:r>
      <w:r w:rsidR="0074135D">
        <w:rPr>
          <w:rFonts w:cs="Times New Roman"/>
          <w:bCs/>
          <w:szCs w:val="24"/>
        </w:rPr>
        <w:t>ā</w:t>
      </w:r>
      <w:r w:rsidR="00BA59B6">
        <w:rPr>
          <w:rFonts w:cs="Times New Roman"/>
          <w:bCs/>
          <w:szCs w:val="24"/>
        </w:rPr>
        <w:t xml:space="preserve">. </w:t>
      </w:r>
      <w:r w:rsidRPr="00577BF3">
        <w:rPr>
          <w:rFonts w:cs="Times New Roman"/>
          <w:bCs/>
          <w:szCs w:val="24"/>
        </w:rPr>
        <w:t>23</w:t>
      </w:r>
      <w:r w:rsidR="003F12BE" w:rsidRPr="00577BF3">
        <w:rPr>
          <w:rFonts w:cs="Times New Roman"/>
          <w:bCs/>
          <w:szCs w:val="24"/>
        </w:rPr>
        <w:t> </w:t>
      </w:r>
      <w:r w:rsidRPr="00577BF3">
        <w:rPr>
          <w:rFonts w:cs="Times New Roman"/>
          <w:bCs/>
          <w:szCs w:val="24"/>
        </w:rPr>
        <w:t xml:space="preserve">% no </w:t>
      </w:r>
      <w:r w:rsidR="00AB0B77">
        <w:rPr>
          <w:rFonts w:cs="Times New Roman"/>
          <w:bCs/>
          <w:szCs w:val="24"/>
        </w:rPr>
        <w:t xml:space="preserve">visām </w:t>
      </w:r>
      <w:r w:rsidR="00EA7479">
        <w:rPr>
          <w:rFonts w:cs="Times New Roman"/>
          <w:bCs/>
          <w:szCs w:val="24"/>
        </w:rPr>
        <w:t xml:space="preserve">2020. gadā </w:t>
      </w:r>
      <w:r w:rsidRPr="00577BF3">
        <w:rPr>
          <w:rFonts w:cs="Times New Roman"/>
          <w:bCs/>
          <w:szCs w:val="24"/>
        </w:rPr>
        <w:t>tiesai nodotaj</w:t>
      </w:r>
      <w:r w:rsidR="009518C6">
        <w:rPr>
          <w:rFonts w:cs="Times New Roman"/>
          <w:bCs/>
          <w:szCs w:val="24"/>
        </w:rPr>
        <w:t>ām</w:t>
      </w:r>
      <w:r w:rsidRPr="00577BF3">
        <w:rPr>
          <w:rFonts w:cs="Times New Roman"/>
          <w:bCs/>
          <w:szCs w:val="24"/>
        </w:rPr>
        <w:t xml:space="preserve"> krimināl</w:t>
      </w:r>
      <w:r w:rsidR="009518C6">
        <w:rPr>
          <w:rFonts w:cs="Times New Roman"/>
          <w:bCs/>
          <w:szCs w:val="24"/>
        </w:rPr>
        <w:t>lietām</w:t>
      </w:r>
      <w:r w:rsidR="001E46FC">
        <w:rPr>
          <w:rFonts w:cs="Times New Roman"/>
          <w:bCs/>
          <w:szCs w:val="24"/>
        </w:rPr>
        <w:t xml:space="preserve"> pirmstiesas proces</w:t>
      </w:r>
      <w:r w:rsidR="00B02D45">
        <w:rPr>
          <w:rFonts w:cs="Times New Roman"/>
          <w:bCs/>
          <w:szCs w:val="24"/>
        </w:rPr>
        <w:t>s pabeigts šajā vienkāršotajā kārtībā</w:t>
      </w:r>
      <w:r w:rsidRPr="00577BF3">
        <w:rPr>
          <w:rFonts w:cs="Times New Roman"/>
          <w:bCs/>
          <w:szCs w:val="24"/>
        </w:rPr>
        <w:t xml:space="preserve">. </w:t>
      </w:r>
    </w:p>
    <w:p w14:paraId="2764C00F" w14:textId="77777777" w:rsidR="00C23A66" w:rsidRPr="00577BF3" w:rsidRDefault="00C23A66" w:rsidP="00CF4214">
      <w:pPr>
        <w:spacing w:after="0" w:line="240" w:lineRule="auto"/>
        <w:jc w:val="both"/>
        <w:rPr>
          <w:rFonts w:cs="Times New Roman"/>
          <w:b/>
          <w:szCs w:val="24"/>
        </w:rPr>
      </w:pPr>
    </w:p>
    <w:p w14:paraId="1E38D0C8" w14:textId="77777777" w:rsidR="00F50B11" w:rsidRPr="00464786" w:rsidRDefault="00E51A72" w:rsidP="00A728CC">
      <w:pPr>
        <w:pStyle w:val="ListParagraph"/>
        <w:numPr>
          <w:ilvl w:val="0"/>
          <w:numId w:val="5"/>
        </w:numPr>
        <w:spacing w:after="120" w:line="240" w:lineRule="auto"/>
        <w:ind w:left="714" w:hanging="357"/>
        <w:jc w:val="both"/>
        <w:rPr>
          <w:rFonts w:cs="Times New Roman"/>
          <w:b/>
          <w:szCs w:val="24"/>
        </w:rPr>
      </w:pPr>
      <w:r w:rsidRPr="00577BF3">
        <w:rPr>
          <w:rFonts w:cs="Times New Roman"/>
          <w:b/>
          <w:szCs w:val="24"/>
        </w:rPr>
        <w:t>Prokuratūrā pabeigti kriminālprocesi</w:t>
      </w:r>
      <w:bookmarkStart w:id="18" w:name="_Hlk62898592"/>
      <w:r w:rsidR="002C049C">
        <w:rPr>
          <w:rFonts w:cs="Times New Roman"/>
          <w:b/>
          <w:szCs w:val="24"/>
        </w:rPr>
        <w:t>, nenododot</w:t>
      </w:r>
      <w:r w:rsidR="00215F53">
        <w:rPr>
          <w:rFonts w:cs="Times New Roman"/>
          <w:b/>
          <w:szCs w:val="24"/>
        </w:rPr>
        <w:t xml:space="preserve"> krimināllietu tiesai</w:t>
      </w:r>
    </w:p>
    <w:bookmarkEnd w:id="18"/>
    <w:p w14:paraId="220AD727" w14:textId="42999D1B" w:rsidR="00E51A72" w:rsidRPr="00577BF3" w:rsidRDefault="00E51A72" w:rsidP="00A728CC">
      <w:pPr>
        <w:spacing w:after="0" w:line="240" w:lineRule="auto"/>
        <w:jc w:val="center"/>
        <w:rPr>
          <w:rFonts w:cs="Times New Roman"/>
          <w:bCs/>
          <w:szCs w:val="24"/>
        </w:rPr>
      </w:pPr>
      <w:r w:rsidRPr="00577BF3">
        <w:rPr>
          <w:rFonts w:cs="Times New Roman"/>
          <w:noProof/>
        </w:rPr>
        <w:drawing>
          <wp:inline distT="0" distB="0" distL="0" distR="0" wp14:anchorId="102202AB" wp14:editId="75CC71CA">
            <wp:extent cx="3975100" cy="1399309"/>
            <wp:effectExtent l="0" t="0" r="6350" b="1079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809E8C1" w14:textId="77777777" w:rsidR="00F50B11" w:rsidRPr="00577BF3" w:rsidRDefault="00F50B11" w:rsidP="00CF4214">
      <w:pPr>
        <w:spacing w:after="0" w:line="240" w:lineRule="auto"/>
        <w:jc w:val="center"/>
        <w:rPr>
          <w:rFonts w:cs="Times New Roman"/>
          <w:bCs/>
          <w:szCs w:val="24"/>
        </w:rPr>
      </w:pPr>
    </w:p>
    <w:p w14:paraId="58769A72" w14:textId="5D799849" w:rsidR="00E51A72" w:rsidRPr="00577BF3" w:rsidRDefault="00E51A72" w:rsidP="00CF4214">
      <w:pPr>
        <w:spacing w:after="0" w:line="240" w:lineRule="auto"/>
        <w:ind w:firstLine="720"/>
        <w:jc w:val="both"/>
        <w:rPr>
          <w:rFonts w:cs="Times New Roman"/>
          <w:bCs/>
          <w:szCs w:val="24"/>
        </w:rPr>
      </w:pPr>
      <w:r w:rsidRPr="00577BF3">
        <w:rPr>
          <w:rFonts w:cs="Times New Roman"/>
          <w:bCs/>
          <w:szCs w:val="24"/>
        </w:rPr>
        <w:t xml:space="preserve">Darba rādītājs </w:t>
      </w:r>
      <w:r w:rsidR="003F12BE" w:rsidRPr="00577BF3">
        <w:rPr>
          <w:rFonts w:cs="Times New Roman"/>
          <w:bCs/>
          <w:szCs w:val="24"/>
        </w:rPr>
        <w:t xml:space="preserve">par </w:t>
      </w:r>
      <w:r w:rsidR="002B76E1">
        <w:rPr>
          <w:rFonts w:cs="Times New Roman"/>
          <w:bCs/>
          <w:szCs w:val="24"/>
        </w:rPr>
        <w:t xml:space="preserve">Rīgas tiesas apgabala </w:t>
      </w:r>
      <w:r w:rsidR="003F12BE" w:rsidRPr="00577BF3">
        <w:rPr>
          <w:rFonts w:cs="Times New Roman"/>
          <w:bCs/>
          <w:szCs w:val="24"/>
        </w:rPr>
        <w:t>prokuratūrā pabeigtajiem kriminālprocesiem</w:t>
      </w:r>
      <w:r w:rsidR="00C275FB">
        <w:rPr>
          <w:rFonts w:cs="Times New Roman"/>
          <w:bCs/>
          <w:szCs w:val="24"/>
        </w:rPr>
        <w:t>, nenodo</w:t>
      </w:r>
      <w:r w:rsidR="003F2CEC">
        <w:rPr>
          <w:rFonts w:cs="Times New Roman"/>
          <w:bCs/>
          <w:szCs w:val="24"/>
        </w:rPr>
        <w:t>dot lietu tiesai,</w:t>
      </w:r>
      <w:r w:rsidR="003F12BE" w:rsidRPr="00577BF3">
        <w:rPr>
          <w:rFonts w:cs="Times New Roman"/>
          <w:bCs/>
          <w:szCs w:val="24"/>
        </w:rPr>
        <w:t xml:space="preserve"> ir </w:t>
      </w:r>
      <w:r w:rsidRPr="00577BF3">
        <w:rPr>
          <w:rFonts w:cs="Times New Roman"/>
          <w:bCs/>
          <w:szCs w:val="24"/>
        </w:rPr>
        <w:t>bez būtiskām izmaiņām salīdzinājumā ar 2019.</w:t>
      </w:r>
      <w:r w:rsidR="0010445A" w:rsidRPr="00577BF3">
        <w:rPr>
          <w:rFonts w:cs="Times New Roman"/>
          <w:bCs/>
          <w:szCs w:val="24"/>
        </w:rPr>
        <w:t> </w:t>
      </w:r>
      <w:r w:rsidRPr="00577BF3">
        <w:rPr>
          <w:rFonts w:cs="Times New Roman"/>
          <w:bCs/>
          <w:szCs w:val="24"/>
        </w:rPr>
        <w:t xml:space="preserve">gadu. Pozitīvi vērtējama prokuroru darbība, </w:t>
      </w:r>
      <w:r w:rsidR="0010445A" w:rsidRPr="00577BF3">
        <w:rPr>
          <w:rFonts w:cs="Times New Roman"/>
          <w:bCs/>
          <w:szCs w:val="24"/>
        </w:rPr>
        <w:t xml:space="preserve">jo </w:t>
      </w:r>
      <w:r w:rsidRPr="00577BF3">
        <w:rPr>
          <w:rFonts w:cs="Times New Roman"/>
          <w:bCs/>
          <w:szCs w:val="24"/>
        </w:rPr>
        <w:t>19</w:t>
      </w:r>
      <w:r w:rsidR="0010445A" w:rsidRPr="00577BF3">
        <w:rPr>
          <w:rFonts w:cs="Times New Roman"/>
          <w:bCs/>
          <w:szCs w:val="24"/>
        </w:rPr>
        <w:t> </w:t>
      </w:r>
      <w:r w:rsidRPr="00577BF3">
        <w:rPr>
          <w:rFonts w:cs="Times New Roman"/>
          <w:bCs/>
          <w:szCs w:val="24"/>
        </w:rPr>
        <w:t>% no visiem</w:t>
      </w:r>
      <w:r w:rsidR="0010445A" w:rsidRPr="00577BF3">
        <w:rPr>
          <w:rFonts w:cs="Times New Roman"/>
          <w:bCs/>
          <w:szCs w:val="24"/>
        </w:rPr>
        <w:t xml:space="preserve"> prokuratūrā</w:t>
      </w:r>
      <w:r w:rsidRPr="00577BF3">
        <w:rPr>
          <w:rFonts w:cs="Times New Roman"/>
          <w:bCs/>
          <w:szCs w:val="24"/>
        </w:rPr>
        <w:t xml:space="preserve"> pabeigtajiem kriminālprocesiem izmanto</w:t>
      </w:r>
      <w:r w:rsidR="0010445A" w:rsidRPr="00577BF3">
        <w:rPr>
          <w:rFonts w:cs="Times New Roman"/>
          <w:bCs/>
          <w:szCs w:val="24"/>
        </w:rPr>
        <w:t>ta</w:t>
      </w:r>
      <w:r w:rsidRPr="00577BF3">
        <w:rPr>
          <w:rFonts w:cs="Times New Roman"/>
          <w:bCs/>
          <w:szCs w:val="24"/>
        </w:rPr>
        <w:t xml:space="preserve"> iespēj</w:t>
      </w:r>
      <w:r w:rsidR="0010445A" w:rsidRPr="00577BF3">
        <w:rPr>
          <w:rFonts w:cs="Times New Roman"/>
          <w:bCs/>
          <w:szCs w:val="24"/>
        </w:rPr>
        <w:t>a</w:t>
      </w:r>
      <w:r w:rsidRPr="00577BF3">
        <w:rPr>
          <w:rFonts w:cs="Times New Roman"/>
          <w:bCs/>
          <w:szCs w:val="24"/>
        </w:rPr>
        <w:t xml:space="preserve"> nevirzīt lietu tiesai</w:t>
      </w:r>
      <w:r w:rsidR="0010445A" w:rsidRPr="00577BF3">
        <w:rPr>
          <w:rFonts w:cs="Times New Roman"/>
          <w:bCs/>
          <w:szCs w:val="24"/>
        </w:rPr>
        <w:t xml:space="preserve"> un </w:t>
      </w:r>
      <w:r w:rsidRPr="00577BF3">
        <w:rPr>
          <w:rFonts w:cs="Times New Roman"/>
          <w:bCs/>
          <w:szCs w:val="24"/>
        </w:rPr>
        <w:t>krimināltiesisko attiecību taisnīg</w:t>
      </w:r>
      <w:r w:rsidR="0010445A" w:rsidRPr="00577BF3">
        <w:rPr>
          <w:rFonts w:cs="Times New Roman"/>
          <w:bCs/>
          <w:szCs w:val="24"/>
        </w:rPr>
        <w:t>s</w:t>
      </w:r>
      <w:r w:rsidRPr="00577BF3">
        <w:rPr>
          <w:rFonts w:cs="Times New Roman"/>
          <w:bCs/>
          <w:szCs w:val="24"/>
        </w:rPr>
        <w:t xml:space="preserve"> noregulējum</w:t>
      </w:r>
      <w:r w:rsidR="0010445A" w:rsidRPr="00577BF3">
        <w:rPr>
          <w:rFonts w:cs="Times New Roman"/>
          <w:bCs/>
          <w:szCs w:val="24"/>
        </w:rPr>
        <w:t>s</w:t>
      </w:r>
      <w:r w:rsidRPr="00577BF3">
        <w:rPr>
          <w:rFonts w:cs="Times New Roman"/>
          <w:bCs/>
          <w:szCs w:val="24"/>
        </w:rPr>
        <w:t xml:space="preserve"> </w:t>
      </w:r>
      <w:r w:rsidR="0010445A" w:rsidRPr="00577BF3">
        <w:rPr>
          <w:rFonts w:cs="Times New Roman"/>
          <w:bCs/>
          <w:szCs w:val="24"/>
        </w:rPr>
        <w:t xml:space="preserve">panākts </w:t>
      </w:r>
      <w:r w:rsidRPr="00577BF3">
        <w:rPr>
          <w:rFonts w:cs="Times New Roman"/>
          <w:bCs/>
          <w:szCs w:val="24"/>
        </w:rPr>
        <w:t xml:space="preserve">prokuratūrā. </w:t>
      </w:r>
    </w:p>
    <w:p w14:paraId="47CA375C" w14:textId="77777777" w:rsidR="00F50B11" w:rsidRPr="00577BF3" w:rsidRDefault="00F50B11" w:rsidP="00BF4ACE">
      <w:pPr>
        <w:spacing w:after="0" w:line="240" w:lineRule="auto"/>
        <w:jc w:val="both"/>
        <w:rPr>
          <w:rFonts w:cs="Times New Roman"/>
          <w:bCs/>
          <w:szCs w:val="24"/>
        </w:rPr>
      </w:pPr>
    </w:p>
    <w:p w14:paraId="1CCA8526" w14:textId="5C524A8D" w:rsidR="0071358C" w:rsidRDefault="001E4617" w:rsidP="00DB2A69">
      <w:pPr>
        <w:pStyle w:val="ListParagraph"/>
        <w:numPr>
          <w:ilvl w:val="0"/>
          <w:numId w:val="5"/>
        </w:numPr>
        <w:spacing w:after="120" w:line="240" w:lineRule="auto"/>
        <w:ind w:left="709" w:hanging="357"/>
        <w:jc w:val="both"/>
        <w:rPr>
          <w:rFonts w:cs="Times New Roman"/>
          <w:b/>
          <w:szCs w:val="24"/>
        </w:rPr>
      </w:pPr>
      <w:r>
        <w:rPr>
          <w:noProof/>
        </w:rPr>
        <w:drawing>
          <wp:anchor distT="0" distB="0" distL="114300" distR="114300" simplePos="0" relativeHeight="251674112" behindDoc="0" locked="0" layoutInCell="1" allowOverlap="1" wp14:anchorId="1F23BC58" wp14:editId="4BC4C4E3">
            <wp:simplePos x="0" y="0"/>
            <wp:positionH relativeFrom="margin">
              <wp:posOffset>311785</wp:posOffset>
            </wp:positionH>
            <wp:positionV relativeFrom="paragraph">
              <wp:posOffset>438150</wp:posOffset>
            </wp:positionV>
            <wp:extent cx="5336540" cy="2915920"/>
            <wp:effectExtent l="0" t="0" r="16510" b="17780"/>
            <wp:wrapTopAndBottom/>
            <wp:docPr id="128" name="Chart 128">
              <a:extLst xmlns:a="http://schemas.openxmlformats.org/drawingml/2006/main">
                <a:ext uri="{FF2B5EF4-FFF2-40B4-BE49-F238E27FC236}">
                  <a16:creationId xmlns:a16="http://schemas.microsoft.com/office/drawing/2014/main" id="{797CDC5C-30DF-4190-95E6-6078E5248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30491F">
        <w:rPr>
          <w:rFonts w:cs="Times New Roman"/>
          <w:b/>
          <w:szCs w:val="24"/>
        </w:rPr>
        <w:t>P</w:t>
      </w:r>
      <w:r w:rsidR="00E51A72" w:rsidRPr="00577BF3">
        <w:rPr>
          <w:rFonts w:cs="Times New Roman"/>
          <w:b/>
          <w:szCs w:val="24"/>
        </w:rPr>
        <w:t>abeigt</w:t>
      </w:r>
      <w:r w:rsidR="0030491F">
        <w:rPr>
          <w:rFonts w:cs="Times New Roman"/>
          <w:b/>
          <w:szCs w:val="24"/>
        </w:rPr>
        <w:t>i kriminālprocesi</w:t>
      </w:r>
      <w:r w:rsidR="002833D8">
        <w:rPr>
          <w:rFonts w:cs="Times New Roman"/>
          <w:b/>
          <w:szCs w:val="24"/>
        </w:rPr>
        <w:t xml:space="preserve"> par atsevišķiem noziedzīgiem nodarījumiem</w:t>
      </w:r>
      <w:r w:rsidR="00A6501E">
        <w:rPr>
          <w:rFonts w:cs="Times New Roman"/>
          <w:b/>
          <w:szCs w:val="24"/>
        </w:rPr>
        <w:t xml:space="preserve"> (</w:t>
      </w:r>
      <w:r w:rsidR="00E51A72" w:rsidRPr="00577BF3">
        <w:rPr>
          <w:rFonts w:cs="Times New Roman"/>
          <w:b/>
          <w:szCs w:val="24"/>
        </w:rPr>
        <w:t>īpaši aktuāli</w:t>
      </w:r>
      <w:r w:rsidR="00A6501E" w:rsidRPr="00A6501E">
        <w:rPr>
          <w:rFonts w:cs="Times New Roman"/>
          <w:b/>
          <w:szCs w:val="24"/>
        </w:rPr>
        <w:t xml:space="preserve"> </w:t>
      </w:r>
      <w:r w:rsidR="00A6501E" w:rsidRPr="00577BF3">
        <w:rPr>
          <w:rFonts w:cs="Times New Roman"/>
          <w:b/>
          <w:szCs w:val="24"/>
        </w:rPr>
        <w:t>pēc apdraudējuma objekta</w:t>
      </w:r>
      <w:r w:rsidR="00E51A72" w:rsidRPr="00577BF3">
        <w:rPr>
          <w:rFonts w:cs="Times New Roman"/>
          <w:b/>
          <w:szCs w:val="24"/>
        </w:rPr>
        <w:t>)</w:t>
      </w:r>
    </w:p>
    <w:p w14:paraId="2390A98F" w14:textId="08F4C26E" w:rsidR="00F50B11" w:rsidRPr="00577BF3" w:rsidRDefault="00F50B11" w:rsidP="003B329A">
      <w:pPr>
        <w:spacing w:after="0" w:line="240" w:lineRule="auto"/>
        <w:rPr>
          <w:rFonts w:cs="Times New Roman"/>
          <w:bCs/>
          <w:noProof/>
          <w:szCs w:val="24"/>
        </w:rPr>
      </w:pPr>
    </w:p>
    <w:p w14:paraId="3A927B2C" w14:textId="3650C711" w:rsidR="00C23A66" w:rsidRDefault="00E51A72" w:rsidP="00CF4214">
      <w:pPr>
        <w:spacing w:after="0" w:line="240" w:lineRule="auto"/>
        <w:jc w:val="both"/>
        <w:rPr>
          <w:rFonts w:cs="Times New Roman"/>
          <w:bCs/>
          <w:szCs w:val="24"/>
        </w:rPr>
      </w:pPr>
      <w:r w:rsidRPr="00577BF3">
        <w:rPr>
          <w:rFonts w:cs="Times New Roman"/>
          <w:b/>
          <w:szCs w:val="24"/>
        </w:rPr>
        <w:tab/>
      </w:r>
      <w:r w:rsidR="00960374">
        <w:rPr>
          <w:rFonts w:cs="Times New Roman"/>
          <w:bCs/>
          <w:szCs w:val="24"/>
        </w:rPr>
        <w:t>A</w:t>
      </w:r>
      <w:r w:rsidRPr="00577BF3">
        <w:rPr>
          <w:rFonts w:cs="Times New Roman"/>
          <w:bCs/>
          <w:szCs w:val="24"/>
        </w:rPr>
        <w:t>r seksuāl</w:t>
      </w:r>
      <w:r w:rsidR="001C4722">
        <w:rPr>
          <w:rFonts w:cs="Times New Roman"/>
          <w:bCs/>
          <w:szCs w:val="24"/>
        </w:rPr>
        <w:t>u</w:t>
      </w:r>
      <w:r w:rsidRPr="00577BF3">
        <w:rPr>
          <w:rFonts w:cs="Times New Roman"/>
          <w:bCs/>
          <w:szCs w:val="24"/>
        </w:rPr>
        <w:t xml:space="preserve"> vardarbību saistīt</w:t>
      </w:r>
      <w:r w:rsidR="006B177F" w:rsidRPr="00577BF3">
        <w:rPr>
          <w:rFonts w:cs="Times New Roman"/>
          <w:bCs/>
          <w:szCs w:val="24"/>
        </w:rPr>
        <w:t>u</w:t>
      </w:r>
      <w:r w:rsidRPr="00577BF3">
        <w:rPr>
          <w:rFonts w:cs="Times New Roman"/>
          <w:bCs/>
          <w:szCs w:val="24"/>
        </w:rPr>
        <w:t xml:space="preserve"> </w:t>
      </w:r>
      <w:r w:rsidR="00C85F89" w:rsidRPr="00577BF3">
        <w:rPr>
          <w:rFonts w:cs="Times New Roman"/>
          <w:bCs/>
          <w:szCs w:val="24"/>
        </w:rPr>
        <w:t>noziedzīg</w:t>
      </w:r>
      <w:r w:rsidR="001C4722">
        <w:rPr>
          <w:rFonts w:cs="Times New Roman"/>
          <w:bCs/>
          <w:szCs w:val="24"/>
        </w:rPr>
        <w:t>o</w:t>
      </w:r>
      <w:r w:rsidR="00C85F89" w:rsidRPr="00577BF3">
        <w:rPr>
          <w:rFonts w:cs="Times New Roman"/>
          <w:bCs/>
          <w:szCs w:val="24"/>
        </w:rPr>
        <w:t xml:space="preserve"> nodarījumu</w:t>
      </w:r>
      <w:r w:rsidRPr="00577BF3">
        <w:rPr>
          <w:rFonts w:cs="Times New Roman"/>
          <w:bCs/>
          <w:szCs w:val="24"/>
        </w:rPr>
        <w:t xml:space="preserve"> skaita īpatsvars attiecībā pret citiem nozi</w:t>
      </w:r>
      <w:r w:rsidR="006B177F" w:rsidRPr="00577BF3">
        <w:rPr>
          <w:rFonts w:cs="Times New Roman"/>
          <w:bCs/>
          <w:szCs w:val="24"/>
        </w:rPr>
        <w:t>edzīga nodarījuma</w:t>
      </w:r>
      <w:r w:rsidRPr="00577BF3">
        <w:rPr>
          <w:rFonts w:cs="Times New Roman"/>
          <w:bCs/>
          <w:szCs w:val="24"/>
        </w:rPr>
        <w:t xml:space="preserve"> veidiem</w:t>
      </w:r>
      <w:r w:rsidR="00960374">
        <w:rPr>
          <w:rFonts w:cs="Times New Roman"/>
          <w:bCs/>
          <w:szCs w:val="24"/>
        </w:rPr>
        <w:t xml:space="preserve"> Rīgas tiesas apgabala prokuratūras darbības teritorijā ir izteikts</w:t>
      </w:r>
      <w:r w:rsidRPr="00577BF3">
        <w:rPr>
          <w:rFonts w:cs="Times New Roman"/>
          <w:bCs/>
          <w:szCs w:val="24"/>
        </w:rPr>
        <w:t>. Šāda tendence vērojama nemainīgi vismaz pēdējo 3</w:t>
      </w:r>
      <w:r w:rsidR="00102067" w:rsidRPr="00577BF3">
        <w:rPr>
          <w:rFonts w:cs="Times New Roman"/>
          <w:bCs/>
          <w:szCs w:val="24"/>
        </w:rPr>
        <w:t> </w:t>
      </w:r>
      <w:r w:rsidRPr="00577BF3">
        <w:rPr>
          <w:rFonts w:cs="Times New Roman"/>
          <w:bCs/>
          <w:szCs w:val="24"/>
        </w:rPr>
        <w:t>gadu periodā. Nozie</w:t>
      </w:r>
      <w:r w:rsidR="006B177F" w:rsidRPr="00577BF3">
        <w:rPr>
          <w:rFonts w:cs="Times New Roman"/>
          <w:bCs/>
          <w:szCs w:val="24"/>
        </w:rPr>
        <w:t>dzīgi nodarījumi</w:t>
      </w:r>
      <w:r w:rsidRPr="00577BF3">
        <w:rPr>
          <w:rFonts w:cs="Times New Roman"/>
          <w:bCs/>
          <w:szCs w:val="24"/>
        </w:rPr>
        <w:t xml:space="preserve"> pret tikumību un dzimumneaizskaramību veido 53</w:t>
      </w:r>
      <w:r w:rsidR="00102067" w:rsidRPr="00577BF3">
        <w:rPr>
          <w:rFonts w:cs="Times New Roman"/>
          <w:bCs/>
          <w:szCs w:val="24"/>
        </w:rPr>
        <w:t> </w:t>
      </w:r>
      <w:r w:rsidRPr="00577BF3">
        <w:rPr>
          <w:rFonts w:cs="Times New Roman"/>
          <w:bCs/>
          <w:szCs w:val="24"/>
        </w:rPr>
        <w:t>% no visiem nozie</w:t>
      </w:r>
      <w:r w:rsidR="0097419E" w:rsidRPr="00577BF3">
        <w:rPr>
          <w:rFonts w:cs="Times New Roman"/>
          <w:bCs/>
          <w:szCs w:val="24"/>
        </w:rPr>
        <w:t>dzīgiem nodarījumiem</w:t>
      </w:r>
      <w:r w:rsidRPr="00577BF3">
        <w:rPr>
          <w:rFonts w:cs="Times New Roman"/>
          <w:bCs/>
          <w:szCs w:val="24"/>
        </w:rPr>
        <w:t xml:space="preserve"> pabeigtaj</w:t>
      </w:r>
      <w:r w:rsidR="009C155C">
        <w:rPr>
          <w:rFonts w:cs="Times New Roman"/>
          <w:bCs/>
          <w:szCs w:val="24"/>
        </w:rPr>
        <w:t>os pirmstiesas kriminālprocesos</w:t>
      </w:r>
      <w:r w:rsidRPr="00577BF3">
        <w:rPr>
          <w:rFonts w:cs="Times New Roman"/>
          <w:bCs/>
          <w:szCs w:val="24"/>
        </w:rPr>
        <w:t>. 2021.</w:t>
      </w:r>
      <w:r w:rsidR="00102067" w:rsidRPr="00577BF3">
        <w:rPr>
          <w:rFonts w:cs="Times New Roman"/>
          <w:bCs/>
          <w:szCs w:val="24"/>
        </w:rPr>
        <w:t> </w:t>
      </w:r>
      <w:r w:rsidRPr="00577BF3">
        <w:rPr>
          <w:rFonts w:cs="Times New Roman"/>
          <w:bCs/>
          <w:szCs w:val="24"/>
        </w:rPr>
        <w:t xml:space="preserve">gadā prokuroru darbā nemainīgi </w:t>
      </w:r>
      <w:r w:rsidRPr="00577BF3">
        <w:rPr>
          <w:rFonts w:cs="Times New Roman"/>
          <w:bCs/>
          <w:szCs w:val="24"/>
        </w:rPr>
        <w:lastRenderedPageBreak/>
        <w:t>akcentējama darba efektivitātes paaugstināšana kriminālprocesos par ekonomisk</w:t>
      </w:r>
      <w:r w:rsidR="00CF5E76">
        <w:rPr>
          <w:rFonts w:cs="Times New Roman"/>
          <w:bCs/>
          <w:szCs w:val="24"/>
        </w:rPr>
        <w:t>aj</w:t>
      </w:r>
      <w:r w:rsidRPr="00577BF3">
        <w:rPr>
          <w:rFonts w:cs="Times New Roman"/>
          <w:bCs/>
          <w:szCs w:val="24"/>
        </w:rPr>
        <w:t>iem nozie</w:t>
      </w:r>
      <w:r w:rsidR="0097419E" w:rsidRPr="00577BF3">
        <w:rPr>
          <w:rFonts w:cs="Times New Roman"/>
          <w:bCs/>
          <w:szCs w:val="24"/>
        </w:rPr>
        <w:t>dzīg</w:t>
      </w:r>
      <w:r w:rsidR="00810343">
        <w:rPr>
          <w:rFonts w:cs="Times New Roman"/>
          <w:bCs/>
          <w:szCs w:val="24"/>
        </w:rPr>
        <w:t>aj</w:t>
      </w:r>
      <w:r w:rsidR="0097419E" w:rsidRPr="00577BF3">
        <w:rPr>
          <w:rFonts w:cs="Times New Roman"/>
          <w:bCs/>
          <w:szCs w:val="24"/>
        </w:rPr>
        <w:t>iem nodarījumiem</w:t>
      </w:r>
      <w:r w:rsidRPr="00577BF3">
        <w:rPr>
          <w:rFonts w:cs="Times New Roman"/>
          <w:bCs/>
          <w:szCs w:val="24"/>
        </w:rPr>
        <w:t>, tostarp noziedzīgi iegūtu līdzekļu legalizēšanu.</w:t>
      </w:r>
    </w:p>
    <w:p w14:paraId="53F19571" w14:textId="77777777" w:rsidR="00CF6A74" w:rsidRPr="00577BF3" w:rsidRDefault="00CF6A74" w:rsidP="00CF4214">
      <w:pPr>
        <w:spacing w:after="0" w:line="240" w:lineRule="auto"/>
        <w:jc w:val="both"/>
        <w:rPr>
          <w:rFonts w:cs="Times New Roman"/>
          <w:bCs/>
          <w:szCs w:val="24"/>
        </w:rPr>
      </w:pPr>
    </w:p>
    <w:p w14:paraId="5D6A775B" w14:textId="5396EBA1" w:rsidR="007535F9" w:rsidRPr="00043F51" w:rsidRDefault="00812743" w:rsidP="00CF6A74">
      <w:pPr>
        <w:pStyle w:val="ListParagraph"/>
        <w:numPr>
          <w:ilvl w:val="0"/>
          <w:numId w:val="5"/>
        </w:numPr>
        <w:spacing w:after="120" w:line="240" w:lineRule="auto"/>
        <w:ind w:left="714" w:hanging="357"/>
        <w:jc w:val="both"/>
        <w:rPr>
          <w:rFonts w:cs="Times New Roman"/>
          <w:b/>
          <w:szCs w:val="24"/>
        </w:rPr>
      </w:pPr>
      <w:r>
        <w:rPr>
          <w:rFonts w:cs="Times New Roman"/>
          <w:b/>
          <w:szCs w:val="24"/>
        </w:rPr>
        <w:t>Prokuroru u</w:t>
      </w:r>
      <w:r w:rsidR="00E51A72" w:rsidRPr="00577BF3">
        <w:rPr>
          <w:rFonts w:cs="Times New Roman"/>
          <w:b/>
          <w:szCs w:val="24"/>
        </w:rPr>
        <w:t>zraudzībā pieņemti kriminālprocesi</w:t>
      </w:r>
    </w:p>
    <w:p w14:paraId="4E778EE3" w14:textId="5581F9C8" w:rsidR="00E51A72" w:rsidRPr="00577BF3" w:rsidRDefault="00E51A72" w:rsidP="0082641F">
      <w:pPr>
        <w:spacing w:after="0" w:line="240" w:lineRule="auto"/>
        <w:jc w:val="center"/>
        <w:rPr>
          <w:rFonts w:cs="Times New Roman"/>
          <w:bCs/>
          <w:szCs w:val="24"/>
        </w:rPr>
      </w:pPr>
      <w:r w:rsidRPr="00577BF3">
        <w:rPr>
          <w:rFonts w:cs="Times New Roman"/>
          <w:noProof/>
        </w:rPr>
        <w:drawing>
          <wp:inline distT="0" distB="0" distL="0" distR="0" wp14:anchorId="44D7B424" wp14:editId="65D27EBA">
            <wp:extent cx="3962400" cy="1336964"/>
            <wp:effectExtent l="0" t="0" r="0" b="1587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3FE324C" w14:textId="77777777" w:rsidR="007535F9" w:rsidRPr="00577BF3" w:rsidRDefault="007535F9" w:rsidP="00CF4214">
      <w:pPr>
        <w:spacing w:after="0" w:line="240" w:lineRule="auto"/>
        <w:jc w:val="center"/>
        <w:rPr>
          <w:rFonts w:cs="Times New Roman"/>
          <w:bCs/>
          <w:szCs w:val="24"/>
        </w:rPr>
      </w:pPr>
    </w:p>
    <w:p w14:paraId="34D1925D" w14:textId="77777777" w:rsidR="00581E82" w:rsidRDefault="00E51A72" w:rsidP="00CF4214">
      <w:pPr>
        <w:spacing w:after="0" w:line="240" w:lineRule="auto"/>
        <w:jc w:val="both"/>
        <w:rPr>
          <w:rFonts w:cs="Times New Roman"/>
          <w:bCs/>
          <w:szCs w:val="24"/>
        </w:rPr>
      </w:pPr>
      <w:r w:rsidRPr="00577BF3">
        <w:rPr>
          <w:rFonts w:cs="Times New Roman"/>
          <w:bCs/>
          <w:szCs w:val="24"/>
        </w:rPr>
        <w:tab/>
      </w:r>
      <w:r w:rsidR="00810343">
        <w:rPr>
          <w:rFonts w:cs="Times New Roman"/>
          <w:bCs/>
          <w:szCs w:val="24"/>
        </w:rPr>
        <w:t>Rīgas tiesas apgabala prokuratūras p</w:t>
      </w:r>
      <w:r w:rsidR="00812743">
        <w:rPr>
          <w:rFonts w:cs="Times New Roman"/>
          <w:bCs/>
          <w:szCs w:val="24"/>
        </w:rPr>
        <w:t>rokuroru u</w:t>
      </w:r>
      <w:r w:rsidRPr="00577BF3">
        <w:rPr>
          <w:rFonts w:cs="Times New Roman"/>
          <w:bCs/>
          <w:szCs w:val="24"/>
        </w:rPr>
        <w:t>zraudzībā pieņemto kriminālprocesu skaitam pēdējos 3</w:t>
      </w:r>
      <w:r w:rsidR="00102067" w:rsidRPr="00577BF3">
        <w:rPr>
          <w:rFonts w:cs="Times New Roman"/>
          <w:bCs/>
          <w:szCs w:val="24"/>
        </w:rPr>
        <w:t> </w:t>
      </w:r>
      <w:r w:rsidRPr="00577BF3">
        <w:rPr>
          <w:rFonts w:cs="Times New Roman"/>
          <w:bCs/>
          <w:szCs w:val="24"/>
        </w:rPr>
        <w:t xml:space="preserve">gados ir konsekventa tendence palielināties. </w:t>
      </w:r>
      <w:r w:rsidR="00D97638">
        <w:rPr>
          <w:rFonts w:cs="Times New Roman"/>
          <w:bCs/>
          <w:szCs w:val="24"/>
        </w:rPr>
        <w:t xml:space="preserve">Turklāt </w:t>
      </w:r>
      <w:r w:rsidRPr="00577BF3">
        <w:rPr>
          <w:rFonts w:cs="Times New Roman"/>
          <w:bCs/>
          <w:szCs w:val="24"/>
        </w:rPr>
        <w:t>prokuroru uzraudzībā esošo aktīvo kriminālprocesu skaits jau ilgstoši pārsniedz maksimāli pieļaujamo slodzes apjomu. Uz 2021.</w:t>
      </w:r>
      <w:r w:rsidR="00E611E9" w:rsidRPr="00577BF3">
        <w:rPr>
          <w:rFonts w:cs="Times New Roman"/>
          <w:bCs/>
          <w:szCs w:val="24"/>
        </w:rPr>
        <w:t xml:space="preserve"> gada 1. janvāri </w:t>
      </w:r>
      <w:r w:rsidRPr="00577BF3">
        <w:rPr>
          <w:rFonts w:cs="Times New Roman"/>
          <w:bCs/>
          <w:szCs w:val="24"/>
        </w:rPr>
        <w:t xml:space="preserve">katra </w:t>
      </w:r>
      <w:r w:rsidR="008A1C1E">
        <w:rPr>
          <w:rFonts w:cs="Times New Roman"/>
          <w:bCs/>
          <w:szCs w:val="24"/>
        </w:rPr>
        <w:t xml:space="preserve">Rīgas tiesas apgabala prokuratūras </w:t>
      </w:r>
      <w:r w:rsidRPr="00577BF3">
        <w:rPr>
          <w:rFonts w:cs="Times New Roman"/>
          <w:bCs/>
          <w:szCs w:val="24"/>
        </w:rPr>
        <w:t>prokurora uzraudzībā atradās vidēji 53</w:t>
      </w:r>
      <w:r w:rsidR="00BE4F6A" w:rsidRPr="00577BF3">
        <w:rPr>
          <w:rFonts w:cs="Times New Roman"/>
          <w:bCs/>
          <w:szCs w:val="24"/>
        </w:rPr>
        <w:t> </w:t>
      </w:r>
      <w:r w:rsidRPr="00577BF3">
        <w:rPr>
          <w:rFonts w:cs="Times New Roman"/>
          <w:bCs/>
          <w:szCs w:val="24"/>
        </w:rPr>
        <w:t>kriminālprocesi, no kuriem 20</w:t>
      </w:r>
      <w:r w:rsidR="00FF18E5">
        <w:rPr>
          <w:rFonts w:cs="Times New Roman"/>
          <w:bCs/>
          <w:szCs w:val="24"/>
        </w:rPr>
        <w:t>–</w:t>
      </w:r>
      <w:r w:rsidRPr="00577BF3">
        <w:rPr>
          <w:rFonts w:cs="Times New Roman"/>
          <w:bCs/>
          <w:szCs w:val="24"/>
        </w:rPr>
        <w:t>30 kriminālprocesi vērtējami kā apjomīgi un sarežģīti.</w:t>
      </w:r>
      <w:r w:rsidR="000361CE" w:rsidRPr="00577BF3">
        <w:rPr>
          <w:rFonts w:cs="Times New Roman"/>
          <w:bCs/>
          <w:szCs w:val="24"/>
        </w:rPr>
        <w:t xml:space="preserve"> </w:t>
      </w:r>
      <w:r w:rsidRPr="00577BF3">
        <w:rPr>
          <w:rFonts w:cs="Times New Roman"/>
          <w:bCs/>
          <w:szCs w:val="24"/>
        </w:rPr>
        <w:t xml:space="preserve">Līdz ar ģenerālprokurora </w:t>
      </w:r>
      <w:r w:rsidR="000361CE" w:rsidRPr="00577BF3">
        <w:rPr>
          <w:rFonts w:cs="Times New Roman"/>
          <w:bCs/>
          <w:szCs w:val="24"/>
        </w:rPr>
        <w:t>2020.</w:t>
      </w:r>
      <w:r w:rsidR="00B0450D" w:rsidRPr="00577BF3">
        <w:rPr>
          <w:rFonts w:cs="Times New Roman"/>
          <w:bCs/>
          <w:szCs w:val="24"/>
        </w:rPr>
        <w:t xml:space="preserve"> gada 22. decembra </w:t>
      </w:r>
      <w:r w:rsidRPr="00577BF3">
        <w:rPr>
          <w:rFonts w:cs="Times New Roman"/>
          <w:bCs/>
          <w:szCs w:val="24"/>
        </w:rPr>
        <w:t>pavēles Nr.</w:t>
      </w:r>
      <w:r w:rsidR="00102067" w:rsidRPr="00577BF3">
        <w:rPr>
          <w:rFonts w:cs="Times New Roman"/>
          <w:bCs/>
          <w:szCs w:val="24"/>
        </w:rPr>
        <w:t> </w:t>
      </w:r>
      <w:r w:rsidRPr="00577BF3">
        <w:rPr>
          <w:rFonts w:cs="Times New Roman"/>
          <w:bCs/>
          <w:szCs w:val="24"/>
        </w:rPr>
        <w:t xml:space="preserve">119 </w:t>
      </w:r>
      <w:r w:rsidR="000361CE" w:rsidRPr="00577BF3">
        <w:rPr>
          <w:rFonts w:cs="Times New Roman"/>
          <w:bCs/>
          <w:szCs w:val="24"/>
        </w:rPr>
        <w:t>“Par prokuratūras struktūrvienību kompetenci”</w:t>
      </w:r>
      <w:r w:rsidR="000361CE" w:rsidRPr="00577BF3">
        <w:rPr>
          <w:rFonts w:cs="Times New Roman"/>
          <w:b/>
          <w:bCs/>
          <w:lang w:eastAsia="lv-LV"/>
        </w:rPr>
        <w:t xml:space="preserve"> </w:t>
      </w:r>
      <w:r w:rsidRPr="00577BF3">
        <w:rPr>
          <w:rFonts w:cs="Times New Roman"/>
          <w:bCs/>
          <w:szCs w:val="24"/>
        </w:rPr>
        <w:t xml:space="preserve">pieņemšanu skaidri noteikta apgabala līmeņa prokuratūru uzraudzības piekritība. Tas dos iespēju precīzāk izvērtēt uzraudzības piekritību un mērķtiecīgi samazināt prokuroru uzraudzībā nododamo kriminālprocesu apjomu, vienlaikus dodot iespēju pieredzējušiem prokuroriem strādāt ar sarežģītiem kriminālprocesiem, kuru virzīšanā nepieciešama augstāka profesionalitāte. </w:t>
      </w:r>
    </w:p>
    <w:p w14:paraId="1C580EEF" w14:textId="05EFF527" w:rsidR="00971E49" w:rsidRPr="00577BF3" w:rsidRDefault="00971E49" w:rsidP="00CF4214">
      <w:pPr>
        <w:spacing w:after="0" w:line="240" w:lineRule="auto"/>
        <w:jc w:val="both"/>
        <w:rPr>
          <w:rFonts w:cs="Times New Roman"/>
          <w:b/>
          <w:bCs/>
          <w:lang w:eastAsia="lv-LV"/>
        </w:rPr>
      </w:pPr>
    </w:p>
    <w:p w14:paraId="0A4773FF" w14:textId="4D067043" w:rsidR="007535F9" w:rsidRPr="00043F51" w:rsidRDefault="00E51A72" w:rsidP="00F522BB">
      <w:pPr>
        <w:pStyle w:val="ListParagraph"/>
        <w:numPr>
          <w:ilvl w:val="0"/>
          <w:numId w:val="5"/>
        </w:numPr>
        <w:spacing w:after="120" w:line="240" w:lineRule="auto"/>
        <w:ind w:left="714" w:hanging="357"/>
        <w:jc w:val="both"/>
        <w:rPr>
          <w:rFonts w:cs="Times New Roman"/>
          <w:b/>
          <w:szCs w:val="24"/>
        </w:rPr>
      </w:pPr>
      <w:r w:rsidRPr="00577BF3">
        <w:rPr>
          <w:rFonts w:cs="Times New Roman"/>
          <w:b/>
          <w:szCs w:val="24"/>
        </w:rPr>
        <w:t>Prokuroru dotie norādījumi</w:t>
      </w:r>
    </w:p>
    <w:p w14:paraId="3C507AE3" w14:textId="32012068" w:rsidR="00E51A72" w:rsidRPr="00577BF3" w:rsidRDefault="00E51A72" w:rsidP="0082641F">
      <w:pPr>
        <w:spacing w:after="0" w:line="240" w:lineRule="auto"/>
        <w:jc w:val="center"/>
        <w:rPr>
          <w:rFonts w:cs="Times New Roman"/>
          <w:bCs/>
          <w:szCs w:val="24"/>
        </w:rPr>
      </w:pPr>
      <w:r w:rsidRPr="00577BF3">
        <w:rPr>
          <w:rFonts w:cs="Times New Roman"/>
          <w:noProof/>
        </w:rPr>
        <w:drawing>
          <wp:inline distT="0" distB="0" distL="0" distR="0" wp14:anchorId="4061763D" wp14:editId="210B9CFA">
            <wp:extent cx="4169833" cy="1163320"/>
            <wp:effectExtent l="0" t="0" r="2540" b="1778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4A01240" w14:textId="77777777" w:rsidR="007535F9" w:rsidRPr="00577BF3" w:rsidRDefault="007535F9" w:rsidP="00CF4214">
      <w:pPr>
        <w:spacing w:after="0" w:line="240" w:lineRule="auto"/>
        <w:jc w:val="center"/>
        <w:rPr>
          <w:rFonts w:cs="Times New Roman"/>
          <w:bCs/>
          <w:szCs w:val="24"/>
        </w:rPr>
      </w:pPr>
    </w:p>
    <w:p w14:paraId="5F2A26AA" w14:textId="4B6950FE" w:rsidR="00971E49" w:rsidRPr="00577BF3" w:rsidRDefault="00B57F85" w:rsidP="00EC2CB5">
      <w:pPr>
        <w:spacing w:after="0" w:line="240" w:lineRule="auto"/>
        <w:ind w:firstLine="720"/>
        <w:jc w:val="both"/>
        <w:rPr>
          <w:rFonts w:cs="Times New Roman"/>
          <w:bCs/>
          <w:szCs w:val="24"/>
        </w:rPr>
      </w:pPr>
      <w:r>
        <w:rPr>
          <w:rFonts w:cs="Times New Roman"/>
          <w:bCs/>
          <w:szCs w:val="24"/>
        </w:rPr>
        <w:t>Rīgas tiesas apgabala prokuratūras p</w:t>
      </w:r>
      <w:r w:rsidR="00E51A72" w:rsidRPr="00577BF3">
        <w:rPr>
          <w:rFonts w:cs="Times New Roman"/>
          <w:bCs/>
          <w:szCs w:val="24"/>
        </w:rPr>
        <w:t>rokuroru doto norādījumu skaits ik gadu saglabājas pietiekami augsts. Tas raksturo nepieciešamību pēc prokurora iesaistes izmeklēšanas norisē. Redzot, ka prokuroru dotie norādījumi neatstāj jūtamu ietekmi uz izmeklēšanas kvalitātes uzlabošanos, būtu jādomā par efektīvākām uzraudzības formām, lai prokurora darbība kriminālprocesā izpaustos aktīvā līdzdarbībā, nevis formālā savu procesuālo pienākumu izpildē.</w:t>
      </w:r>
    </w:p>
    <w:p w14:paraId="38758B9D" w14:textId="77777777" w:rsidR="00C23A66" w:rsidRPr="00577BF3" w:rsidRDefault="00C23A66" w:rsidP="002D5F82">
      <w:pPr>
        <w:spacing w:after="0" w:line="240" w:lineRule="auto"/>
        <w:jc w:val="both"/>
        <w:rPr>
          <w:rFonts w:cs="Times New Roman"/>
          <w:bCs/>
          <w:szCs w:val="24"/>
        </w:rPr>
      </w:pPr>
    </w:p>
    <w:p w14:paraId="7E66E7B6" w14:textId="7AC3BFDD" w:rsidR="00E51A72" w:rsidRPr="00577BF3" w:rsidRDefault="00BE4F6A" w:rsidP="00F522BB">
      <w:pPr>
        <w:pStyle w:val="ListParagraph"/>
        <w:numPr>
          <w:ilvl w:val="0"/>
          <w:numId w:val="5"/>
        </w:numPr>
        <w:spacing w:after="120" w:line="240" w:lineRule="auto"/>
        <w:ind w:left="714" w:hanging="357"/>
        <w:jc w:val="both"/>
        <w:rPr>
          <w:rFonts w:cs="Times New Roman"/>
          <w:b/>
          <w:szCs w:val="24"/>
        </w:rPr>
      </w:pPr>
      <w:bookmarkStart w:id="19" w:name="_Hlk61694536"/>
      <w:r w:rsidRPr="00577BF3">
        <w:rPr>
          <w:rFonts w:cs="Times New Roman"/>
          <w:b/>
          <w:szCs w:val="24"/>
        </w:rPr>
        <w:t>V</w:t>
      </w:r>
      <w:r w:rsidR="00E51A72" w:rsidRPr="00577BF3">
        <w:rPr>
          <w:rFonts w:cs="Times New Roman"/>
          <w:b/>
          <w:szCs w:val="24"/>
        </w:rPr>
        <w:t xml:space="preserve">alsts apsūdzības uzturēšana </w:t>
      </w:r>
      <w:r w:rsidR="00E72BBA" w:rsidRPr="00577BF3">
        <w:rPr>
          <w:rFonts w:cs="Times New Roman"/>
          <w:b/>
          <w:szCs w:val="24"/>
        </w:rPr>
        <w:t xml:space="preserve">pirmās </w:t>
      </w:r>
      <w:r w:rsidR="00E51A72" w:rsidRPr="00577BF3">
        <w:rPr>
          <w:rFonts w:cs="Times New Roman"/>
          <w:b/>
          <w:szCs w:val="24"/>
        </w:rPr>
        <w:t xml:space="preserve">instances tiesā (izskatītas </w:t>
      </w:r>
      <w:r w:rsidR="006A5C2B">
        <w:rPr>
          <w:rFonts w:cs="Times New Roman"/>
          <w:b/>
          <w:szCs w:val="24"/>
        </w:rPr>
        <w:t>krimināl</w:t>
      </w:r>
      <w:r w:rsidR="00E51A72" w:rsidRPr="00577BF3">
        <w:rPr>
          <w:rFonts w:cs="Times New Roman"/>
          <w:b/>
          <w:szCs w:val="24"/>
        </w:rPr>
        <w:t>lietas), no tām ar pierādījumu pārbaudi</w:t>
      </w:r>
      <w:bookmarkEnd w:id="19"/>
    </w:p>
    <w:p w14:paraId="2E195D3D" w14:textId="4B77DAF7" w:rsidR="008530D0" w:rsidRDefault="00E51A72" w:rsidP="00DB2A69">
      <w:pPr>
        <w:spacing w:after="0" w:line="240" w:lineRule="auto"/>
        <w:jc w:val="center"/>
        <w:rPr>
          <w:rFonts w:cs="Times New Roman"/>
          <w:b/>
          <w:szCs w:val="24"/>
        </w:rPr>
      </w:pPr>
      <w:r w:rsidRPr="00577BF3">
        <w:rPr>
          <w:rFonts w:cs="Times New Roman"/>
          <w:noProof/>
        </w:rPr>
        <w:drawing>
          <wp:inline distT="0" distB="0" distL="0" distR="0" wp14:anchorId="426A0644" wp14:editId="06E1B5A0">
            <wp:extent cx="4150995" cy="1475509"/>
            <wp:effectExtent l="0" t="0" r="1905" b="1079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0182346" w14:textId="77777777" w:rsidR="00835081" w:rsidRPr="00835081" w:rsidRDefault="00835081" w:rsidP="00835081">
      <w:pPr>
        <w:spacing w:after="0" w:line="240" w:lineRule="auto"/>
        <w:rPr>
          <w:rFonts w:cs="Times New Roman"/>
          <w:bCs/>
          <w:szCs w:val="24"/>
        </w:rPr>
      </w:pPr>
    </w:p>
    <w:p w14:paraId="0174794A" w14:textId="4DBEDC61" w:rsidR="002D5F82" w:rsidRDefault="00E51A72" w:rsidP="008530D0">
      <w:pPr>
        <w:spacing w:after="0" w:line="240" w:lineRule="auto"/>
        <w:ind w:firstLine="720"/>
        <w:jc w:val="both"/>
        <w:rPr>
          <w:rFonts w:cs="Times New Roman"/>
          <w:bCs/>
          <w:szCs w:val="24"/>
        </w:rPr>
      </w:pPr>
      <w:r w:rsidRPr="00577BF3">
        <w:rPr>
          <w:rFonts w:cs="Times New Roman"/>
          <w:bCs/>
          <w:szCs w:val="24"/>
        </w:rPr>
        <w:t xml:space="preserve">Valstī noteiktie pasākumi </w:t>
      </w:r>
      <w:r w:rsidR="00C80DCE">
        <w:rPr>
          <w:rFonts w:cs="Times New Roman"/>
          <w:bCs/>
          <w:szCs w:val="24"/>
        </w:rPr>
        <w:t>Covid-19</w:t>
      </w:r>
      <w:r w:rsidRPr="00577BF3">
        <w:rPr>
          <w:rFonts w:cs="Times New Roman"/>
          <w:bCs/>
          <w:szCs w:val="24"/>
        </w:rPr>
        <w:t xml:space="preserve"> izplatības ierobežošanai atstājuši vistiešāko ietekmi uz </w:t>
      </w:r>
      <w:r w:rsidR="00BC4B08" w:rsidRPr="00577BF3">
        <w:rPr>
          <w:rFonts w:cs="Times New Roman"/>
          <w:bCs/>
          <w:szCs w:val="24"/>
        </w:rPr>
        <w:t xml:space="preserve">pirmās </w:t>
      </w:r>
      <w:r w:rsidRPr="00577BF3">
        <w:rPr>
          <w:rFonts w:cs="Times New Roman"/>
          <w:bCs/>
          <w:szCs w:val="24"/>
        </w:rPr>
        <w:t xml:space="preserve">instances tiesā iztiesāto krimināllietu skaitu. </w:t>
      </w:r>
      <w:r w:rsidR="00BE1469">
        <w:rPr>
          <w:rFonts w:cs="Times New Roman"/>
          <w:bCs/>
          <w:szCs w:val="24"/>
        </w:rPr>
        <w:t>Attiecībā uz Rīgas tiesas apgabala prokuratūras</w:t>
      </w:r>
      <w:r w:rsidR="00EC5CB1">
        <w:rPr>
          <w:rFonts w:cs="Times New Roman"/>
          <w:bCs/>
          <w:szCs w:val="24"/>
        </w:rPr>
        <w:t xml:space="preserve"> </w:t>
      </w:r>
      <w:r w:rsidR="00EF443D">
        <w:rPr>
          <w:rFonts w:cs="Times New Roman"/>
          <w:bCs/>
          <w:szCs w:val="24"/>
        </w:rPr>
        <w:t xml:space="preserve">prokuroru </w:t>
      </w:r>
      <w:r w:rsidR="00EC5CB1">
        <w:rPr>
          <w:rFonts w:cs="Times New Roman"/>
          <w:bCs/>
          <w:szCs w:val="24"/>
        </w:rPr>
        <w:t>tiesai nodoto krimināllietu iztiesā</w:t>
      </w:r>
      <w:r w:rsidR="00F91584">
        <w:rPr>
          <w:rFonts w:cs="Times New Roman"/>
          <w:bCs/>
          <w:szCs w:val="24"/>
        </w:rPr>
        <w:t>šanu</w:t>
      </w:r>
      <w:r w:rsidR="00EC5CB1">
        <w:rPr>
          <w:rFonts w:cs="Times New Roman"/>
          <w:bCs/>
          <w:szCs w:val="24"/>
        </w:rPr>
        <w:t xml:space="preserve"> s</w:t>
      </w:r>
      <w:r w:rsidRPr="00577BF3">
        <w:rPr>
          <w:rFonts w:cs="Times New Roman"/>
          <w:bCs/>
          <w:szCs w:val="24"/>
        </w:rPr>
        <w:t>amazinājums par 34</w:t>
      </w:r>
      <w:r w:rsidR="00BE4F6A" w:rsidRPr="00577BF3">
        <w:rPr>
          <w:rFonts w:cs="Times New Roman"/>
          <w:bCs/>
          <w:szCs w:val="24"/>
        </w:rPr>
        <w:t> </w:t>
      </w:r>
      <w:r w:rsidRPr="00577BF3">
        <w:rPr>
          <w:rFonts w:cs="Times New Roman"/>
          <w:bCs/>
          <w:szCs w:val="24"/>
        </w:rPr>
        <w:t>% salīdzinājumā ar 2019.</w:t>
      </w:r>
      <w:r w:rsidR="00BE4F6A" w:rsidRPr="00577BF3">
        <w:rPr>
          <w:rFonts w:cs="Times New Roman"/>
          <w:bCs/>
          <w:szCs w:val="24"/>
        </w:rPr>
        <w:t> </w:t>
      </w:r>
      <w:r w:rsidRPr="00577BF3">
        <w:rPr>
          <w:rFonts w:cs="Times New Roman"/>
          <w:bCs/>
          <w:szCs w:val="24"/>
        </w:rPr>
        <w:t xml:space="preserve">gadu vērtējams kā būtisks un </w:t>
      </w:r>
      <w:r w:rsidR="003F32BD">
        <w:rPr>
          <w:rFonts w:cs="Times New Roman"/>
          <w:bCs/>
          <w:szCs w:val="24"/>
        </w:rPr>
        <w:t>palielina</w:t>
      </w:r>
      <w:r w:rsidRPr="00577BF3">
        <w:rPr>
          <w:rFonts w:cs="Times New Roman"/>
          <w:bCs/>
          <w:szCs w:val="24"/>
        </w:rPr>
        <w:t xml:space="preserve"> iztiesāšanā esošo </w:t>
      </w:r>
      <w:r w:rsidR="00034C36">
        <w:rPr>
          <w:rFonts w:cs="Times New Roman"/>
          <w:bCs/>
          <w:szCs w:val="24"/>
        </w:rPr>
        <w:t>krimināl</w:t>
      </w:r>
      <w:r w:rsidRPr="00577BF3">
        <w:rPr>
          <w:rFonts w:cs="Times New Roman"/>
          <w:bCs/>
          <w:szCs w:val="24"/>
        </w:rPr>
        <w:t xml:space="preserve">lietu uzkrājumu uz turpmākajiem periodiem. Valsts apsūdzības uzturēšana </w:t>
      </w:r>
      <w:r w:rsidR="00BC4B08" w:rsidRPr="00577BF3">
        <w:rPr>
          <w:rFonts w:cs="Times New Roman"/>
          <w:bCs/>
          <w:szCs w:val="24"/>
        </w:rPr>
        <w:t xml:space="preserve">pirmās </w:t>
      </w:r>
      <w:r w:rsidRPr="00577BF3">
        <w:rPr>
          <w:rFonts w:cs="Times New Roman"/>
          <w:bCs/>
          <w:szCs w:val="24"/>
        </w:rPr>
        <w:t xml:space="preserve">instances tiesā prasa lielu prokurora darba laika resursu. Sadarbībā ar tiesnešiem jāmeklē risinājums iztiesāšanas procesa efektīvākai norisei. </w:t>
      </w:r>
    </w:p>
    <w:p w14:paraId="64264E55" w14:textId="77777777" w:rsidR="00CA180C" w:rsidRPr="00CA180C" w:rsidRDefault="00CA180C" w:rsidP="00CA180C">
      <w:pPr>
        <w:spacing w:after="0" w:line="240" w:lineRule="auto"/>
        <w:jc w:val="both"/>
        <w:rPr>
          <w:rFonts w:cs="Times New Roman"/>
          <w:bCs/>
          <w:szCs w:val="24"/>
        </w:rPr>
      </w:pPr>
    </w:p>
    <w:p w14:paraId="673ACB2D" w14:textId="731E3F37" w:rsidR="00D22A9E" w:rsidRPr="00CA180C" w:rsidRDefault="00E51A72" w:rsidP="00046A3C">
      <w:pPr>
        <w:pStyle w:val="ListParagraph"/>
        <w:numPr>
          <w:ilvl w:val="0"/>
          <w:numId w:val="5"/>
        </w:numPr>
        <w:spacing w:after="120" w:line="240" w:lineRule="auto"/>
        <w:ind w:left="714" w:hanging="357"/>
        <w:jc w:val="both"/>
        <w:rPr>
          <w:rFonts w:cs="Times New Roman"/>
          <w:b/>
          <w:szCs w:val="24"/>
        </w:rPr>
      </w:pPr>
      <w:r w:rsidRPr="00577BF3">
        <w:rPr>
          <w:rFonts w:cs="Times New Roman"/>
          <w:b/>
          <w:szCs w:val="24"/>
        </w:rPr>
        <w:t xml:space="preserve">Valsts apsūdzības uzturēšana apelācijas instances tiesā (izskatītas </w:t>
      </w:r>
      <w:r w:rsidR="006A5C2B">
        <w:rPr>
          <w:rFonts w:cs="Times New Roman"/>
          <w:b/>
          <w:szCs w:val="24"/>
        </w:rPr>
        <w:t>krimināl</w:t>
      </w:r>
      <w:r w:rsidRPr="00577BF3">
        <w:rPr>
          <w:rFonts w:cs="Times New Roman"/>
          <w:b/>
          <w:szCs w:val="24"/>
        </w:rPr>
        <w:t>lietas), no tām mutvārdu/rakstveida procesā</w:t>
      </w:r>
    </w:p>
    <w:p w14:paraId="1478E161" w14:textId="3721E07A" w:rsidR="00E51A72" w:rsidRPr="00577BF3" w:rsidRDefault="00E51A72" w:rsidP="00046A3C">
      <w:pPr>
        <w:spacing w:after="0" w:line="240" w:lineRule="auto"/>
        <w:jc w:val="center"/>
        <w:rPr>
          <w:rFonts w:cs="Times New Roman"/>
          <w:b/>
          <w:szCs w:val="24"/>
        </w:rPr>
      </w:pPr>
      <w:r w:rsidRPr="00577BF3">
        <w:rPr>
          <w:rFonts w:cs="Times New Roman"/>
          <w:noProof/>
        </w:rPr>
        <w:drawing>
          <wp:inline distT="0" distB="0" distL="0" distR="0" wp14:anchorId="410E1C2C" wp14:editId="028EFFA5">
            <wp:extent cx="3975100" cy="1814830"/>
            <wp:effectExtent l="0" t="0" r="6350" b="1397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E53B6A8" w14:textId="77777777" w:rsidR="00D22A9E" w:rsidRPr="00060760" w:rsidRDefault="00D22A9E" w:rsidP="00CF4214">
      <w:pPr>
        <w:spacing w:after="0" w:line="240" w:lineRule="auto"/>
        <w:rPr>
          <w:rFonts w:cs="Times New Roman"/>
          <w:bCs/>
          <w:szCs w:val="24"/>
        </w:rPr>
      </w:pPr>
    </w:p>
    <w:p w14:paraId="2C919CF0" w14:textId="00ED7245" w:rsidR="00C23A66" w:rsidRPr="00577BF3" w:rsidRDefault="00E51A72" w:rsidP="00EC2CB5">
      <w:pPr>
        <w:spacing w:after="0" w:line="240" w:lineRule="auto"/>
        <w:jc w:val="both"/>
        <w:rPr>
          <w:rFonts w:cs="Times New Roman"/>
          <w:bCs/>
          <w:szCs w:val="24"/>
        </w:rPr>
      </w:pPr>
      <w:r w:rsidRPr="00577BF3">
        <w:rPr>
          <w:rFonts w:cs="Times New Roman"/>
          <w:bCs/>
          <w:szCs w:val="24"/>
        </w:rPr>
        <w:tab/>
        <w:t>2</w:t>
      </w:r>
      <w:r w:rsidR="00DC0832">
        <w:rPr>
          <w:rFonts w:cs="Times New Roman"/>
          <w:bCs/>
          <w:szCs w:val="24"/>
        </w:rPr>
        <w:t>5</w:t>
      </w:r>
      <w:r w:rsidR="00BE4F6A" w:rsidRPr="00577BF3">
        <w:rPr>
          <w:rFonts w:cs="Times New Roman"/>
          <w:bCs/>
          <w:szCs w:val="24"/>
        </w:rPr>
        <w:t> </w:t>
      </w:r>
      <w:r w:rsidRPr="00577BF3">
        <w:rPr>
          <w:rFonts w:cs="Times New Roman"/>
          <w:bCs/>
          <w:szCs w:val="24"/>
        </w:rPr>
        <w:t xml:space="preserve">% pieaugums </w:t>
      </w:r>
      <w:r w:rsidR="00FA10AB">
        <w:rPr>
          <w:rFonts w:cs="Times New Roman"/>
          <w:bCs/>
          <w:szCs w:val="24"/>
        </w:rPr>
        <w:t xml:space="preserve">salīdzinājumā ar 2019. gadu </w:t>
      </w:r>
      <w:r w:rsidR="00834BDD">
        <w:rPr>
          <w:rFonts w:cs="Times New Roman"/>
          <w:bCs/>
          <w:szCs w:val="24"/>
        </w:rPr>
        <w:t xml:space="preserve">Rīgas tiesas apgabala prokuratūras tiesai nodoto </w:t>
      </w:r>
      <w:r w:rsidR="00F9049C">
        <w:rPr>
          <w:rFonts w:cs="Times New Roman"/>
          <w:bCs/>
          <w:szCs w:val="24"/>
        </w:rPr>
        <w:t xml:space="preserve">krimināllietu izskatīšanā </w:t>
      </w:r>
      <w:r w:rsidR="00191621">
        <w:rPr>
          <w:rFonts w:cs="Times New Roman"/>
          <w:bCs/>
          <w:szCs w:val="24"/>
        </w:rPr>
        <w:t>apelācijas instances tiesā</w:t>
      </w:r>
      <w:r w:rsidR="003A087F">
        <w:rPr>
          <w:rFonts w:cs="Times New Roman"/>
          <w:bCs/>
          <w:szCs w:val="24"/>
        </w:rPr>
        <w:t xml:space="preserve"> </w:t>
      </w:r>
      <w:r w:rsidRPr="00577BF3">
        <w:rPr>
          <w:rFonts w:cs="Times New Roman"/>
          <w:bCs/>
          <w:szCs w:val="24"/>
        </w:rPr>
        <w:t>rakstveida procesā viennozīmīgi saistāms ar ārkārt</w:t>
      </w:r>
      <w:r w:rsidR="00BE4F6A" w:rsidRPr="00577BF3">
        <w:rPr>
          <w:rFonts w:cs="Times New Roman"/>
          <w:bCs/>
          <w:szCs w:val="24"/>
        </w:rPr>
        <w:t>ējās situācijas</w:t>
      </w:r>
      <w:r w:rsidRPr="00577BF3">
        <w:rPr>
          <w:rFonts w:cs="Times New Roman"/>
          <w:bCs/>
          <w:szCs w:val="24"/>
        </w:rPr>
        <w:t xml:space="preserve"> izsludināšanas kontekstā paplašināt</w:t>
      </w:r>
      <w:r w:rsidR="00DE1190">
        <w:rPr>
          <w:rFonts w:cs="Times New Roman"/>
          <w:bCs/>
          <w:szCs w:val="24"/>
        </w:rPr>
        <w:t>aj</w:t>
      </w:r>
      <w:r w:rsidRPr="00577BF3">
        <w:rPr>
          <w:rFonts w:cs="Times New Roman"/>
          <w:bCs/>
          <w:szCs w:val="24"/>
        </w:rPr>
        <w:t xml:space="preserve">ām iespējām </w:t>
      </w:r>
      <w:r w:rsidR="006A5C2B">
        <w:rPr>
          <w:rFonts w:cs="Times New Roman"/>
          <w:bCs/>
          <w:szCs w:val="24"/>
        </w:rPr>
        <w:t>krimināl</w:t>
      </w:r>
      <w:r w:rsidRPr="00577BF3">
        <w:rPr>
          <w:rFonts w:cs="Times New Roman"/>
          <w:bCs/>
          <w:szCs w:val="24"/>
        </w:rPr>
        <w:t xml:space="preserve">lietu </w:t>
      </w:r>
      <w:r w:rsidR="00A82747">
        <w:rPr>
          <w:rFonts w:cs="Times New Roman"/>
          <w:bCs/>
          <w:szCs w:val="24"/>
        </w:rPr>
        <w:t>apelācijas kārtībā iztiesāt</w:t>
      </w:r>
      <w:r w:rsidR="00011CBD">
        <w:rPr>
          <w:rFonts w:cs="Times New Roman"/>
          <w:bCs/>
          <w:szCs w:val="24"/>
        </w:rPr>
        <w:t xml:space="preserve"> rakstveida procesā arī gadījumos, kas nav minēti Kriminālprocesa likumā</w:t>
      </w:r>
      <w:r w:rsidRPr="00577BF3">
        <w:rPr>
          <w:rFonts w:cs="Times New Roman"/>
          <w:bCs/>
          <w:szCs w:val="24"/>
        </w:rPr>
        <w:t xml:space="preserve">. </w:t>
      </w:r>
    </w:p>
    <w:p w14:paraId="7A0259C5" w14:textId="77777777" w:rsidR="00D22A9E" w:rsidRPr="00577BF3" w:rsidRDefault="00D22A9E" w:rsidP="00FF355C">
      <w:pPr>
        <w:spacing w:after="0" w:line="240" w:lineRule="auto"/>
        <w:jc w:val="both"/>
        <w:rPr>
          <w:rFonts w:cs="Times New Roman"/>
          <w:bCs/>
          <w:szCs w:val="24"/>
        </w:rPr>
      </w:pPr>
    </w:p>
    <w:p w14:paraId="1CB75243" w14:textId="02846F5F" w:rsidR="00D22A9E" w:rsidRPr="004C4AA3" w:rsidRDefault="00E51A72" w:rsidP="00060760">
      <w:pPr>
        <w:pStyle w:val="ListParagraph"/>
        <w:numPr>
          <w:ilvl w:val="0"/>
          <w:numId w:val="5"/>
        </w:numPr>
        <w:spacing w:after="120" w:line="240" w:lineRule="auto"/>
        <w:ind w:left="714" w:hanging="357"/>
        <w:jc w:val="both"/>
        <w:rPr>
          <w:rFonts w:cs="Times New Roman"/>
          <w:b/>
          <w:szCs w:val="24"/>
        </w:rPr>
      </w:pPr>
      <w:r w:rsidRPr="00577BF3">
        <w:rPr>
          <w:rFonts w:cs="Times New Roman"/>
          <w:b/>
          <w:szCs w:val="24"/>
        </w:rPr>
        <w:t xml:space="preserve">Iesniegti protesti, no </w:t>
      </w:r>
      <w:r w:rsidR="00DB741D">
        <w:rPr>
          <w:rFonts w:cs="Times New Roman"/>
          <w:b/>
          <w:szCs w:val="24"/>
        </w:rPr>
        <w:t>tiem</w:t>
      </w:r>
      <w:r w:rsidRPr="00577BF3">
        <w:rPr>
          <w:rFonts w:cs="Times New Roman"/>
          <w:b/>
          <w:szCs w:val="24"/>
        </w:rPr>
        <w:t xml:space="preserve"> apmierināti</w:t>
      </w:r>
    </w:p>
    <w:p w14:paraId="4D25C29D" w14:textId="6C880F9D" w:rsidR="00E51A72" w:rsidRPr="00577BF3" w:rsidRDefault="00E51A72" w:rsidP="00060760">
      <w:pPr>
        <w:spacing w:after="0" w:line="240" w:lineRule="auto"/>
        <w:jc w:val="center"/>
        <w:rPr>
          <w:rFonts w:cs="Times New Roman"/>
          <w:b/>
          <w:szCs w:val="24"/>
        </w:rPr>
      </w:pPr>
      <w:r w:rsidRPr="00577BF3">
        <w:rPr>
          <w:rFonts w:cs="Times New Roman"/>
          <w:noProof/>
        </w:rPr>
        <w:drawing>
          <wp:inline distT="0" distB="0" distL="0" distR="0" wp14:anchorId="3643FF04" wp14:editId="7647F570">
            <wp:extent cx="4030133" cy="1301750"/>
            <wp:effectExtent l="0" t="0" r="8890" b="1270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AFB6FE3" w14:textId="77777777" w:rsidR="00D22A9E" w:rsidRPr="00970048" w:rsidRDefault="00D22A9E" w:rsidP="00CF4214">
      <w:pPr>
        <w:spacing w:after="0" w:line="240" w:lineRule="auto"/>
        <w:jc w:val="both"/>
        <w:rPr>
          <w:rFonts w:cs="Times New Roman"/>
          <w:bCs/>
          <w:szCs w:val="24"/>
        </w:rPr>
      </w:pPr>
    </w:p>
    <w:p w14:paraId="6906A574" w14:textId="5B6B7A9C" w:rsidR="00FF355C" w:rsidRDefault="00E51A72" w:rsidP="00FF355C">
      <w:pPr>
        <w:spacing w:after="0" w:line="240" w:lineRule="auto"/>
        <w:jc w:val="both"/>
        <w:rPr>
          <w:bCs/>
          <w:szCs w:val="24"/>
        </w:rPr>
      </w:pPr>
      <w:r w:rsidRPr="00577BF3">
        <w:rPr>
          <w:rFonts w:cs="Times New Roman"/>
          <w:bCs/>
          <w:szCs w:val="24"/>
        </w:rPr>
        <w:tab/>
      </w:r>
      <w:r w:rsidR="00A6137F" w:rsidRPr="00577BF3">
        <w:rPr>
          <w:rFonts w:cs="Times New Roman"/>
          <w:bCs/>
          <w:szCs w:val="24"/>
        </w:rPr>
        <w:t>2020. gadā</w:t>
      </w:r>
      <w:r w:rsidRPr="00577BF3">
        <w:rPr>
          <w:rFonts w:cs="Times New Roman"/>
          <w:bCs/>
          <w:szCs w:val="24"/>
        </w:rPr>
        <w:t xml:space="preserve"> salīdzinājumā ar 2019.</w:t>
      </w:r>
      <w:r w:rsidR="00A6137F" w:rsidRPr="00577BF3">
        <w:rPr>
          <w:rFonts w:cs="Times New Roman"/>
          <w:bCs/>
          <w:szCs w:val="24"/>
        </w:rPr>
        <w:t> </w:t>
      </w:r>
      <w:r w:rsidRPr="00577BF3">
        <w:rPr>
          <w:rFonts w:cs="Times New Roman"/>
          <w:bCs/>
          <w:szCs w:val="24"/>
        </w:rPr>
        <w:t>gadu par 67</w:t>
      </w:r>
      <w:r w:rsidR="00A6137F" w:rsidRPr="00577BF3">
        <w:rPr>
          <w:rFonts w:cs="Times New Roman"/>
          <w:bCs/>
          <w:szCs w:val="24"/>
        </w:rPr>
        <w:t> </w:t>
      </w:r>
      <w:r w:rsidRPr="00577BF3">
        <w:rPr>
          <w:rFonts w:cs="Times New Roman"/>
          <w:bCs/>
          <w:szCs w:val="24"/>
        </w:rPr>
        <w:t xml:space="preserve">% samazinājies </w:t>
      </w:r>
      <w:r w:rsidR="006A1E4D">
        <w:rPr>
          <w:rFonts w:cs="Times New Roman"/>
          <w:bCs/>
          <w:szCs w:val="24"/>
        </w:rPr>
        <w:t xml:space="preserve">Rīgas tiesas apgabala prokuratūras prokuroru </w:t>
      </w:r>
      <w:r w:rsidRPr="00577BF3">
        <w:rPr>
          <w:rFonts w:cs="Times New Roman"/>
          <w:bCs/>
          <w:szCs w:val="24"/>
        </w:rPr>
        <w:t xml:space="preserve">iesniegto protestu skaits. Samazinājums daļēji saistāms ar iztiesāto </w:t>
      </w:r>
      <w:r w:rsidR="006A5C2B">
        <w:rPr>
          <w:rFonts w:cs="Times New Roman"/>
          <w:bCs/>
          <w:szCs w:val="24"/>
        </w:rPr>
        <w:t>krimināl</w:t>
      </w:r>
      <w:r w:rsidRPr="00577BF3">
        <w:rPr>
          <w:rFonts w:cs="Times New Roman"/>
          <w:bCs/>
          <w:szCs w:val="24"/>
        </w:rPr>
        <w:t>lietu skaita krišanos, bet daļēji situāciju raksturo</w:t>
      </w:r>
      <w:r w:rsidR="006A5C2B">
        <w:rPr>
          <w:rFonts w:cs="Times New Roman"/>
          <w:bCs/>
          <w:szCs w:val="24"/>
        </w:rPr>
        <w:t xml:space="preserve"> </w:t>
      </w:r>
      <w:r w:rsidR="006A5C2B">
        <w:rPr>
          <w:bCs/>
          <w:szCs w:val="24"/>
        </w:rPr>
        <w:t>iepriekšējos gados ieguldītais darbs prokuroru sagatavotās valsts apsūdzības kvalitātes celšanā.</w:t>
      </w:r>
    </w:p>
    <w:p w14:paraId="454BA7DC" w14:textId="77777777" w:rsidR="006A5C2B" w:rsidRPr="00577BF3" w:rsidRDefault="006A5C2B" w:rsidP="00FF355C">
      <w:pPr>
        <w:spacing w:after="0" w:line="240" w:lineRule="auto"/>
        <w:jc w:val="both"/>
        <w:rPr>
          <w:rFonts w:cs="Times New Roman"/>
          <w:bCs/>
          <w:szCs w:val="24"/>
        </w:rPr>
      </w:pPr>
    </w:p>
    <w:p w14:paraId="6FF907AB" w14:textId="37BDAF27" w:rsidR="00E51A72" w:rsidRPr="00577BF3" w:rsidRDefault="00E51A72" w:rsidP="00C30EE9">
      <w:pPr>
        <w:pStyle w:val="ListParagraph"/>
        <w:numPr>
          <w:ilvl w:val="0"/>
          <w:numId w:val="5"/>
        </w:numPr>
        <w:spacing w:after="120" w:line="240" w:lineRule="auto"/>
        <w:ind w:left="714" w:hanging="357"/>
        <w:jc w:val="both"/>
        <w:rPr>
          <w:rFonts w:cs="Times New Roman"/>
          <w:b/>
          <w:szCs w:val="24"/>
        </w:rPr>
      </w:pPr>
      <w:r w:rsidRPr="00577BF3">
        <w:rPr>
          <w:rFonts w:cs="Times New Roman"/>
          <w:b/>
          <w:szCs w:val="24"/>
        </w:rPr>
        <w:t xml:space="preserve">Tiesā attaisnoto </w:t>
      </w:r>
      <w:r w:rsidR="006A5C2B">
        <w:rPr>
          <w:rFonts w:cs="Times New Roman"/>
          <w:b/>
          <w:szCs w:val="24"/>
        </w:rPr>
        <w:t>apsūdzēto</w:t>
      </w:r>
      <w:r w:rsidRPr="00577BF3">
        <w:rPr>
          <w:rFonts w:cs="Times New Roman"/>
          <w:b/>
          <w:szCs w:val="24"/>
        </w:rPr>
        <w:t xml:space="preserve"> skaits </w:t>
      </w:r>
    </w:p>
    <w:p w14:paraId="04FD94EB" w14:textId="25439761" w:rsidR="008530D0" w:rsidRDefault="00E51A72" w:rsidP="008530D0">
      <w:pPr>
        <w:spacing w:after="0" w:line="240" w:lineRule="auto"/>
        <w:jc w:val="center"/>
        <w:rPr>
          <w:rFonts w:cs="Times New Roman"/>
          <w:bCs/>
          <w:szCs w:val="24"/>
        </w:rPr>
      </w:pPr>
      <w:r w:rsidRPr="00577BF3">
        <w:rPr>
          <w:rFonts w:cs="Times New Roman"/>
          <w:noProof/>
        </w:rPr>
        <w:drawing>
          <wp:inline distT="0" distB="0" distL="0" distR="0" wp14:anchorId="7C0F5FCC" wp14:editId="29CD10D6">
            <wp:extent cx="4091940" cy="1149927"/>
            <wp:effectExtent l="0" t="0" r="3810" b="127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54EF01" w14:textId="77777777" w:rsidR="00835081" w:rsidRPr="00577BF3" w:rsidRDefault="00835081" w:rsidP="00970048">
      <w:pPr>
        <w:spacing w:after="0" w:line="240" w:lineRule="auto"/>
        <w:rPr>
          <w:rFonts w:cs="Times New Roman"/>
          <w:bCs/>
          <w:szCs w:val="24"/>
        </w:rPr>
      </w:pPr>
    </w:p>
    <w:p w14:paraId="2A720337" w14:textId="51F75839" w:rsidR="00327F8C" w:rsidRPr="00577BF3" w:rsidRDefault="00E51A72" w:rsidP="00CF4214">
      <w:pPr>
        <w:spacing w:after="0" w:line="240" w:lineRule="auto"/>
        <w:jc w:val="both"/>
        <w:rPr>
          <w:rFonts w:cs="Times New Roman"/>
          <w:bCs/>
          <w:szCs w:val="24"/>
        </w:rPr>
      </w:pPr>
      <w:r w:rsidRPr="00577BF3">
        <w:rPr>
          <w:rFonts w:cs="Times New Roman"/>
          <w:bCs/>
          <w:szCs w:val="24"/>
        </w:rPr>
        <w:tab/>
        <w:t xml:space="preserve">Tiesā attaisnoto </w:t>
      </w:r>
      <w:r w:rsidR="006A5C2B">
        <w:rPr>
          <w:rFonts w:cs="Times New Roman"/>
          <w:bCs/>
          <w:szCs w:val="24"/>
        </w:rPr>
        <w:t>apsūdzēto</w:t>
      </w:r>
      <w:r w:rsidRPr="00577BF3">
        <w:rPr>
          <w:rFonts w:cs="Times New Roman"/>
          <w:bCs/>
          <w:szCs w:val="24"/>
        </w:rPr>
        <w:t xml:space="preserve"> skaits vērtējams kā zems un dod pamatu </w:t>
      </w:r>
      <w:r w:rsidR="0026091E">
        <w:rPr>
          <w:rFonts w:cs="Times New Roman"/>
          <w:bCs/>
          <w:szCs w:val="24"/>
        </w:rPr>
        <w:t xml:space="preserve">Rīgas tiesas apgabala prokuratūras </w:t>
      </w:r>
      <w:r w:rsidRPr="00577BF3">
        <w:rPr>
          <w:rFonts w:cs="Times New Roman"/>
          <w:bCs/>
          <w:szCs w:val="24"/>
        </w:rPr>
        <w:t>prokuror</w:t>
      </w:r>
      <w:r w:rsidR="00B52F0D" w:rsidRPr="00577BF3">
        <w:rPr>
          <w:rFonts w:cs="Times New Roman"/>
          <w:bCs/>
          <w:szCs w:val="24"/>
        </w:rPr>
        <w:t>u</w:t>
      </w:r>
      <w:r w:rsidRPr="00577BF3">
        <w:rPr>
          <w:rFonts w:cs="Times New Roman"/>
          <w:bCs/>
          <w:szCs w:val="24"/>
        </w:rPr>
        <w:t xml:space="preserve"> darba kvalitāti novērtēt pozitīvi. 2020.</w:t>
      </w:r>
      <w:r w:rsidR="00A6137F" w:rsidRPr="00577BF3">
        <w:rPr>
          <w:rFonts w:cs="Times New Roman"/>
          <w:bCs/>
          <w:szCs w:val="24"/>
        </w:rPr>
        <w:t> </w:t>
      </w:r>
      <w:r w:rsidRPr="00577BF3">
        <w:rPr>
          <w:rFonts w:cs="Times New Roman"/>
          <w:bCs/>
          <w:szCs w:val="24"/>
        </w:rPr>
        <w:t xml:space="preserve">gadā, </w:t>
      </w:r>
      <w:r w:rsidR="00D10535">
        <w:rPr>
          <w:rFonts w:cs="Times New Roman"/>
          <w:bCs/>
          <w:szCs w:val="24"/>
        </w:rPr>
        <w:t>analizējot</w:t>
      </w:r>
      <w:r w:rsidRPr="00577BF3">
        <w:rPr>
          <w:rFonts w:cs="Times New Roman"/>
          <w:bCs/>
          <w:szCs w:val="24"/>
        </w:rPr>
        <w:t xml:space="preserve"> </w:t>
      </w:r>
      <w:r w:rsidR="006A5C2B">
        <w:rPr>
          <w:rFonts w:cs="Times New Roman"/>
          <w:bCs/>
          <w:szCs w:val="24"/>
        </w:rPr>
        <w:t>apsūdzēto</w:t>
      </w:r>
      <w:r w:rsidR="00F62B7E">
        <w:rPr>
          <w:rFonts w:cs="Times New Roman"/>
          <w:bCs/>
          <w:szCs w:val="24"/>
        </w:rPr>
        <w:t xml:space="preserve"> </w:t>
      </w:r>
      <w:r w:rsidRPr="00577BF3">
        <w:rPr>
          <w:rFonts w:cs="Times New Roman"/>
          <w:bCs/>
          <w:szCs w:val="24"/>
        </w:rPr>
        <w:t xml:space="preserve">attaisnošanas iemeslus krimināllietās, kurās spriedums stājies spēkā, </w:t>
      </w:r>
      <w:r w:rsidR="00571F81">
        <w:rPr>
          <w:rFonts w:cs="Times New Roman"/>
          <w:bCs/>
          <w:szCs w:val="24"/>
        </w:rPr>
        <w:t xml:space="preserve">Rīgas tiesas apgabala prokuratūras </w:t>
      </w:r>
      <w:r w:rsidRPr="00577BF3">
        <w:rPr>
          <w:rFonts w:cs="Times New Roman"/>
          <w:bCs/>
          <w:szCs w:val="24"/>
        </w:rPr>
        <w:t xml:space="preserve">prokuroru darbā nav konstatēti tādi pārkāpumi, kas noveduši pie </w:t>
      </w:r>
      <w:r w:rsidR="006A5C2B">
        <w:rPr>
          <w:rFonts w:cs="Times New Roman"/>
          <w:bCs/>
          <w:szCs w:val="24"/>
        </w:rPr>
        <w:t>apsūdzēt</w:t>
      </w:r>
      <w:r w:rsidR="00F62B7E">
        <w:rPr>
          <w:rFonts w:cs="Times New Roman"/>
          <w:bCs/>
          <w:szCs w:val="24"/>
        </w:rPr>
        <w:t>o</w:t>
      </w:r>
      <w:r w:rsidRPr="00577BF3">
        <w:rPr>
          <w:rFonts w:cs="Times New Roman"/>
          <w:bCs/>
          <w:szCs w:val="24"/>
        </w:rPr>
        <w:t xml:space="preserve"> attaisnošanas.</w:t>
      </w:r>
    </w:p>
    <w:p w14:paraId="1A2474F1" w14:textId="77777777" w:rsidR="00C23A66" w:rsidRPr="00577BF3" w:rsidRDefault="00C23A66" w:rsidP="00CF4214">
      <w:pPr>
        <w:spacing w:after="0" w:line="240" w:lineRule="auto"/>
        <w:jc w:val="both"/>
        <w:rPr>
          <w:rFonts w:cs="Times New Roman"/>
          <w:bCs/>
          <w:szCs w:val="24"/>
        </w:rPr>
      </w:pPr>
    </w:p>
    <w:p w14:paraId="1DA43473" w14:textId="189B930F" w:rsidR="00D22A9E" w:rsidRPr="0007362D" w:rsidRDefault="00E51A72" w:rsidP="00ED6498">
      <w:pPr>
        <w:pStyle w:val="ListParagraph"/>
        <w:numPr>
          <w:ilvl w:val="0"/>
          <w:numId w:val="5"/>
        </w:numPr>
        <w:spacing w:after="120" w:line="240" w:lineRule="auto"/>
        <w:ind w:left="714" w:hanging="357"/>
        <w:jc w:val="both"/>
        <w:rPr>
          <w:rFonts w:cs="Times New Roman"/>
          <w:b/>
          <w:szCs w:val="24"/>
        </w:rPr>
      </w:pPr>
      <w:bookmarkStart w:id="20" w:name="_Hlk62902486"/>
      <w:r w:rsidRPr="00577BF3">
        <w:rPr>
          <w:rFonts w:cs="Times New Roman"/>
          <w:b/>
          <w:szCs w:val="24"/>
        </w:rPr>
        <w:t>Izlemt</w:t>
      </w:r>
      <w:r w:rsidR="00556E8A">
        <w:rPr>
          <w:rFonts w:cs="Times New Roman"/>
          <w:b/>
          <w:szCs w:val="24"/>
        </w:rPr>
        <w:t>a</w:t>
      </w:r>
      <w:r w:rsidRPr="00577BF3">
        <w:rPr>
          <w:rFonts w:cs="Times New Roman"/>
          <w:b/>
          <w:szCs w:val="24"/>
        </w:rPr>
        <w:t>s sūdzības, no tām apmierinātas</w:t>
      </w:r>
      <w:bookmarkEnd w:id="20"/>
    </w:p>
    <w:p w14:paraId="18750146" w14:textId="1418F2A7" w:rsidR="00E51A72" w:rsidRPr="00577BF3" w:rsidRDefault="00E51A72" w:rsidP="00B17CD5">
      <w:pPr>
        <w:spacing w:after="0" w:line="240" w:lineRule="auto"/>
        <w:jc w:val="center"/>
        <w:rPr>
          <w:rFonts w:cs="Times New Roman"/>
          <w:b/>
          <w:szCs w:val="24"/>
        </w:rPr>
      </w:pPr>
      <w:r w:rsidRPr="00577BF3">
        <w:rPr>
          <w:rFonts w:cs="Times New Roman"/>
          <w:noProof/>
        </w:rPr>
        <w:drawing>
          <wp:inline distT="0" distB="0" distL="0" distR="0" wp14:anchorId="11EA858A" wp14:editId="5C2A354C">
            <wp:extent cx="4066309" cy="1536700"/>
            <wp:effectExtent l="0" t="0" r="10795" b="63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1F8C19E" w14:textId="77777777" w:rsidR="00D22A9E" w:rsidRPr="00577BF3" w:rsidRDefault="00D22A9E" w:rsidP="00CF4214">
      <w:pPr>
        <w:spacing w:after="0" w:line="240" w:lineRule="auto"/>
        <w:jc w:val="both"/>
        <w:rPr>
          <w:rFonts w:cs="Times New Roman"/>
          <w:b/>
          <w:szCs w:val="24"/>
        </w:rPr>
      </w:pPr>
    </w:p>
    <w:p w14:paraId="4C4A40BA" w14:textId="15405ABA" w:rsidR="00A604DA" w:rsidRDefault="00E51A72" w:rsidP="0007362D">
      <w:pPr>
        <w:spacing w:after="0" w:line="240" w:lineRule="auto"/>
        <w:jc w:val="both"/>
        <w:rPr>
          <w:rFonts w:cs="Times New Roman"/>
          <w:bCs/>
          <w:szCs w:val="24"/>
        </w:rPr>
      </w:pPr>
      <w:r w:rsidRPr="00577BF3">
        <w:rPr>
          <w:rFonts w:cs="Times New Roman"/>
          <w:bCs/>
          <w:szCs w:val="24"/>
        </w:rPr>
        <w:tab/>
      </w:r>
      <w:r w:rsidR="00E83829">
        <w:rPr>
          <w:rFonts w:cs="Times New Roman"/>
          <w:bCs/>
          <w:szCs w:val="24"/>
        </w:rPr>
        <w:t>Rīgas tiesas apgabala p</w:t>
      </w:r>
      <w:r w:rsidRPr="00577BF3">
        <w:rPr>
          <w:rFonts w:cs="Times New Roman"/>
          <w:bCs/>
          <w:szCs w:val="24"/>
        </w:rPr>
        <w:t>rokuratūrā izlemto sūdzību skaits ik gadu ir nemainīgi un kritiski augsts. Sūdzību izlemšanai tiek atvēlēts nesamērīgi liels prokuror</w:t>
      </w:r>
      <w:r w:rsidR="00CC1520">
        <w:rPr>
          <w:rFonts w:cs="Times New Roman"/>
          <w:bCs/>
          <w:szCs w:val="24"/>
        </w:rPr>
        <w:t>a</w:t>
      </w:r>
      <w:r w:rsidRPr="00577BF3">
        <w:rPr>
          <w:rFonts w:cs="Times New Roman"/>
          <w:bCs/>
          <w:szCs w:val="24"/>
        </w:rPr>
        <w:t xml:space="preserve"> darba resurss. Vērtējot, ka no izlemtajām sūdzībām tiek apmierināta vidēji tikai katra desmitā, svarīgi ir rast risinājumu sūdzību skaita samazinājumam, lai prokurori varētu vairāk uzmanības atvēlēt svarīgāku funkciju nodrošināšanai.  </w:t>
      </w:r>
    </w:p>
    <w:p w14:paraId="7641E054" w14:textId="77777777" w:rsidR="00A604DA" w:rsidRPr="00577BF3" w:rsidRDefault="00A604DA" w:rsidP="00A604DA">
      <w:pPr>
        <w:spacing w:after="0" w:line="240" w:lineRule="auto"/>
        <w:jc w:val="both"/>
        <w:rPr>
          <w:rFonts w:cs="Times New Roman"/>
          <w:bCs/>
          <w:szCs w:val="24"/>
        </w:rPr>
      </w:pPr>
    </w:p>
    <w:p w14:paraId="029E7C7B" w14:textId="5EC39E51" w:rsidR="00E51A72" w:rsidRPr="00577BF3" w:rsidRDefault="00E51A72" w:rsidP="0007362D">
      <w:pPr>
        <w:spacing w:after="0" w:line="240" w:lineRule="auto"/>
        <w:jc w:val="center"/>
        <w:rPr>
          <w:rFonts w:cs="Times New Roman"/>
          <w:b/>
          <w:sz w:val="28"/>
          <w:szCs w:val="28"/>
        </w:rPr>
      </w:pPr>
      <w:r w:rsidRPr="00577BF3">
        <w:rPr>
          <w:rFonts w:cs="Times New Roman"/>
          <w:b/>
          <w:sz w:val="28"/>
          <w:szCs w:val="28"/>
        </w:rPr>
        <w:t>III</w:t>
      </w:r>
      <w:r w:rsidR="00CA0D90" w:rsidRPr="00577BF3">
        <w:rPr>
          <w:rFonts w:cs="Times New Roman"/>
          <w:b/>
          <w:sz w:val="28"/>
          <w:szCs w:val="28"/>
        </w:rPr>
        <w:t>.</w:t>
      </w:r>
      <w:r w:rsidR="00327F8C" w:rsidRPr="00577BF3">
        <w:rPr>
          <w:rFonts w:cs="Times New Roman"/>
          <w:b/>
          <w:sz w:val="28"/>
          <w:szCs w:val="28"/>
        </w:rPr>
        <w:t> </w:t>
      </w:r>
      <w:r w:rsidRPr="00577BF3">
        <w:rPr>
          <w:rFonts w:cs="Times New Roman"/>
          <w:b/>
          <w:sz w:val="28"/>
          <w:szCs w:val="28"/>
        </w:rPr>
        <w:t xml:space="preserve">Rajona </w:t>
      </w:r>
      <w:r w:rsidR="00327F8C" w:rsidRPr="00577BF3">
        <w:rPr>
          <w:rFonts w:cs="Times New Roman"/>
          <w:b/>
          <w:sz w:val="28"/>
          <w:szCs w:val="28"/>
        </w:rPr>
        <w:t xml:space="preserve">līmeņa </w:t>
      </w:r>
      <w:r w:rsidRPr="00577BF3">
        <w:rPr>
          <w:rFonts w:cs="Times New Roman"/>
          <w:b/>
          <w:sz w:val="28"/>
          <w:szCs w:val="28"/>
        </w:rPr>
        <w:t>prokuratūru darba rādītāji (salīdzinājum</w:t>
      </w:r>
      <w:r w:rsidR="00327F8C" w:rsidRPr="00577BF3">
        <w:rPr>
          <w:rFonts w:cs="Times New Roman"/>
          <w:b/>
          <w:sz w:val="28"/>
          <w:szCs w:val="28"/>
        </w:rPr>
        <w:t>s</w:t>
      </w:r>
      <w:r w:rsidRPr="00577BF3">
        <w:rPr>
          <w:rFonts w:cs="Times New Roman"/>
          <w:b/>
          <w:sz w:val="28"/>
          <w:szCs w:val="28"/>
        </w:rPr>
        <w:t xml:space="preserve"> ar 2019.</w:t>
      </w:r>
      <w:r w:rsidR="00327F8C" w:rsidRPr="00577BF3">
        <w:rPr>
          <w:rFonts w:cs="Times New Roman"/>
          <w:b/>
          <w:sz w:val="28"/>
          <w:szCs w:val="28"/>
        </w:rPr>
        <w:t> </w:t>
      </w:r>
      <w:r w:rsidRPr="00577BF3">
        <w:rPr>
          <w:rFonts w:cs="Times New Roman"/>
          <w:b/>
          <w:sz w:val="28"/>
          <w:szCs w:val="28"/>
        </w:rPr>
        <w:t>gadu)</w:t>
      </w:r>
    </w:p>
    <w:p w14:paraId="151A343B" w14:textId="77777777" w:rsidR="00E51A72" w:rsidRPr="00577BF3" w:rsidRDefault="00E51A72" w:rsidP="00CF4214">
      <w:pPr>
        <w:spacing w:after="0" w:line="240" w:lineRule="auto"/>
        <w:jc w:val="both"/>
        <w:rPr>
          <w:rFonts w:cs="Times New Roman"/>
          <w:b/>
          <w:szCs w:val="24"/>
        </w:rPr>
      </w:pPr>
    </w:p>
    <w:p w14:paraId="601DF11B" w14:textId="58286EA9" w:rsidR="008B617E" w:rsidRPr="0007362D" w:rsidRDefault="00E51A72" w:rsidP="00970048">
      <w:pPr>
        <w:pStyle w:val="ListParagraph"/>
        <w:numPr>
          <w:ilvl w:val="0"/>
          <w:numId w:val="6"/>
        </w:numPr>
        <w:spacing w:after="120" w:line="240" w:lineRule="auto"/>
        <w:ind w:left="714" w:hanging="357"/>
        <w:jc w:val="both"/>
        <w:rPr>
          <w:rFonts w:cs="Times New Roman"/>
          <w:b/>
          <w:szCs w:val="24"/>
        </w:rPr>
      </w:pPr>
      <w:r w:rsidRPr="00577BF3">
        <w:rPr>
          <w:rFonts w:cs="Times New Roman"/>
          <w:b/>
          <w:szCs w:val="24"/>
        </w:rPr>
        <w:t>Kriminālvajāšanai saņemt</w:t>
      </w:r>
      <w:r w:rsidR="00032ACC">
        <w:rPr>
          <w:rFonts w:cs="Times New Roman"/>
          <w:b/>
          <w:szCs w:val="24"/>
        </w:rPr>
        <w:t>i kriminālprocesi</w:t>
      </w:r>
    </w:p>
    <w:p w14:paraId="6C3B9E7E" w14:textId="18DC627A" w:rsidR="00E51A72" w:rsidRPr="00577BF3" w:rsidRDefault="00E51A72" w:rsidP="00B17CD5">
      <w:pPr>
        <w:spacing w:after="0" w:line="240" w:lineRule="auto"/>
        <w:jc w:val="center"/>
        <w:rPr>
          <w:rFonts w:cs="Times New Roman"/>
          <w:b/>
          <w:szCs w:val="24"/>
        </w:rPr>
      </w:pPr>
      <w:r w:rsidRPr="00577BF3">
        <w:rPr>
          <w:rFonts w:cs="Times New Roman"/>
          <w:noProof/>
        </w:rPr>
        <w:drawing>
          <wp:inline distT="0" distB="0" distL="0" distR="0" wp14:anchorId="5C3FCDDC" wp14:editId="17DD3231">
            <wp:extent cx="5429250" cy="2459181"/>
            <wp:effectExtent l="0" t="0" r="0" b="1778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DC2978" w14:textId="77777777" w:rsidR="008B617E" w:rsidRPr="00577BF3" w:rsidRDefault="008B617E" w:rsidP="00CF4214">
      <w:pPr>
        <w:spacing w:after="0" w:line="240" w:lineRule="auto"/>
        <w:jc w:val="both"/>
        <w:rPr>
          <w:rFonts w:cs="Times New Roman"/>
          <w:b/>
          <w:szCs w:val="24"/>
        </w:rPr>
      </w:pPr>
    </w:p>
    <w:p w14:paraId="60151A91" w14:textId="66EEDAD2" w:rsidR="00F21307" w:rsidRDefault="00E51A72" w:rsidP="00CF4214">
      <w:pPr>
        <w:spacing w:after="0" w:line="240" w:lineRule="auto"/>
        <w:jc w:val="both"/>
        <w:rPr>
          <w:rFonts w:cs="Times New Roman"/>
          <w:bCs/>
          <w:szCs w:val="24"/>
        </w:rPr>
      </w:pPr>
      <w:r w:rsidRPr="00577BF3">
        <w:rPr>
          <w:rFonts w:cs="Times New Roman"/>
          <w:b/>
          <w:szCs w:val="24"/>
        </w:rPr>
        <w:tab/>
      </w:r>
      <w:r w:rsidR="00705F07">
        <w:rPr>
          <w:rFonts w:cs="Times New Roman"/>
          <w:bCs/>
          <w:szCs w:val="24"/>
        </w:rPr>
        <w:t xml:space="preserve">2020. gadā </w:t>
      </w:r>
      <w:r w:rsidR="001D1646">
        <w:rPr>
          <w:rFonts w:cs="Times New Roman"/>
          <w:bCs/>
          <w:szCs w:val="24"/>
        </w:rPr>
        <w:t xml:space="preserve">Rīgas tiesas apgabala prokuratūras </w:t>
      </w:r>
      <w:r w:rsidR="0000193D" w:rsidRPr="00577BF3">
        <w:rPr>
          <w:rFonts w:cs="Times New Roman"/>
          <w:bCs/>
          <w:szCs w:val="24"/>
        </w:rPr>
        <w:t xml:space="preserve">darbības teritorijā </w:t>
      </w:r>
      <w:r w:rsidR="00034C36">
        <w:rPr>
          <w:rFonts w:cs="Times New Roman"/>
          <w:bCs/>
          <w:szCs w:val="24"/>
        </w:rPr>
        <w:t>ietilpstošajās</w:t>
      </w:r>
      <w:r w:rsidR="0000193D" w:rsidRPr="00577BF3">
        <w:rPr>
          <w:rFonts w:cs="Times New Roman"/>
          <w:bCs/>
          <w:szCs w:val="24"/>
        </w:rPr>
        <w:t xml:space="preserve"> </w:t>
      </w:r>
      <w:r w:rsidR="00FF4967">
        <w:rPr>
          <w:rFonts w:cs="Times New Roman"/>
          <w:bCs/>
          <w:szCs w:val="24"/>
        </w:rPr>
        <w:t>8 </w:t>
      </w:r>
      <w:r w:rsidR="0000193D" w:rsidRPr="00577BF3">
        <w:rPr>
          <w:rFonts w:cs="Times New Roman"/>
          <w:bCs/>
          <w:szCs w:val="24"/>
        </w:rPr>
        <w:t>rajona</w:t>
      </w:r>
      <w:r w:rsidR="00034C36">
        <w:rPr>
          <w:rFonts w:cs="Times New Roman"/>
          <w:bCs/>
          <w:szCs w:val="24"/>
        </w:rPr>
        <w:t xml:space="preserve"> līmeņa</w:t>
      </w:r>
      <w:r w:rsidR="0000193D" w:rsidRPr="00577BF3">
        <w:rPr>
          <w:rFonts w:cs="Times New Roman"/>
          <w:bCs/>
          <w:szCs w:val="24"/>
        </w:rPr>
        <w:t xml:space="preserve"> prokuratūrās</w:t>
      </w:r>
      <w:r w:rsidRPr="00577BF3">
        <w:rPr>
          <w:rFonts w:cs="Times New Roman"/>
          <w:bCs/>
          <w:szCs w:val="24"/>
        </w:rPr>
        <w:t xml:space="preserve"> pamatā vērojams kriminālvajāšanai saņemto krimināl</w:t>
      </w:r>
      <w:r w:rsidR="00307C7A">
        <w:rPr>
          <w:rFonts w:cs="Times New Roman"/>
          <w:bCs/>
          <w:szCs w:val="24"/>
        </w:rPr>
        <w:t>procesu</w:t>
      </w:r>
      <w:r w:rsidR="001340BB">
        <w:rPr>
          <w:rFonts w:cs="Times New Roman"/>
          <w:bCs/>
          <w:szCs w:val="24"/>
        </w:rPr>
        <w:t xml:space="preserve"> </w:t>
      </w:r>
      <w:r w:rsidRPr="00577BF3">
        <w:rPr>
          <w:rFonts w:cs="Times New Roman"/>
          <w:bCs/>
          <w:szCs w:val="24"/>
        </w:rPr>
        <w:t>skaita samazinājums. Vienlaikus jāizceļ, ka tr</w:t>
      </w:r>
      <w:r w:rsidR="00734522" w:rsidRPr="00577BF3">
        <w:rPr>
          <w:rFonts w:cs="Times New Roman"/>
          <w:bCs/>
          <w:szCs w:val="24"/>
        </w:rPr>
        <w:t>ijās</w:t>
      </w:r>
      <w:r w:rsidRPr="00577BF3">
        <w:rPr>
          <w:rFonts w:cs="Times New Roman"/>
          <w:bCs/>
          <w:szCs w:val="24"/>
        </w:rPr>
        <w:t xml:space="preserve"> no astoņām </w:t>
      </w:r>
      <w:r w:rsidR="00734522" w:rsidRPr="00577BF3">
        <w:rPr>
          <w:rFonts w:cs="Times New Roman"/>
          <w:bCs/>
          <w:szCs w:val="24"/>
        </w:rPr>
        <w:t xml:space="preserve">prokuratūras </w:t>
      </w:r>
      <w:r w:rsidRPr="00577BF3">
        <w:rPr>
          <w:rFonts w:cs="Times New Roman"/>
          <w:bCs/>
          <w:szCs w:val="24"/>
        </w:rPr>
        <w:t>struktūrvienībām panākts kriminālvajāšanai saņemto krimināl</w:t>
      </w:r>
      <w:r w:rsidR="00536537">
        <w:rPr>
          <w:rFonts w:cs="Times New Roman"/>
          <w:bCs/>
          <w:szCs w:val="24"/>
        </w:rPr>
        <w:t>procesu</w:t>
      </w:r>
      <w:r w:rsidR="001340BB">
        <w:rPr>
          <w:rFonts w:cs="Times New Roman"/>
          <w:bCs/>
          <w:szCs w:val="24"/>
        </w:rPr>
        <w:t xml:space="preserve"> </w:t>
      </w:r>
      <w:r w:rsidRPr="00577BF3">
        <w:rPr>
          <w:rFonts w:cs="Times New Roman"/>
          <w:bCs/>
          <w:szCs w:val="24"/>
        </w:rPr>
        <w:t xml:space="preserve">skaita pieaugums, bet Rīgas </w:t>
      </w:r>
      <w:r w:rsidR="00BE2F87">
        <w:rPr>
          <w:rFonts w:cs="Times New Roman"/>
          <w:bCs/>
          <w:szCs w:val="24"/>
        </w:rPr>
        <w:t xml:space="preserve">pilsētas </w:t>
      </w:r>
      <w:r w:rsidRPr="00577BF3">
        <w:rPr>
          <w:rFonts w:cs="Times New Roman"/>
          <w:bCs/>
          <w:szCs w:val="24"/>
        </w:rPr>
        <w:t>Pārdaugavas prokuratūrā šis rādītājs pieaudzis par 63</w:t>
      </w:r>
      <w:r w:rsidR="00734522" w:rsidRPr="00577BF3">
        <w:rPr>
          <w:rFonts w:cs="Times New Roman"/>
          <w:bCs/>
          <w:szCs w:val="24"/>
        </w:rPr>
        <w:t> </w:t>
      </w:r>
      <w:r w:rsidRPr="00577BF3">
        <w:rPr>
          <w:rFonts w:cs="Times New Roman"/>
          <w:bCs/>
          <w:szCs w:val="24"/>
        </w:rPr>
        <w:t>%. Šāds straujš pieaugums izskaidrojams ar izmeklēšanas darba efektivitātes būtisku uzlabojumu apkalpojamās izmeklēšanas struktūrvienībās.</w:t>
      </w:r>
    </w:p>
    <w:p w14:paraId="7B410387" w14:textId="77777777" w:rsidR="008B617E" w:rsidRPr="00577BF3" w:rsidRDefault="008B617E" w:rsidP="00CF4214">
      <w:pPr>
        <w:spacing w:after="0" w:line="240" w:lineRule="auto"/>
        <w:jc w:val="both"/>
        <w:rPr>
          <w:rFonts w:cs="Times New Roman"/>
          <w:bCs/>
          <w:szCs w:val="24"/>
        </w:rPr>
      </w:pPr>
    </w:p>
    <w:p w14:paraId="417190D2" w14:textId="09C68CDB" w:rsidR="00E51A72" w:rsidRPr="00741AC9" w:rsidRDefault="008530D0" w:rsidP="0006783B">
      <w:pPr>
        <w:pStyle w:val="ListParagraph"/>
        <w:numPr>
          <w:ilvl w:val="0"/>
          <w:numId w:val="6"/>
        </w:numPr>
        <w:spacing w:after="120" w:line="240" w:lineRule="auto"/>
        <w:ind w:left="851" w:hanging="567"/>
        <w:jc w:val="both"/>
        <w:rPr>
          <w:rFonts w:cs="Times New Roman"/>
          <w:b/>
          <w:szCs w:val="24"/>
        </w:rPr>
      </w:pPr>
      <w:r>
        <w:rPr>
          <w:noProof/>
        </w:rPr>
        <w:lastRenderedPageBreak/>
        <w:drawing>
          <wp:anchor distT="0" distB="0" distL="114300" distR="114300" simplePos="0" relativeHeight="251676160" behindDoc="0" locked="0" layoutInCell="1" allowOverlap="1" wp14:anchorId="575CE859" wp14:editId="72E853C5">
            <wp:simplePos x="0" y="0"/>
            <wp:positionH relativeFrom="margin">
              <wp:posOffset>187325</wp:posOffset>
            </wp:positionH>
            <wp:positionV relativeFrom="paragraph">
              <wp:posOffset>418465</wp:posOffset>
            </wp:positionV>
            <wp:extent cx="5506720" cy="2584450"/>
            <wp:effectExtent l="0" t="0" r="17780" b="6350"/>
            <wp:wrapTopAndBottom/>
            <wp:docPr id="93" name="Chart 93">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E51A72" w:rsidRPr="00577BF3">
        <w:rPr>
          <w:rFonts w:cs="Times New Roman"/>
          <w:b/>
          <w:szCs w:val="24"/>
        </w:rPr>
        <w:t>Paātrinātā procesa kārtībā kriminālvajāšan</w:t>
      </w:r>
      <w:r w:rsidR="00233FA5">
        <w:rPr>
          <w:rFonts w:cs="Times New Roman"/>
          <w:b/>
          <w:szCs w:val="24"/>
        </w:rPr>
        <w:t>ai</w:t>
      </w:r>
      <w:r w:rsidR="00E51A72" w:rsidRPr="00577BF3">
        <w:rPr>
          <w:rFonts w:cs="Times New Roman"/>
          <w:b/>
          <w:szCs w:val="24"/>
        </w:rPr>
        <w:t xml:space="preserve"> saņemti kriminālprocesi, no tiem</w:t>
      </w:r>
      <w:r w:rsidR="00C81D79">
        <w:rPr>
          <w:rFonts w:cs="Times New Roman"/>
          <w:b/>
          <w:szCs w:val="24"/>
        </w:rPr>
        <w:t xml:space="preserve"> </w:t>
      </w:r>
      <w:r w:rsidR="0002361F">
        <w:rPr>
          <w:rFonts w:cs="Times New Roman"/>
          <w:b/>
          <w:szCs w:val="24"/>
        </w:rPr>
        <w:t>šī</w:t>
      </w:r>
      <w:r w:rsidR="0006783B">
        <w:rPr>
          <w:rFonts w:cs="Times New Roman"/>
          <w:b/>
          <w:szCs w:val="24"/>
        </w:rPr>
        <w:t xml:space="preserve"> </w:t>
      </w:r>
      <w:r w:rsidR="0002361F">
        <w:rPr>
          <w:rFonts w:cs="Times New Roman"/>
          <w:b/>
          <w:szCs w:val="24"/>
        </w:rPr>
        <w:t xml:space="preserve">procesa </w:t>
      </w:r>
      <w:r w:rsidR="001E5FCE">
        <w:rPr>
          <w:rFonts w:cs="Times New Roman"/>
          <w:b/>
          <w:szCs w:val="24"/>
        </w:rPr>
        <w:t>kārtībā</w:t>
      </w:r>
      <w:r w:rsidR="002B518D">
        <w:rPr>
          <w:rFonts w:cs="Times New Roman"/>
          <w:b/>
          <w:szCs w:val="24"/>
        </w:rPr>
        <w:t xml:space="preserve"> tiesai nodot</w:t>
      </w:r>
      <w:r w:rsidR="00556E8A">
        <w:rPr>
          <w:rFonts w:cs="Times New Roman"/>
          <w:b/>
          <w:szCs w:val="24"/>
        </w:rPr>
        <w:t>a</w:t>
      </w:r>
      <w:r w:rsidR="002B518D">
        <w:rPr>
          <w:rFonts w:cs="Times New Roman"/>
          <w:b/>
          <w:szCs w:val="24"/>
        </w:rPr>
        <w:t>s krimināllietas</w:t>
      </w:r>
      <w:r w:rsidR="00E51A72" w:rsidRPr="00577BF3">
        <w:rPr>
          <w:rFonts w:cs="Times New Roman"/>
          <w:b/>
          <w:szCs w:val="24"/>
        </w:rPr>
        <w:t xml:space="preserve"> </w:t>
      </w:r>
    </w:p>
    <w:p w14:paraId="1502CF97" w14:textId="39CD0FA3" w:rsidR="008B617E" w:rsidRPr="00577BF3" w:rsidRDefault="008B617E" w:rsidP="00CF4214">
      <w:pPr>
        <w:spacing w:after="0" w:line="240" w:lineRule="auto"/>
        <w:jc w:val="both"/>
        <w:rPr>
          <w:rFonts w:cs="Times New Roman"/>
          <w:bCs/>
          <w:szCs w:val="24"/>
        </w:rPr>
      </w:pPr>
    </w:p>
    <w:p w14:paraId="46191CDC" w14:textId="4E493A8C" w:rsidR="00ED2410" w:rsidRPr="00577BF3" w:rsidRDefault="00E51A72" w:rsidP="00CF4214">
      <w:pPr>
        <w:spacing w:after="0" w:line="240" w:lineRule="auto"/>
        <w:jc w:val="both"/>
        <w:rPr>
          <w:rFonts w:cs="Times New Roman"/>
          <w:bCs/>
          <w:szCs w:val="24"/>
        </w:rPr>
      </w:pPr>
      <w:r w:rsidRPr="00577BF3">
        <w:rPr>
          <w:rFonts w:cs="Times New Roman"/>
          <w:bCs/>
          <w:szCs w:val="24"/>
        </w:rPr>
        <w:tab/>
        <w:t xml:space="preserve">Paātrinātā procesa piemērošanas prakse skaidri iezīmē tā praktisko izmantošanu pirmstiesas procesa stadijā. Pamatā tikai neliela daļa (mazāk </w:t>
      </w:r>
      <w:r w:rsidR="00734522" w:rsidRPr="00577BF3">
        <w:rPr>
          <w:rFonts w:cs="Times New Roman"/>
          <w:bCs/>
          <w:szCs w:val="24"/>
        </w:rPr>
        <w:t>ne</w:t>
      </w:r>
      <w:r w:rsidRPr="00577BF3">
        <w:rPr>
          <w:rFonts w:cs="Times New Roman"/>
          <w:bCs/>
          <w:szCs w:val="24"/>
        </w:rPr>
        <w:t>kā 10</w:t>
      </w:r>
      <w:r w:rsidR="00734522" w:rsidRPr="00577BF3">
        <w:rPr>
          <w:rFonts w:cs="Times New Roman"/>
          <w:bCs/>
          <w:szCs w:val="24"/>
        </w:rPr>
        <w:t> </w:t>
      </w:r>
      <w:r w:rsidRPr="00577BF3">
        <w:rPr>
          <w:rFonts w:cs="Times New Roman"/>
          <w:bCs/>
          <w:szCs w:val="24"/>
        </w:rPr>
        <w:t xml:space="preserve">%) </w:t>
      </w:r>
      <w:r w:rsidR="00B0368C">
        <w:rPr>
          <w:rFonts w:cs="Times New Roman"/>
          <w:bCs/>
          <w:szCs w:val="24"/>
        </w:rPr>
        <w:t xml:space="preserve">paātrinātā </w:t>
      </w:r>
      <w:r w:rsidR="00490961">
        <w:rPr>
          <w:rFonts w:cs="Times New Roman"/>
          <w:bCs/>
          <w:szCs w:val="24"/>
        </w:rPr>
        <w:t>p</w:t>
      </w:r>
      <w:r w:rsidR="00B14CFC">
        <w:rPr>
          <w:rFonts w:cs="Times New Roman"/>
          <w:bCs/>
          <w:szCs w:val="24"/>
        </w:rPr>
        <w:t>r</w:t>
      </w:r>
      <w:r w:rsidR="00490961">
        <w:rPr>
          <w:rFonts w:cs="Times New Roman"/>
          <w:bCs/>
          <w:szCs w:val="24"/>
        </w:rPr>
        <w:t xml:space="preserve">ocesa kārtībā </w:t>
      </w:r>
      <w:r w:rsidRPr="00577BF3">
        <w:rPr>
          <w:rFonts w:cs="Times New Roman"/>
          <w:bCs/>
          <w:szCs w:val="24"/>
        </w:rPr>
        <w:t xml:space="preserve">virzīto kriminālprocesu </w:t>
      </w:r>
      <w:r w:rsidR="0008412A">
        <w:rPr>
          <w:rFonts w:cs="Times New Roman"/>
          <w:bCs/>
          <w:szCs w:val="24"/>
        </w:rPr>
        <w:t>tiek pabeigti</w:t>
      </w:r>
      <w:r w:rsidR="00745D4A">
        <w:rPr>
          <w:rFonts w:cs="Times New Roman"/>
          <w:bCs/>
          <w:szCs w:val="24"/>
        </w:rPr>
        <w:t xml:space="preserve"> </w:t>
      </w:r>
      <w:r w:rsidR="00967FA8">
        <w:rPr>
          <w:rFonts w:cs="Times New Roman"/>
          <w:bCs/>
          <w:szCs w:val="24"/>
        </w:rPr>
        <w:t xml:space="preserve">šajā vienkāršotajā </w:t>
      </w:r>
      <w:r w:rsidR="00F821A1">
        <w:rPr>
          <w:rFonts w:cs="Times New Roman"/>
          <w:bCs/>
          <w:szCs w:val="24"/>
        </w:rPr>
        <w:t>veidā</w:t>
      </w:r>
      <w:r w:rsidR="001269FF">
        <w:rPr>
          <w:rFonts w:cs="Times New Roman"/>
          <w:bCs/>
          <w:szCs w:val="24"/>
        </w:rPr>
        <w:t xml:space="preserve">, nododot </w:t>
      </w:r>
      <w:r w:rsidR="00745D4A">
        <w:rPr>
          <w:rFonts w:cs="Times New Roman"/>
          <w:bCs/>
          <w:szCs w:val="24"/>
        </w:rPr>
        <w:t>kriminālliet</w:t>
      </w:r>
      <w:r w:rsidR="00CB1943">
        <w:rPr>
          <w:rFonts w:cs="Times New Roman"/>
          <w:bCs/>
          <w:szCs w:val="24"/>
        </w:rPr>
        <w:t>u tiesai</w:t>
      </w:r>
      <w:r w:rsidRPr="00577BF3">
        <w:rPr>
          <w:rFonts w:cs="Times New Roman"/>
          <w:bCs/>
          <w:szCs w:val="24"/>
        </w:rPr>
        <w:t xml:space="preserve">. Uzskatāms izņēmums ir Ogres rajona prokuratūra, kuras prokurori lielāko daļu paātrinātā </w:t>
      </w:r>
      <w:r w:rsidR="00734522" w:rsidRPr="00577BF3">
        <w:rPr>
          <w:rFonts w:cs="Times New Roman"/>
          <w:bCs/>
          <w:szCs w:val="24"/>
        </w:rPr>
        <w:t xml:space="preserve">procesa </w:t>
      </w:r>
      <w:r w:rsidRPr="00577BF3">
        <w:rPr>
          <w:rFonts w:cs="Times New Roman"/>
          <w:bCs/>
          <w:szCs w:val="24"/>
        </w:rPr>
        <w:t xml:space="preserve">kārtībā saņemto kriminālprocesu konsekventi </w:t>
      </w:r>
      <w:r w:rsidR="0058631D" w:rsidRPr="00577BF3">
        <w:rPr>
          <w:rFonts w:cs="Times New Roman"/>
          <w:bCs/>
          <w:szCs w:val="24"/>
        </w:rPr>
        <w:t xml:space="preserve">šādā kārtībā </w:t>
      </w:r>
      <w:r w:rsidR="008E4310">
        <w:rPr>
          <w:rFonts w:cs="Times New Roman"/>
          <w:bCs/>
          <w:szCs w:val="24"/>
        </w:rPr>
        <w:t>pabeidz un</w:t>
      </w:r>
      <w:r w:rsidR="0058631D" w:rsidRPr="00577BF3">
        <w:rPr>
          <w:rFonts w:cs="Times New Roman"/>
          <w:bCs/>
          <w:szCs w:val="24"/>
        </w:rPr>
        <w:t xml:space="preserve"> </w:t>
      </w:r>
      <w:r w:rsidRPr="00577BF3">
        <w:rPr>
          <w:rFonts w:cs="Times New Roman"/>
          <w:bCs/>
          <w:szCs w:val="24"/>
        </w:rPr>
        <w:t xml:space="preserve">nodod </w:t>
      </w:r>
      <w:r w:rsidR="00420A9F">
        <w:rPr>
          <w:rFonts w:cs="Times New Roman"/>
          <w:bCs/>
          <w:szCs w:val="24"/>
        </w:rPr>
        <w:t xml:space="preserve">krimināllietu tiesai. </w:t>
      </w:r>
      <w:r w:rsidRPr="00577BF3">
        <w:rPr>
          <w:rFonts w:cs="Times New Roman"/>
          <w:bCs/>
          <w:szCs w:val="24"/>
        </w:rPr>
        <w:t xml:space="preserve">Rīgā izvietotajām </w:t>
      </w:r>
      <w:r w:rsidR="004054F8">
        <w:rPr>
          <w:rFonts w:cs="Times New Roman"/>
          <w:bCs/>
          <w:szCs w:val="24"/>
        </w:rPr>
        <w:t xml:space="preserve">rajona līmeņa </w:t>
      </w:r>
      <w:r w:rsidRPr="00577BF3">
        <w:rPr>
          <w:rFonts w:cs="Times New Roman"/>
          <w:bCs/>
          <w:szCs w:val="24"/>
        </w:rPr>
        <w:t xml:space="preserve">prokuratūras struktūrvienībām raksturīgi izvēlēties citus pirmstiesas procesa pabeigšanas veidus, kas nav nepareizi, it īpaši, ja kriminālprocess tiek pabeigts prokuratūrā. </w:t>
      </w:r>
    </w:p>
    <w:p w14:paraId="0570FA48" w14:textId="77777777" w:rsidR="008B617E" w:rsidRPr="00577BF3" w:rsidRDefault="008B617E" w:rsidP="00CF4214">
      <w:pPr>
        <w:spacing w:after="0" w:line="240" w:lineRule="auto"/>
        <w:jc w:val="both"/>
        <w:rPr>
          <w:rFonts w:cs="Times New Roman"/>
          <w:bCs/>
          <w:szCs w:val="24"/>
        </w:rPr>
      </w:pPr>
    </w:p>
    <w:p w14:paraId="737E4E6C" w14:textId="591B8444" w:rsidR="00C3290B" w:rsidRPr="004F0C86" w:rsidRDefault="00BD6F7B" w:rsidP="0006783B">
      <w:pPr>
        <w:pStyle w:val="ListParagraph"/>
        <w:numPr>
          <w:ilvl w:val="0"/>
          <w:numId w:val="6"/>
        </w:numPr>
        <w:spacing w:after="120" w:line="240" w:lineRule="auto"/>
        <w:ind w:left="714" w:hanging="357"/>
        <w:jc w:val="both"/>
        <w:rPr>
          <w:rFonts w:cs="Times New Roman"/>
          <w:b/>
          <w:szCs w:val="24"/>
        </w:rPr>
      </w:pPr>
      <w:r>
        <w:rPr>
          <w:noProof/>
        </w:rPr>
        <w:drawing>
          <wp:anchor distT="0" distB="0" distL="114300" distR="114300" simplePos="0" relativeHeight="251678208" behindDoc="0" locked="0" layoutInCell="1" allowOverlap="1" wp14:anchorId="3AF3613E" wp14:editId="6B96F20D">
            <wp:simplePos x="0" y="0"/>
            <wp:positionH relativeFrom="margin">
              <wp:posOffset>208280</wp:posOffset>
            </wp:positionH>
            <wp:positionV relativeFrom="paragraph">
              <wp:posOffset>276860</wp:posOffset>
            </wp:positionV>
            <wp:extent cx="5494020" cy="2482850"/>
            <wp:effectExtent l="0" t="0" r="11430" b="12700"/>
            <wp:wrapTopAndBottom/>
            <wp:docPr id="94" name="Chart 94">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E51A72" w:rsidRPr="00577BF3">
        <w:rPr>
          <w:rFonts w:cs="Times New Roman"/>
          <w:b/>
          <w:szCs w:val="24"/>
        </w:rPr>
        <w:t>Tiesai nodot</w:t>
      </w:r>
      <w:r w:rsidR="006E4231">
        <w:rPr>
          <w:rFonts w:cs="Times New Roman"/>
          <w:b/>
          <w:szCs w:val="24"/>
        </w:rPr>
        <w:t>a</w:t>
      </w:r>
      <w:r w:rsidR="00F2790E">
        <w:rPr>
          <w:rFonts w:cs="Times New Roman"/>
          <w:b/>
          <w:szCs w:val="24"/>
        </w:rPr>
        <w:t>s</w:t>
      </w:r>
      <w:r w:rsidR="002F77A2" w:rsidRPr="00577BF3">
        <w:rPr>
          <w:rFonts w:cs="Times New Roman"/>
          <w:b/>
          <w:szCs w:val="24"/>
        </w:rPr>
        <w:t xml:space="preserve"> </w:t>
      </w:r>
      <w:r w:rsidR="00E51A72" w:rsidRPr="00577BF3">
        <w:rPr>
          <w:rFonts w:cs="Times New Roman"/>
          <w:b/>
          <w:szCs w:val="24"/>
        </w:rPr>
        <w:t>krimināl</w:t>
      </w:r>
      <w:r w:rsidR="00F2790E">
        <w:rPr>
          <w:rFonts w:cs="Times New Roman"/>
          <w:b/>
          <w:szCs w:val="24"/>
        </w:rPr>
        <w:t>lietas</w:t>
      </w:r>
      <w:r w:rsidR="00E51A72" w:rsidRPr="00577BF3">
        <w:rPr>
          <w:rFonts w:cs="Times New Roman"/>
          <w:b/>
          <w:szCs w:val="24"/>
        </w:rPr>
        <w:t>, no t</w:t>
      </w:r>
      <w:r w:rsidR="0016717E">
        <w:rPr>
          <w:rFonts w:cs="Times New Roman"/>
          <w:b/>
          <w:szCs w:val="24"/>
        </w:rPr>
        <w:t>ām</w:t>
      </w:r>
      <w:r w:rsidR="00E51A72" w:rsidRPr="00577BF3">
        <w:rPr>
          <w:rFonts w:cs="Times New Roman"/>
          <w:b/>
          <w:szCs w:val="24"/>
        </w:rPr>
        <w:t xml:space="preserve"> vienošanās procesa kārtībā</w:t>
      </w:r>
    </w:p>
    <w:p w14:paraId="4AE0959F" w14:textId="77777777" w:rsidR="008B617E" w:rsidRPr="00577BF3" w:rsidRDefault="008B617E" w:rsidP="00CF4214">
      <w:pPr>
        <w:spacing w:after="0" w:line="240" w:lineRule="auto"/>
        <w:jc w:val="both"/>
        <w:rPr>
          <w:rFonts w:cs="Times New Roman"/>
          <w:bCs/>
          <w:szCs w:val="24"/>
        </w:rPr>
      </w:pPr>
    </w:p>
    <w:p w14:paraId="55997110" w14:textId="15FDC68D" w:rsidR="00E51A72" w:rsidRDefault="00E51A72" w:rsidP="00CF4214">
      <w:pPr>
        <w:spacing w:after="0" w:line="240" w:lineRule="auto"/>
        <w:jc w:val="both"/>
        <w:rPr>
          <w:rFonts w:cs="Times New Roman"/>
          <w:bCs/>
          <w:szCs w:val="24"/>
        </w:rPr>
      </w:pPr>
      <w:r w:rsidRPr="00577BF3">
        <w:rPr>
          <w:rFonts w:cs="Times New Roman"/>
          <w:bCs/>
          <w:szCs w:val="24"/>
        </w:rPr>
        <w:tab/>
        <w:t>Pamatā vērojams būtisks vai mazāk būtisks tiesai nodoto krimināl</w:t>
      </w:r>
      <w:r w:rsidR="0016717E">
        <w:rPr>
          <w:rFonts w:cs="Times New Roman"/>
          <w:bCs/>
          <w:szCs w:val="24"/>
        </w:rPr>
        <w:t>lietu</w:t>
      </w:r>
      <w:r w:rsidRPr="00577BF3">
        <w:rPr>
          <w:rFonts w:cs="Times New Roman"/>
          <w:bCs/>
          <w:szCs w:val="24"/>
        </w:rPr>
        <w:t xml:space="preserve"> skaita samazinājums. Akcentējams Rīgas </w:t>
      </w:r>
      <w:r w:rsidR="004A4CE9">
        <w:rPr>
          <w:rFonts w:cs="Times New Roman"/>
          <w:bCs/>
          <w:szCs w:val="24"/>
        </w:rPr>
        <w:t xml:space="preserve">pilsētas </w:t>
      </w:r>
      <w:r w:rsidRPr="00577BF3">
        <w:rPr>
          <w:rFonts w:cs="Times New Roman"/>
          <w:bCs/>
          <w:szCs w:val="24"/>
        </w:rPr>
        <w:t>Pārdaugavas prokuratūras progress krimināl</w:t>
      </w:r>
      <w:r w:rsidR="00A64591">
        <w:rPr>
          <w:rFonts w:cs="Times New Roman"/>
          <w:bCs/>
          <w:szCs w:val="24"/>
        </w:rPr>
        <w:t>lietu</w:t>
      </w:r>
      <w:r w:rsidRPr="00577BF3">
        <w:rPr>
          <w:rFonts w:cs="Times New Roman"/>
          <w:bCs/>
          <w:szCs w:val="24"/>
        </w:rPr>
        <w:t xml:space="preserve"> nodošanā tiesai, kas skaidrojams ar darba efektivitātes uzlabošanos šajā </w:t>
      </w:r>
      <w:r w:rsidR="005F4AD0">
        <w:rPr>
          <w:rFonts w:cs="Times New Roman"/>
          <w:bCs/>
          <w:szCs w:val="24"/>
        </w:rPr>
        <w:t xml:space="preserve">prokuratūras </w:t>
      </w:r>
      <w:r w:rsidRPr="00577BF3">
        <w:rPr>
          <w:rFonts w:cs="Times New Roman"/>
          <w:bCs/>
          <w:szCs w:val="24"/>
        </w:rPr>
        <w:t>struktūrvienībā. Visas</w:t>
      </w:r>
      <w:r w:rsidR="00E93A43">
        <w:rPr>
          <w:rFonts w:cs="Times New Roman"/>
          <w:bCs/>
          <w:szCs w:val="24"/>
        </w:rPr>
        <w:t xml:space="preserve"> </w:t>
      </w:r>
      <w:r w:rsidR="009B309F">
        <w:rPr>
          <w:rFonts w:cs="Times New Roman"/>
          <w:bCs/>
          <w:szCs w:val="24"/>
        </w:rPr>
        <w:t xml:space="preserve">rajona prokuratūras </w:t>
      </w:r>
      <w:r w:rsidRPr="00577BF3">
        <w:rPr>
          <w:rFonts w:cs="Times New Roman"/>
          <w:bCs/>
          <w:szCs w:val="24"/>
        </w:rPr>
        <w:t>konsekventi izmanto vienošanās procesa piemērošanas iespējas. Īpaši jāizceļ Rīgas pilsētas Latgales priekšpilsētas prokuratūra, kuras prokurori jau otro gadu ir izteiktās līderpozīcijās vienošanās procesa piemērošanā – 2020.</w:t>
      </w:r>
      <w:r w:rsidR="00ED2410" w:rsidRPr="00577BF3">
        <w:rPr>
          <w:rFonts w:cs="Times New Roman"/>
          <w:bCs/>
          <w:szCs w:val="24"/>
        </w:rPr>
        <w:t> </w:t>
      </w:r>
      <w:r w:rsidRPr="00577BF3">
        <w:rPr>
          <w:rFonts w:cs="Times New Roman"/>
          <w:bCs/>
          <w:szCs w:val="24"/>
        </w:rPr>
        <w:t xml:space="preserve">gadā </w:t>
      </w:r>
      <w:r w:rsidR="009C6FCD">
        <w:rPr>
          <w:rFonts w:cs="Times New Roman"/>
          <w:bCs/>
          <w:szCs w:val="24"/>
        </w:rPr>
        <w:t>40 </w:t>
      </w:r>
      <w:r w:rsidR="00AB0990">
        <w:rPr>
          <w:rFonts w:cs="Times New Roman"/>
          <w:bCs/>
          <w:szCs w:val="24"/>
        </w:rPr>
        <w:t>% krimināllietu nodevu</w:t>
      </w:r>
      <w:r w:rsidR="002E4637">
        <w:rPr>
          <w:rFonts w:cs="Times New Roman"/>
          <w:bCs/>
          <w:szCs w:val="24"/>
        </w:rPr>
        <w:t>š</w:t>
      </w:r>
      <w:r w:rsidR="00AB0990">
        <w:rPr>
          <w:rFonts w:cs="Times New Roman"/>
          <w:bCs/>
          <w:szCs w:val="24"/>
        </w:rPr>
        <w:t>i tiesai vienošanās procesa kārtībā</w:t>
      </w:r>
      <w:r w:rsidRPr="00577BF3">
        <w:rPr>
          <w:rFonts w:cs="Times New Roman"/>
          <w:bCs/>
          <w:szCs w:val="24"/>
        </w:rPr>
        <w:t>.</w:t>
      </w:r>
    </w:p>
    <w:p w14:paraId="7804EC3C" w14:textId="77777777" w:rsidR="008B617E" w:rsidRPr="00577BF3" w:rsidRDefault="008B617E" w:rsidP="00CF4214">
      <w:pPr>
        <w:spacing w:after="0" w:line="240" w:lineRule="auto"/>
        <w:jc w:val="both"/>
        <w:rPr>
          <w:rFonts w:cs="Times New Roman"/>
          <w:bCs/>
          <w:szCs w:val="24"/>
        </w:rPr>
      </w:pPr>
    </w:p>
    <w:p w14:paraId="002E3C5B" w14:textId="02B332FA" w:rsidR="008B617E" w:rsidRPr="00F22C1A" w:rsidRDefault="00E51A72" w:rsidP="0045454B">
      <w:pPr>
        <w:pStyle w:val="ListParagraph"/>
        <w:numPr>
          <w:ilvl w:val="0"/>
          <w:numId w:val="6"/>
        </w:numPr>
        <w:spacing w:after="120" w:line="240" w:lineRule="auto"/>
        <w:ind w:left="714" w:hanging="357"/>
        <w:jc w:val="both"/>
        <w:rPr>
          <w:rFonts w:cs="Times New Roman"/>
          <w:b/>
          <w:szCs w:val="24"/>
        </w:rPr>
      </w:pPr>
      <w:r w:rsidRPr="00577BF3">
        <w:rPr>
          <w:rFonts w:cs="Times New Roman"/>
          <w:b/>
          <w:szCs w:val="24"/>
        </w:rPr>
        <w:lastRenderedPageBreak/>
        <w:t>Prokuratūrā pabeigti kriminālprocesi ar prokurora priekšrakstu par sodu</w:t>
      </w:r>
    </w:p>
    <w:p w14:paraId="2BAD88CD" w14:textId="381BFE9A" w:rsidR="00E51A72" w:rsidRPr="00577BF3" w:rsidRDefault="00E51A72" w:rsidP="00B17CD5">
      <w:pPr>
        <w:spacing w:after="0" w:line="240" w:lineRule="auto"/>
        <w:jc w:val="center"/>
        <w:rPr>
          <w:rFonts w:cs="Times New Roman"/>
          <w:bCs/>
          <w:szCs w:val="24"/>
        </w:rPr>
      </w:pPr>
      <w:r w:rsidRPr="00577BF3">
        <w:rPr>
          <w:rFonts w:cs="Times New Roman"/>
          <w:noProof/>
        </w:rPr>
        <w:drawing>
          <wp:inline distT="0" distB="0" distL="0" distR="0" wp14:anchorId="742A2566" wp14:editId="18FF3E30">
            <wp:extent cx="5403850" cy="2565400"/>
            <wp:effectExtent l="0" t="0" r="6350" b="635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A7F387C" w14:textId="77777777" w:rsidR="00793F2E" w:rsidRPr="00577BF3" w:rsidRDefault="00793F2E" w:rsidP="00CF4214">
      <w:pPr>
        <w:spacing w:after="0" w:line="240" w:lineRule="auto"/>
        <w:jc w:val="both"/>
        <w:rPr>
          <w:rFonts w:cs="Times New Roman"/>
          <w:bCs/>
          <w:szCs w:val="24"/>
        </w:rPr>
      </w:pPr>
    </w:p>
    <w:p w14:paraId="4ED3E82E" w14:textId="0C744A78" w:rsidR="00E51A72" w:rsidRDefault="00E51A72" w:rsidP="00CF4214">
      <w:pPr>
        <w:spacing w:after="0" w:line="240" w:lineRule="auto"/>
        <w:jc w:val="both"/>
        <w:rPr>
          <w:rFonts w:cs="Times New Roman"/>
          <w:bCs/>
          <w:szCs w:val="24"/>
        </w:rPr>
      </w:pPr>
      <w:r w:rsidRPr="00577BF3">
        <w:rPr>
          <w:rFonts w:cs="Times New Roman"/>
          <w:bCs/>
          <w:szCs w:val="24"/>
        </w:rPr>
        <w:tab/>
        <w:t xml:space="preserve">Ar prokurora priekšrakstu par sodu pabeigto kriminālprocesu skaits </w:t>
      </w:r>
      <w:r w:rsidR="00B47CE7">
        <w:rPr>
          <w:rFonts w:cs="Times New Roman"/>
          <w:bCs/>
          <w:szCs w:val="24"/>
        </w:rPr>
        <w:t xml:space="preserve">2020. gadā </w:t>
      </w:r>
      <w:r w:rsidRPr="00577BF3">
        <w:rPr>
          <w:rFonts w:cs="Times New Roman"/>
          <w:bCs/>
          <w:szCs w:val="24"/>
        </w:rPr>
        <w:t>būtiski pieaudzis tr</w:t>
      </w:r>
      <w:r w:rsidR="00ED2410" w:rsidRPr="00577BF3">
        <w:rPr>
          <w:rFonts w:cs="Times New Roman"/>
          <w:bCs/>
          <w:szCs w:val="24"/>
        </w:rPr>
        <w:t>ijās</w:t>
      </w:r>
      <w:r w:rsidRPr="00577BF3">
        <w:rPr>
          <w:rFonts w:cs="Times New Roman"/>
          <w:bCs/>
          <w:szCs w:val="24"/>
        </w:rPr>
        <w:t xml:space="preserve"> no astoņām </w:t>
      </w:r>
      <w:r w:rsidR="00551F60">
        <w:rPr>
          <w:rFonts w:cs="Times New Roman"/>
          <w:bCs/>
          <w:szCs w:val="24"/>
        </w:rPr>
        <w:t>Rīgas tiesas apgabala prokuratūras</w:t>
      </w:r>
      <w:r w:rsidR="00B47CE7">
        <w:rPr>
          <w:rFonts w:cs="Times New Roman"/>
          <w:bCs/>
          <w:szCs w:val="24"/>
        </w:rPr>
        <w:t xml:space="preserve"> darbības teritorijā </w:t>
      </w:r>
      <w:r w:rsidR="00034C36">
        <w:rPr>
          <w:rFonts w:cs="Times New Roman"/>
          <w:bCs/>
          <w:szCs w:val="24"/>
        </w:rPr>
        <w:t>ietilpstošajās</w:t>
      </w:r>
      <w:r w:rsidR="00B47CE7">
        <w:rPr>
          <w:rFonts w:cs="Times New Roman"/>
          <w:bCs/>
          <w:szCs w:val="24"/>
        </w:rPr>
        <w:t xml:space="preserve"> rajona līmeņa </w:t>
      </w:r>
      <w:r w:rsidR="002B676D" w:rsidRPr="00577BF3">
        <w:rPr>
          <w:rFonts w:cs="Times New Roman"/>
          <w:bCs/>
          <w:szCs w:val="24"/>
        </w:rPr>
        <w:t xml:space="preserve">prokuratūras </w:t>
      </w:r>
      <w:r w:rsidRPr="00577BF3">
        <w:rPr>
          <w:rFonts w:cs="Times New Roman"/>
          <w:bCs/>
          <w:szCs w:val="24"/>
        </w:rPr>
        <w:t>struktūrvienībā</w:t>
      </w:r>
      <w:r w:rsidR="00FA58B1">
        <w:rPr>
          <w:rFonts w:cs="Times New Roman"/>
          <w:bCs/>
          <w:szCs w:val="24"/>
        </w:rPr>
        <w:t>s</w:t>
      </w:r>
      <w:r w:rsidRPr="00577BF3">
        <w:rPr>
          <w:rFonts w:cs="Times New Roman"/>
          <w:bCs/>
          <w:szCs w:val="24"/>
        </w:rPr>
        <w:t xml:space="preserve"> (Rīgas pilsētas Latgales priekšpilsētas</w:t>
      </w:r>
      <w:r w:rsidR="00A94793">
        <w:rPr>
          <w:rFonts w:cs="Times New Roman"/>
          <w:bCs/>
          <w:szCs w:val="24"/>
        </w:rPr>
        <w:t xml:space="preserve"> prokuratūrā</w:t>
      </w:r>
      <w:r w:rsidRPr="00577BF3">
        <w:rPr>
          <w:rFonts w:cs="Times New Roman"/>
          <w:bCs/>
          <w:szCs w:val="24"/>
        </w:rPr>
        <w:t xml:space="preserve">, Rīgas </w:t>
      </w:r>
      <w:r w:rsidR="005E202C">
        <w:rPr>
          <w:rFonts w:cs="Times New Roman"/>
          <w:bCs/>
          <w:szCs w:val="24"/>
        </w:rPr>
        <w:t xml:space="preserve">pilsētas </w:t>
      </w:r>
      <w:r w:rsidRPr="00577BF3">
        <w:rPr>
          <w:rFonts w:cs="Times New Roman"/>
          <w:bCs/>
          <w:szCs w:val="24"/>
        </w:rPr>
        <w:t>Pārdaugavas</w:t>
      </w:r>
      <w:r w:rsidR="00E92F69">
        <w:rPr>
          <w:rFonts w:cs="Times New Roman"/>
          <w:bCs/>
          <w:szCs w:val="24"/>
        </w:rPr>
        <w:t xml:space="preserve"> prokuratūrā</w:t>
      </w:r>
      <w:r w:rsidRPr="00577BF3">
        <w:rPr>
          <w:rFonts w:cs="Times New Roman"/>
          <w:bCs/>
          <w:szCs w:val="24"/>
        </w:rPr>
        <w:t xml:space="preserve">, Ogres rajona prokuratūrā). Pārējās rajona prokuratūrās samazinājums noticis proporcionāli kriminālvajāšanai saņemto kriminālprocesu skaita kritumam. </w:t>
      </w:r>
    </w:p>
    <w:p w14:paraId="46ECDD32" w14:textId="77777777" w:rsidR="002D5F82" w:rsidRPr="00577BF3" w:rsidRDefault="002D5F82" w:rsidP="00CF4214">
      <w:pPr>
        <w:spacing w:after="0" w:line="240" w:lineRule="auto"/>
        <w:jc w:val="both"/>
        <w:rPr>
          <w:rFonts w:cs="Times New Roman"/>
          <w:bCs/>
          <w:szCs w:val="24"/>
        </w:rPr>
      </w:pPr>
    </w:p>
    <w:p w14:paraId="4FDAB965" w14:textId="52E3792F" w:rsidR="00793F2E" w:rsidRPr="00F22C1A" w:rsidRDefault="00E51A72" w:rsidP="0045454B">
      <w:pPr>
        <w:pStyle w:val="ListParagraph"/>
        <w:numPr>
          <w:ilvl w:val="0"/>
          <w:numId w:val="6"/>
        </w:numPr>
        <w:spacing w:after="120" w:line="240" w:lineRule="auto"/>
        <w:ind w:left="714" w:hanging="357"/>
        <w:jc w:val="both"/>
        <w:rPr>
          <w:rFonts w:cs="Times New Roman"/>
          <w:b/>
          <w:szCs w:val="24"/>
        </w:rPr>
      </w:pPr>
      <w:r w:rsidRPr="00577BF3">
        <w:rPr>
          <w:rFonts w:cs="Times New Roman"/>
          <w:b/>
          <w:szCs w:val="24"/>
        </w:rPr>
        <w:t>Pēc K</w:t>
      </w:r>
      <w:r w:rsidR="009A4006" w:rsidRPr="00577BF3">
        <w:rPr>
          <w:rFonts w:cs="Times New Roman"/>
          <w:b/>
          <w:szCs w:val="24"/>
        </w:rPr>
        <w:t>rimināllikuma</w:t>
      </w:r>
      <w:r w:rsidRPr="00577BF3">
        <w:rPr>
          <w:rFonts w:cs="Times New Roman"/>
          <w:b/>
          <w:szCs w:val="24"/>
        </w:rPr>
        <w:t xml:space="preserve"> 180.</w:t>
      </w:r>
      <w:r w:rsidR="00ED2410" w:rsidRPr="00577BF3">
        <w:rPr>
          <w:rFonts w:cs="Times New Roman"/>
          <w:b/>
          <w:szCs w:val="24"/>
        </w:rPr>
        <w:t> </w:t>
      </w:r>
      <w:r w:rsidRPr="00577BF3">
        <w:rPr>
          <w:rFonts w:cs="Times New Roman"/>
          <w:b/>
          <w:szCs w:val="24"/>
        </w:rPr>
        <w:t xml:space="preserve">panta pabeigto </w:t>
      </w:r>
      <w:r w:rsidR="00B97E15">
        <w:rPr>
          <w:rFonts w:cs="Times New Roman"/>
          <w:b/>
          <w:szCs w:val="24"/>
        </w:rPr>
        <w:t>kriminālprocesu</w:t>
      </w:r>
      <w:r w:rsidRPr="00577BF3">
        <w:rPr>
          <w:rFonts w:cs="Times New Roman"/>
          <w:b/>
          <w:szCs w:val="24"/>
        </w:rPr>
        <w:t xml:space="preserve"> procentuālā attiecība pret kopā pabeigto kriminālprocesu skaitu</w:t>
      </w:r>
    </w:p>
    <w:p w14:paraId="6F21BA9A" w14:textId="7C99FDA5" w:rsidR="00E51A72" w:rsidRPr="00577BF3" w:rsidRDefault="00E51A72" w:rsidP="00B17CD5">
      <w:pPr>
        <w:spacing w:after="0" w:line="240" w:lineRule="auto"/>
        <w:jc w:val="center"/>
        <w:rPr>
          <w:rFonts w:cs="Times New Roman"/>
          <w:b/>
          <w:szCs w:val="24"/>
        </w:rPr>
      </w:pPr>
      <w:r w:rsidRPr="00577BF3">
        <w:rPr>
          <w:rFonts w:cs="Times New Roman"/>
          <w:noProof/>
        </w:rPr>
        <w:drawing>
          <wp:inline distT="0" distB="0" distL="0" distR="0" wp14:anchorId="15CBFA05" wp14:editId="4F88A97E">
            <wp:extent cx="5422900" cy="2552700"/>
            <wp:effectExtent l="0" t="0" r="635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8393732" w14:textId="77777777" w:rsidR="00793F2E" w:rsidRPr="00577BF3" w:rsidRDefault="00793F2E" w:rsidP="00CF4214">
      <w:pPr>
        <w:spacing w:after="0" w:line="240" w:lineRule="auto"/>
        <w:jc w:val="both"/>
        <w:rPr>
          <w:rFonts w:cs="Times New Roman"/>
          <w:b/>
          <w:szCs w:val="24"/>
        </w:rPr>
      </w:pPr>
    </w:p>
    <w:p w14:paraId="7A380C23" w14:textId="60D17FA5" w:rsidR="004F0C86" w:rsidRDefault="00E51A72" w:rsidP="00CF4214">
      <w:pPr>
        <w:spacing w:after="0" w:line="240" w:lineRule="auto"/>
        <w:jc w:val="both"/>
        <w:rPr>
          <w:rFonts w:cs="Times New Roman"/>
          <w:bCs/>
          <w:szCs w:val="24"/>
        </w:rPr>
      </w:pPr>
      <w:r w:rsidRPr="00577BF3">
        <w:rPr>
          <w:rFonts w:cs="Times New Roman"/>
          <w:b/>
          <w:szCs w:val="24"/>
        </w:rPr>
        <w:tab/>
      </w:r>
      <w:r w:rsidRPr="00577BF3">
        <w:rPr>
          <w:rFonts w:cs="Times New Roman"/>
          <w:bCs/>
          <w:szCs w:val="24"/>
        </w:rPr>
        <w:t>Pēc Krimināllikuma 180.</w:t>
      </w:r>
      <w:r w:rsidR="00ED2410" w:rsidRPr="00577BF3">
        <w:rPr>
          <w:rFonts w:cs="Times New Roman"/>
          <w:bCs/>
          <w:szCs w:val="24"/>
        </w:rPr>
        <w:t> </w:t>
      </w:r>
      <w:r w:rsidRPr="00577BF3">
        <w:rPr>
          <w:rFonts w:cs="Times New Roman"/>
          <w:bCs/>
          <w:szCs w:val="24"/>
        </w:rPr>
        <w:t xml:space="preserve">panta pabeigto kriminālprocesu īpatsvars </w:t>
      </w:r>
      <w:r w:rsidR="00103102">
        <w:rPr>
          <w:rFonts w:cs="Times New Roman"/>
          <w:bCs/>
          <w:szCs w:val="24"/>
        </w:rPr>
        <w:t xml:space="preserve">2020. gadā </w:t>
      </w:r>
      <w:r w:rsidR="00993558">
        <w:rPr>
          <w:rFonts w:cs="Times New Roman"/>
          <w:bCs/>
          <w:szCs w:val="24"/>
        </w:rPr>
        <w:t>Rīg</w:t>
      </w:r>
      <w:r w:rsidR="00794E9D">
        <w:rPr>
          <w:rFonts w:cs="Times New Roman"/>
          <w:bCs/>
          <w:szCs w:val="24"/>
        </w:rPr>
        <w:t xml:space="preserve">as tiesas apgabala prokuratūras darbības teritorijā </w:t>
      </w:r>
      <w:r w:rsidR="00034C36">
        <w:rPr>
          <w:rFonts w:cs="Times New Roman"/>
          <w:bCs/>
          <w:szCs w:val="24"/>
        </w:rPr>
        <w:t>ietilpstošajās</w:t>
      </w:r>
      <w:r w:rsidR="00794E9D">
        <w:rPr>
          <w:rFonts w:cs="Times New Roman"/>
          <w:bCs/>
          <w:szCs w:val="24"/>
        </w:rPr>
        <w:t xml:space="preserve"> rajona </w:t>
      </w:r>
      <w:r w:rsidR="00034C36">
        <w:rPr>
          <w:rFonts w:cs="Times New Roman"/>
          <w:bCs/>
          <w:szCs w:val="24"/>
        </w:rPr>
        <w:t xml:space="preserve">līmeņa </w:t>
      </w:r>
      <w:r w:rsidR="00794E9D">
        <w:rPr>
          <w:rFonts w:cs="Times New Roman"/>
          <w:bCs/>
          <w:szCs w:val="24"/>
        </w:rPr>
        <w:t>proku</w:t>
      </w:r>
      <w:r w:rsidR="000B687B">
        <w:rPr>
          <w:rFonts w:cs="Times New Roman"/>
          <w:bCs/>
          <w:szCs w:val="24"/>
        </w:rPr>
        <w:t xml:space="preserve">ratūrās </w:t>
      </w:r>
      <w:r w:rsidRPr="00577BF3">
        <w:rPr>
          <w:rFonts w:cs="Times New Roman"/>
          <w:bCs/>
          <w:szCs w:val="24"/>
        </w:rPr>
        <w:t>faktiski palicis nemainīgs salīdzinājumā ar 2019.</w:t>
      </w:r>
      <w:r w:rsidR="00ED2410" w:rsidRPr="00577BF3">
        <w:rPr>
          <w:rFonts w:cs="Times New Roman"/>
          <w:bCs/>
          <w:szCs w:val="24"/>
        </w:rPr>
        <w:t> </w:t>
      </w:r>
      <w:r w:rsidRPr="00577BF3">
        <w:rPr>
          <w:rFonts w:cs="Times New Roman"/>
          <w:bCs/>
          <w:szCs w:val="24"/>
        </w:rPr>
        <w:t>gadu. Jāatzīmē, ka tas joprojām saglabājas nemainīgi augsts un Rīgas pilsētas teritorijā pārsniedz 50</w:t>
      </w:r>
      <w:r w:rsidR="00500255" w:rsidRPr="00577BF3">
        <w:rPr>
          <w:rFonts w:cs="Times New Roman"/>
          <w:bCs/>
          <w:szCs w:val="24"/>
        </w:rPr>
        <w:t> </w:t>
      </w:r>
      <w:r w:rsidRPr="00577BF3">
        <w:rPr>
          <w:rFonts w:cs="Times New Roman"/>
          <w:bCs/>
          <w:szCs w:val="24"/>
        </w:rPr>
        <w:t xml:space="preserve">% no visiem kriminālprocesiem. Šāda noturīga tendence norāda, ka izmeklēšanas iestāžu un līdz ar to arī prokuratūras resurss pamatā tiek </w:t>
      </w:r>
      <w:r w:rsidR="00E64A1F">
        <w:rPr>
          <w:rFonts w:cs="Times New Roman"/>
          <w:bCs/>
          <w:szCs w:val="24"/>
        </w:rPr>
        <w:t>izmantots</w:t>
      </w:r>
      <w:r w:rsidRPr="00577BF3">
        <w:rPr>
          <w:rFonts w:cs="Times New Roman"/>
          <w:bCs/>
          <w:szCs w:val="24"/>
        </w:rPr>
        <w:t xml:space="preserve"> “sīko zādzību” apkarošanai, kas</w:t>
      </w:r>
      <w:r w:rsidR="00500255" w:rsidRPr="00577BF3">
        <w:rPr>
          <w:rFonts w:cs="Times New Roman"/>
          <w:bCs/>
          <w:szCs w:val="24"/>
        </w:rPr>
        <w:t>,</w:t>
      </w:r>
      <w:r w:rsidRPr="00577BF3">
        <w:rPr>
          <w:rFonts w:cs="Times New Roman"/>
          <w:bCs/>
          <w:szCs w:val="24"/>
        </w:rPr>
        <w:t xml:space="preserve"> no sabiedrības drošības viedokļa raugoties</w:t>
      </w:r>
      <w:r w:rsidR="00500255" w:rsidRPr="00577BF3">
        <w:rPr>
          <w:rFonts w:cs="Times New Roman"/>
          <w:bCs/>
          <w:szCs w:val="24"/>
        </w:rPr>
        <w:t>,</w:t>
      </w:r>
      <w:r w:rsidRPr="00577BF3">
        <w:rPr>
          <w:rFonts w:cs="Times New Roman"/>
          <w:bCs/>
          <w:szCs w:val="24"/>
        </w:rPr>
        <w:t xml:space="preserve"> nevar tikt atzīts par valstiski svarīgu interešu aizsardzību. Apkopotie rādītāji rosina meklēt jaunas pieejas</w:t>
      </w:r>
      <w:r w:rsidR="00500255" w:rsidRPr="00577BF3">
        <w:rPr>
          <w:rFonts w:cs="Times New Roman"/>
          <w:bCs/>
          <w:szCs w:val="24"/>
        </w:rPr>
        <w:t>,</w:t>
      </w:r>
      <w:r w:rsidRPr="00577BF3">
        <w:rPr>
          <w:rFonts w:cs="Times New Roman"/>
          <w:bCs/>
          <w:szCs w:val="24"/>
        </w:rPr>
        <w:t xml:space="preserve"> kā ātri un ekonomiski panākt krimināltiesisko attiecību taisnīgu noregulējumu kriminālprocesos par zādzībām no tirdzniecības objektiem.</w:t>
      </w:r>
    </w:p>
    <w:p w14:paraId="5927287D" w14:textId="42E038E2" w:rsidR="009111D8" w:rsidRDefault="009111D8" w:rsidP="00CF4214">
      <w:pPr>
        <w:spacing w:after="0" w:line="240" w:lineRule="auto"/>
        <w:jc w:val="both"/>
        <w:rPr>
          <w:rFonts w:cs="Times New Roman"/>
          <w:bCs/>
          <w:szCs w:val="24"/>
        </w:rPr>
      </w:pPr>
    </w:p>
    <w:p w14:paraId="2494B490" w14:textId="12740213" w:rsidR="00793F2E" w:rsidRPr="00CF1524" w:rsidRDefault="00431D88" w:rsidP="0045454B">
      <w:pPr>
        <w:pStyle w:val="ListParagraph"/>
        <w:numPr>
          <w:ilvl w:val="0"/>
          <w:numId w:val="6"/>
        </w:numPr>
        <w:spacing w:after="120" w:line="240" w:lineRule="auto"/>
        <w:ind w:left="714" w:hanging="357"/>
        <w:jc w:val="both"/>
        <w:rPr>
          <w:rFonts w:cs="Times New Roman"/>
          <w:b/>
          <w:szCs w:val="24"/>
        </w:rPr>
      </w:pPr>
      <w:r>
        <w:rPr>
          <w:rFonts w:cs="Times New Roman"/>
          <w:b/>
          <w:szCs w:val="24"/>
        </w:rPr>
        <w:lastRenderedPageBreak/>
        <w:t>Prokuroru u</w:t>
      </w:r>
      <w:r w:rsidR="00E51A72" w:rsidRPr="00577BF3">
        <w:rPr>
          <w:rFonts w:cs="Times New Roman"/>
          <w:b/>
          <w:szCs w:val="24"/>
        </w:rPr>
        <w:t>zraudzībā pieņemti kriminālprocesi</w:t>
      </w:r>
    </w:p>
    <w:p w14:paraId="12191F5A" w14:textId="5B699B6E" w:rsidR="00E51A72" w:rsidRPr="00577BF3" w:rsidRDefault="00E51A72" w:rsidP="00B17CD5">
      <w:pPr>
        <w:spacing w:after="0" w:line="240" w:lineRule="auto"/>
        <w:jc w:val="center"/>
        <w:rPr>
          <w:rFonts w:cs="Times New Roman"/>
          <w:bCs/>
          <w:szCs w:val="24"/>
        </w:rPr>
      </w:pPr>
      <w:r w:rsidRPr="00577BF3">
        <w:rPr>
          <w:rFonts w:cs="Times New Roman"/>
          <w:noProof/>
        </w:rPr>
        <w:drawing>
          <wp:inline distT="0" distB="0" distL="0" distR="0" wp14:anchorId="27870E46" wp14:editId="46EDA14F">
            <wp:extent cx="5425440" cy="1854200"/>
            <wp:effectExtent l="0" t="0" r="3810" b="1270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60E02AB" w14:textId="77777777" w:rsidR="00793F2E" w:rsidRPr="00577BF3" w:rsidRDefault="00793F2E" w:rsidP="00CF4214">
      <w:pPr>
        <w:spacing w:after="0" w:line="240" w:lineRule="auto"/>
        <w:jc w:val="both"/>
        <w:rPr>
          <w:rFonts w:cs="Times New Roman"/>
          <w:bCs/>
          <w:szCs w:val="24"/>
        </w:rPr>
      </w:pPr>
    </w:p>
    <w:p w14:paraId="3B6F9858" w14:textId="433690AC" w:rsidR="00E51A72" w:rsidRPr="00577BF3" w:rsidRDefault="00E51A72" w:rsidP="00CF4214">
      <w:pPr>
        <w:spacing w:after="0" w:line="240" w:lineRule="auto"/>
        <w:jc w:val="both"/>
        <w:rPr>
          <w:rFonts w:cs="Times New Roman"/>
          <w:bCs/>
          <w:szCs w:val="24"/>
        </w:rPr>
      </w:pPr>
      <w:r w:rsidRPr="00577BF3">
        <w:rPr>
          <w:rFonts w:cs="Times New Roman"/>
          <w:bCs/>
          <w:szCs w:val="24"/>
        </w:rPr>
        <w:tab/>
        <w:t>Kopējais</w:t>
      </w:r>
      <w:r w:rsidR="00CB39B8">
        <w:rPr>
          <w:rFonts w:cs="Times New Roman"/>
          <w:bCs/>
          <w:szCs w:val="24"/>
        </w:rPr>
        <w:t xml:space="preserve"> </w:t>
      </w:r>
      <w:r w:rsidR="006A5C2B">
        <w:rPr>
          <w:rFonts w:cs="Times New Roman"/>
          <w:bCs/>
          <w:szCs w:val="24"/>
        </w:rPr>
        <w:t xml:space="preserve">Rīgas tiesas apgabala prokuratūras darbības teritorijā ietilpstošo rajona līmeņa prokuratūru </w:t>
      </w:r>
      <w:r w:rsidR="003630CA">
        <w:rPr>
          <w:rFonts w:cs="Times New Roman"/>
          <w:bCs/>
          <w:szCs w:val="24"/>
        </w:rPr>
        <w:t xml:space="preserve">prokuroru </w:t>
      </w:r>
      <w:r w:rsidRPr="00577BF3">
        <w:rPr>
          <w:rFonts w:cs="Times New Roman"/>
          <w:bCs/>
          <w:szCs w:val="24"/>
        </w:rPr>
        <w:t>uzraudzībā pieņemto kriminālprocesu skaits</w:t>
      </w:r>
      <w:r w:rsidR="00CB39B8">
        <w:rPr>
          <w:rFonts w:cs="Times New Roman"/>
          <w:bCs/>
          <w:szCs w:val="24"/>
        </w:rPr>
        <w:t xml:space="preserve"> </w:t>
      </w:r>
      <w:r w:rsidR="00466192">
        <w:rPr>
          <w:rFonts w:cs="Times New Roman"/>
          <w:bCs/>
          <w:szCs w:val="24"/>
        </w:rPr>
        <w:t>2020. gadā salīdzinājumā ar 2019. gadu</w:t>
      </w:r>
      <w:r w:rsidR="00E97DB4">
        <w:rPr>
          <w:rFonts w:cs="Times New Roman"/>
          <w:bCs/>
          <w:szCs w:val="24"/>
        </w:rPr>
        <w:t xml:space="preserve"> </w:t>
      </w:r>
      <w:r w:rsidRPr="00577BF3">
        <w:rPr>
          <w:rFonts w:cs="Times New Roman"/>
          <w:bCs/>
          <w:szCs w:val="24"/>
        </w:rPr>
        <w:t>palicis bez būtiskām izmaiņām (samazinājums par 218</w:t>
      </w:r>
      <w:r w:rsidR="00500255" w:rsidRPr="00577BF3">
        <w:rPr>
          <w:rFonts w:cs="Times New Roman"/>
          <w:bCs/>
          <w:szCs w:val="24"/>
        </w:rPr>
        <w:t> kriminālprocesiem</w:t>
      </w:r>
      <w:r w:rsidRPr="00577BF3">
        <w:rPr>
          <w:rFonts w:cs="Times New Roman"/>
          <w:bCs/>
          <w:szCs w:val="24"/>
        </w:rPr>
        <w:t>). Vidēji katrs rajona</w:t>
      </w:r>
      <w:r w:rsidR="001718B6">
        <w:rPr>
          <w:rFonts w:cs="Times New Roman"/>
          <w:bCs/>
          <w:szCs w:val="24"/>
        </w:rPr>
        <w:t xml:space="preserve"> </w:t>
      </w:r>
      <w:r w:rsidR="006A5C2B">
        <w:rPr>
          <w:rFonts w:cs="Times New Roman"/>
          <w:bCs/>
          <w:szCs w:val="24"/>
        </w:rPr>
        <w:t xml:space="preserve">līmeņa </w:t>
      </w:r>
      <w:r w:rsidR="001718B6">
        <w:rPr>
          <w:rFonts w:cs="Times New Roman"/>
          <w:bCs/>
          <w:szCs w:val="24"/>
        </w:rPr>
        <w:t xml:space="preserve">prokuratūras </w:t>
      </w:r>
      <w:r w:rsidRPr="00577BF3">
        <w:rPr>
          <w:rFonts w:cs="Times New Roman"/>
          <w:bCs/>
          <w:szCs w:val="24"/>
        </w:rPr>
        <w:t>prokurors 2020.</w:t>
      </w:r>
      <w:r w:rsidR="00500255" w:rsidRPr="00577BF3">
        <w:rPr>
          <w:rFonts w:cs="Times New Roman"/>
          <w:bCs/>
          <w:szCs w:val="24"/>
        </w:rPr>
        <w:t> </w:t>
      </w:r>
      <w:r w:rsidRPr="00577BF3">
        <w:rPr>
          <w:rFonts w:cs="Times New Roman"/>
          <w:bCs/>
          <w:szCs w:val="24"/>
        </w:rPr>
        <w:t>gadā uzraudzībā pieņēmis 232</w:t>
      </w:r>
      <w:r w:rsidR="00500255" w:rsidRPr="00577BF3">
        <w:rPr>
          <w:rFonts w:cs="Times New Roman"/>
          <w:bCs/>
          <w:szCs w:val="24"/>
        </w:rPr>
        <w:t> </w:t>
      </w:r>
      <w:r w:rsidRPr="00577BF3">
        <w:rPr>
          <w:rFonts w:cs="Times New Roman"/>
          <w:bCs/>
          <w:szCs w:val="24"/>
        </w:rPr>
        <w:t>kriminālprocesus. Šāds kriminālprocesu apjoms dod pamatu apšaubīt prokurora spēju veltīt pienācīgu uzmanību katra kriminālprocesa uzraudzībai. Tas savukārt liek skaidri noteikt tās kriminālproces</w:t>
      </w:r>
      <w:r w:rsidR="006A5C2B">
        <w:rPr>
          <w:rFonts w:cs="Times New Roman"/>
          <w:bCs/>
          <w:szCs w:val="24"/>
        </w:rPr>
        <w:t>u</w:t>
      </w:r>
      <w:r w:rsidRPr="00577BF3">
        <w:rPr>
          <w:rFonts w:cs="Times New Roman"/>
          <w:bCs/>
          <w:szCs w:val="24"/>
        </w:rPr>
        <w:t xml:space="preserve"> kategorijas, kuru izmeklēšanā prokuroram jāvelta uzraudzības resurss, bet kuros kriminālprocesos prokurors var iesaistīties tikai pēc izmeklētāja iniciatīvas.</w:t>
      </w:r>
    </w:p>
    <w:p w14:paraId="5B035DD7" w14:textId="77777777" w:rsidR="00267266" w:rsidRPr="00577BF3" w:rsidRDefault="00267266" w:rsidP="00CF4214">
      <w:pPr>
        <w:spacing w:after="0" w:line="240" w:lineRule="auto"/>
        <w:jc w:val="both"/>
        <w:rPr>
          <w:rFonts w:cs="Times New Roman"/>
          <w:bCs/>
          <w:szCs w:val="24"/>
        </w:rPr>
      </w:pPr>
    </w:p>
    <w:p w14:paraId="6193AFB3" w14:textId="0EF46BDE" w:rsidR="00793F2E" w:rsidRPr="009327CA" w:rsidRDefault="00E51A72" w:rsidP="0045454B">
      <w:pPr>
        <w:pStyle w:val="ListParagraph"/>
        <w:numPr>
          <w:ilvl w:val="0"/>
          <w:numId w:val="6"/>
        </w:numPr>
        <w:spacing w:after="120" w:line="240" w:lineRule="auto"/>
        <w:ind w:left="714" w:hanging="357"/>
        <w:jc w:val="both"/>
        <w:rPr>
          <w:rFonts w:cs="Times New Roman"/>
          <w:b/>
          <w:szCs w:val="24"/>
        </w:rPr>
      </w:pPr>
      <w:bookmarkStart w:id="21" w:name="_Hlk32829814"/>
      <w:r w:rsidRPr="00577BF3">
        <w:rPr>
          <w:rFonts w:cs="Times New Roman"/>
          <w:b/>
          <w:szCs w:val="24"/>
        </w:rPr>
        <w:t>Ar prokurora piekrišanu atteikts uzsākt kriminālprocesu par maznozīmīgu noziedzīgu nodarījumu</w:t>
      </w:r>
    </w:p>
    <w:p w14:paraId="0DA00727" w14:textId="08B03383" w:rsidR="00E51A72" w:rsidRPr="00577BF3" w:rsidRDefault="00E51A72" w:rsidP="00AD3102">
      <w:pPr>
        <w:spacing w:after="0" w:line="240" w:lineRule="auto"/>
        <w:jc w:val="center"/>
        <w:rPr>
          <w:rFonts w:cs="Times New Roman"/>
          <w:bCs/>
          <w:szCs w:val="24"/>
        </w:rPr>
      </w:pPr>
      <w:r w:rsidRPr="00577BF3">
        <w:rPr>
          <w:rFonts w:cs="Times New Roman"/>
          <w:noProof/>
        </w:rPr>
        <w:drawing>
          <wp:inline distT="0" distB="0" distL="0" distR="0" wp14:anchorId="195A6790" wp14:editId="0AF1811F">
            <wp:extent cx="5416550" cy="1842135"/>
            <wp:effectExtent l="0" t="0" r="12700" b="571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3F3BF70" w14:textId="77777777" w:rsidR="00793F2E" w:rsidRPr="00577BF3" w:rsidRDefault="00793F2E" w:rsidP="00CF4214">
      <w:pPr>
        <w:spacing w:after="0" w:line="240" w:lineRule="auto"/>
        <w:jc w:val="both"/>
        <w:rPr>
          <w:rFonts w:cs="Times New Roman"/>
          <w:bCs/>
          <w:szCs w:val="24"/>
        </w:rPr>
      </w:pPr>
    </w:p>
    <w:p w14:paraId="0792B522" w14:textId="27F0E61B" w:rsidR="009327CA" w:rsidRDefault="00E51A72" w:rsidP="00CF4214">
      <w:pPr>
        <w:spacing w:after="0" w:line="240" w:lineRule="auto"/>
        <w:jc w:val="both"/>
        <w:rPr>
          <w:rFonts w:cs="Times New Roman"/>
          <w:bCs/>
          <w:szCs w:val="24"/>
        </w:rPr>
      </w:pPr>
      <w:r w:rsidRPr="00577BF3">
        <w:rPr>
          <w:rFonts w:cs="Times New Roman"/>
          <w:bCs/>
          <w:szCs w:val="24"/>
        </w:rPr>
        <w:tab/>
        <w:t>Kopumā vērojama arvien aktīvāka šī procesuālās ekonomijas instrumenta izmantošana situācijās, kad ar noziedzīgu nodarījumu radītais mantiskais zaudējums ir maznozīmīgs. Īpaši jāizceļ Rīgas pilsētas Latgales priekšpilsētas prokuratūras izteiktais pārākums šajā rādītājā, kas liecina par labu izmeklētāju un prokuroru sadarbību, vienotu izpratni un noturīgu praksi.</w:t>
      </w:r>
    </w:p>
    <w:p w14:paraId="3870373E" w14:textId="77777777" w:rsidR="009327CA" w:rsidRPr="00577BF3" w:rsidRDefault="009327CA" w:rsidP="00CF4214">
      <w:pPr>
        <w:spacing w:after="0" w:line="240" w:lineRule="auto"/>
        <w:jc w:val="both"/>
        <w:rPr>
          <w:rFonts w:cs="Times New Roman"/>
          <w:bCs/>
          <w:szCs w:val="24"/>
        </w:rPr>
      </w:pPr>
    </w:p>
    <w:bookmarkEnd w:id="21"/>
    <w:p w14:paraId="215EDC78" w14:textId="2F7DCF52" w:rsidR="0037065A" w:rsidRPr="009327CA" w:rsidRDefault="00E51A72" w:rsidP="007B7174">
      <w:pPr>
        <w:pStyle w:val="ListParagraph"/>
        <w:numPr>
          <w:ilvl w:val="0"/>
          <w:numId w:val="6"/>
        </w:numPr>
        <w:spacing w:after="120" w:line="240" w:lineRule="auto"/>
        <w:ind w:left="714" w:hanging="357"/>
        <w:jc w:val="both"/>
        <w:rPr>
          <w:rFonts w:cs="Times New Roman"/>
          <w:b/>
          <w:szCs w:val="24"/>
        </w:rPr>
      </w:pPr>
      <w:r w:rsidRPr="00577BF3">
        <w:rPr>
          <w:rFonts w:cs="Times New Roman"/>
          <w:b/>
          <w:szCs w:val="24"/>
        </w:rPr>
        <w:t>Dota piekrišana kriminālprocesa apturēšanai izmeklēšanā</w:t>
      </w:r>
    </w:p>
    <w:p w14:paraId="08F0CBFD" w14:textId="2E54505F" w:rsidR="008530D0" w:rsidRDefault="00E51A72" w:rsidP="008530D0">
      <w:pPr>
        <w:spacing w:after="0" w:line="240" w:lineRule="auto"/>
        <w:jc w:val="center"/>
        <w:rPr>
          <w:rFonts w:cs="Times New Roman"/>
          <w:b/>
          <w:szCs w:val="24"/>
        </w:rPr>
      </w:pPr>
      <w:r w:rsidRPr="00577BF3">
        <w:rPr>
          <w:rFonts w:cs="Times New Roman"/>
          <w:noProof/>
        </w:rPr>
        <w:drawing>
          <wp:inline distT="0" distB="0" distL="0" distR="0" wp14:anchorId="0B2943D4" wp14:editId="66E4C191">
            <wp:extent cx="5416550" cy="1648691"/>
            <wp:effectExtent l="0" t="0" r="12700" b="889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39C0E72" w14:textId="77777777" w:rsidR="009111D8" w:rsidRPr="00577BF3" w:rsidRDefault="009111D8" w:rsidP="001F35CA">
      <w:pPr>
        <w:spacing w:after="0" w:line="240" w:lineRule="auto"/>
        <w:rPr>
          <w:rFonts w:cs="Times New Roman"/>
          <w:b/>
          <w:szCs w:val="24"/>
        </w:rPr>
      </w:pPr>
    </w:p>
    <w:p w14:paraId="7647CF15" w14:textId="6A7713D8" w:rsidR="0037065A" w:rsidRDefault="00E51A72" w:rsidP="00CF4214">
      <w:pPr>
        <w:spacing w:after="0" w:line="240" w:lineRule="auto"/>
        <w:jc w:val="both"/>
        <w:rPr>
          <w:rFonts w:cs="Times New Roman"/>
          <w:bCs/>
          <w:szCs w:val="24"/>
        </w:rPr>
      </w:pPr>
      <w:r w:rsidRPr="00577BF3">
        <w:rPr>
          <w:rFonts w:cs="Times New Roman"/>
          <w:b/>
          <w:szCs w:val="24"/>
        </w:rPr>
        <w:tab/>
      </w:r>
      <w:r w:rsidRPr="00577BF3">
        <w:rPr>
          <w:rFonts w:cs="Times New Roman"/>
          <w:bCs/>
          <w:szCs w:val="24"/>
        </w:rPr>
        <w:t>2020.</w:t>
      </w:r>
      <w:r w:rsidR="0064255A" w:rsidRPr="00577BF3">
        <w:rPr>
          <w:rFonts w:cs="Times New Roman"/>
          <w:bCs/>
          <w:szCs w:val="24"/>
        </w:rPr>
        <w:t> </w:t>
      </w:r>
      <w:r w:rsidRPr="00577BF3">
        <w:rPr>
          <w:rFonts w:cs="Times New Roman"/>
          <w:bCs/>
          <w:szCs w:val="24"/>
        </w:rPr>
        <w:t>gada darba rādītāji par Kriminālprocesa likuma 400.</w:t>
      </w:r>
      <w:r w:rsidR="0064255A" w:rsidRPr="00577BF3">
        <w:rPr>
          <w:rFonts w:cs="Times New Roman"/>
          <w:bCs/>
          <w:szCs w:val="24"/>
        </w:rPr>
        <w:t> </w:t>
      </w:r>
      <w:r w:rsidRPr="00577BF3">
        <w:rPr>
          <w:rFonts w:cs="Times New Roman"/>
          <w:bCs/>
          <w:szCs w:val="24"/>
        </w:rPr>
        <w:t xml:space="preserve">panta piemērošanu ļauj izdarīt secinājumu, ka </w:t>
      </w:r>
      <w:r w:rsidR="00B66D22">
        <w:rPr>
          <w:rFonts w:cs="Times New Roman"/>
          <w:bCs/>
          <w:szCs w:val="24"/>
        </w:rPr>
        <w:t xml:space="preserve">Rīgas </w:t>
      </w:r>
      <w:r w:rsidR="00034C36">
        <w:rPr>
          <w:rFonts w:cs="Times New Roman"/>
          <w:bCs/>
          <w:szCs w:val="24"/>
        </w:rPr>
        <w:t xml:space="preserve">tiesas apgabala prokuratūras darbības teritorijā ietilpstošajās rajona līmeņa prokuratūrās </w:t>
      </w:r>
      <w:r w:rsidRPr="00577BF3">
        <w:rPr>
          <w:rFonts w:cs="Times New Roman"/>
          <w:bCs/>
          <w:szCs w:val="24"/>
        </w:rPr>
        <w:t>prokuroru</w:t>
      </w:r>
      <w:r w:rsidR="00034C36">
        <w:rPr>
          <w:rFonts w:cs="Times New Roman"/>
          <w:bCs/>
          <w:szCs w:val="24"/>
        </w:rPr>
        <w:t xml:space="preserve"> </w:t>
      </w:r>
      <w:r w:rsidRPr="00577BF3">
        <w:rPr>
          <w:rFonts w:cs="Times New Roman"/>
          <w:bCs/>
          <w:szCs w:val="24"/>
        </w:rPr>
        <w:t>vidū ir nostabilizējusies izpratne par kriminālprocesa apturēšanas procesuālo nozīmi.</w:t>
      </w:r>
    </w:p>
    <w:p w14:paraId="48E8691F" w14:textId="77777777" w:rsidR="009327CA" w:rsidRPr="00577BF3" w:rsidRDefault="009327CA" w:rsidP="00CF4214">
      <w:pPr>
        <w:spacing w:after="0" w:line="240" w:lineRule="auto"/>
        <w:jc w:val="both"/>
        <w:rPr>
          <w:rFonts w:cs="Times New Roman"/>
          <w:bCs/>
          <w:szCs w:val="24"/>
        </w:rPr>
      </w:pPr>
    </w:p>
    <w:p w14:paraId="45C37BBA" w14:textId="05AA66FF" w:rsidR="0037065A" w:rsidRPr="009327CA" w:rsidRDefault="00E51A72" w:rsidP="00295250">
      <w:pPr>
        <w:pStyle w:val="ListParagraph"/>
        <w:numPr>
          <w:ilvl w:val="0"/>
          <w:numId w:val="6"/>
        </w:numPr>
        <w:spacing w:after="120" w:line="240" w:lineRule="auto"/>
        <w:ind w:left="714" w:hanging="357"/>
        <w:jc w:val="both"/>
        <w:rPr>
          <w:rFonts w:cs="Times New Roman"/>
          <w:b/>
          <w:szCs w:val="24"/>
        </w:rPr>
      </w:pPr>
      <w:r w:rsidRPr="00577BF3">
        <w:rPr>
          <w:rFonts w:cs="Times New Roman"/>
          <w:b/>
          <w:szCs w:val="24"/>
        </w:rPr>
        <w:t>Prokuroru dotie norādījumi</w:t>
      </w:r>
    </w:p>
    <w:p w14:paraId="21A75D5E" w14:textId="28485359" w:rsidR="00E51A72" w:rsidRPr="00577BF3" w:rsidRDefault="00E51A72" w:rsidP="00AD3102">
      <w:pPr>
        <w:spacing w:after="0" w:line="240" w:lineRule="auto"/>
        <w:jc w:val="center"/>
        <w:rPr>
          <w:rFonts w:cs="Times New Roman"/>
          <w:b/>
          <w:szCs w:val="24"/>
        </w:rPr>
      </w:pPr>
      <w:r w:rsidRPr="00577BF3">
        <w:rPr>
          <w:rFonts w:cs="Times New Roman"/>
          <w:noProof/>
        </w:rPr>
        <w:drawing>
          <wp:inline distT="0" distB="0" distL="0" distR="0" wp14:anchorId="4DFC0387" wp14:editId="6869964A">
            <wp:extent cx="5407660" cy="1877291"/>
            <wp:effectExtent l="0" t="0" r="2540" b="889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399CCB9" w14:textId="77777777" w:rsidR="0037065A" w:rsidRPr="00295250" w:rsidRDefault="0037065A" w:rsidP="00295250">
      <w:pPr>
        <w:spacing w:after="0" w:line="240" w:lineRule="auto"/>
        <w:rPr>
          <w:rFonts w:cs="Times New Roman"/>
          <w:bCs/>
          <w:szCs w:val="24"/>
        </w:rPr>
      </w:pPr>
    </w:p>
    <w:p w14:paraId="04788690" w14:textId="3FA15E4E" w:rsidR="00D35727" w:rsidRDefault="00E51A72" w:rsidP="00CF4214">
      <w:pPr>
        <w:spacing w:after="0" w:line="240" w:lineRule="auto"/>
        <w:jc w:val="both"/>
        <w:rPr>
          <w:rFonts w:cs="Times New Roman"/>
          <w:bCs/>
          <w:szCs w:val="24"/>
        </w:rPr>
      </w:pPr>
      <w:r w:rsidRPr="00577BF3">
        <w:rPr>
          <w:rFonts w:cs="Times New Roman"/>
          <w:bCs/>
          <w:szCs w:val="24"/>
        </w:rPr>
        <w:tab/>
      </w:r>
      <w:r w:rsidR="006F003E">
        <w:rPr>
          <w:rFonts w:cs="Times New Roman"/>
          <w:bCs/>
          <w:szCs w:val="24"/>
        </w:rPr>
        <w:t>Rīg</w:t>
      </w:r>
      <w:r w:rsidR="00BC4555">
        <w:rPr>
          <w:rFonts w:cs="Times New Roman"/>
          <w:bCs/>
          <w:szCs w:val="24"/>
        </w:rPr>
        <w:t xml:space="preserve">as </w:t>
      </w:r>
      <w:r w:rsidR="00034C36">
        <w:rPr>
          <w:rFonts w:cs="Times New Roman"/>
          <w:bCs/>
          <w:szCs w:val="24"/>
        </w:rPr>
        <w:t xml:space="preserve">tiesas apgabala prokuratūras darbības teritorijā ietilpstošajās rajona līmeņa prokuratūrās </w:t>
      </w:r>
      <w:r w:rsidRPr="00577BF3">
        <w:rPr>
          <w:rFonts w:cs="Times New Roman"/>
          <w:bCs/>
          <w:szCs w:val="24"/>
        </w:rPr>
        <w:t xml:space="preserve">prokurori nemainīgi aktīvi izmanto galveno izmeklēšanas uzraudzības līdzekli – prokurora norādījumus par izmeklēšanas virzienu un izmeklēšanas darbību veikšanu. </w:t>
      </w:r>
    </w:p>
    <w:p w14:paraId="01E3B8A6" w14:textId="21D699EE" w:rsidR="00D35727" w:rsidRPr="00577BF3" w:rsidRDefault="00D35727" w:rsidP="00CF4214">
      <w:pPr>
        <w:spacing w:after="0" w:line="240" w:lineRule="auto"/>
        <w:jc w:val="both"/>
        <w:rPr>
          <w:rFonts w:cs="Times New Roman"/>
          <w:bCs/>
          <w:szCs w:val="24"/>
        </w:rPr>
      </w:pPr>
    </w:p>
    <w:p w14:paraId="449512A2" w14:textId="1F56E445" w:rsidR="00E51A72" w:rsidRPr="00A22520" w:rsidRDefault="008530D0" w:rsidP="00295250">
      <w:pPr>
        <w:pStyle w:val="ListParagraph"/>
        <w:numPr>
          <w:ilvl w:val="0"/>
          <w:numId w:val="6"/>
        </w:numPr>
        <w:spacing w:after="120" w:line="240" w:lineRule="auto"/>
        <w:ind w:left="714" w:hanging="357"/>
        <w:jc w:val="both"/>
        <w:rPr>
          <w:rFonts w:cs="Times New Roman"/>
          <w:b/>
          <w:szCs w:val="24"/>
        </w:rPr>
      </w:pPr>
      <w:r>
        <w:rPr>
          <w:noProof/>
        </w:rPr>
        <w:drawing>
          <wp:anchor distT="0" distB="0" distL="114300" distR="114300" simplePos="0" relativeHeight="251680256" behindDoc="0" locked="0" layoutInCell="1" allowOverlap="1" wp14:anchorId="375E7D8F" wp14:editId="534D222F">
            <wp:simplePos x="0" y="0"/>
            <wp:positionH relativeFrom="margin">
              <wp:align>center</wp:align>
            </wp:positionH>
            <wp:positionV relativeFrom="paragraph">
              <wp:posOffset>416329</wp:posOffset>
            </wp:positionV>
            <wp:extent cx="5403850" cy="3257550"/>
            <wp:effectExtent l="0" t="0" r="6350" b="0"/>
            <wp:wrapTopAndBottom/>
            <wp:docPr id="102" name="Chart 102">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E51A72" w:rsidRPr="00577BF3">
        <w:rPr>
          <w:rFonts w:cs="Times New Roman"/>
          <w:b/>
          <w:szCs w:val="24"/>
        </w:rPr>
        <w:t xml:space="preserve">Valsts apsūdzības uzturēšana </w:t>
      </w:r>
      <w:r w:rsidR="003B4AEA" w:rsidRPr="00577BF3">
        <w:rPr>
          <w:rFonts w:cs="Times New Roman"/>
          <w:b/>
          <w:szCs w:val="24"/>
        </w:rPr>
        <w:t xml:space="preserve">pirmās </w:t>
      </w:r>
      <w:r w:rsidR="00E51A72" w:rsidRPr="00577BF3">
        <w:rPr>
          <w:rFonts w:cs="Times New Roman"/>
          <w:b/>
          <w:szCs w:val="24"/>
        </w:rPr>
        <w:t xml:space="preserve">instances tiesā (izskatītas </w:t>
      </w:r>
      <w:r w:rsidR="006A5C2B">
        <w:rPr>
          <w:rFonts w:cs="Times New Roman"/>
          <w:b/>
          <w:szCs w:val="24"/>
        </w:rPr>
        <w:t>krimināl</w:t>
      </w:r>
      <w:r w:rsidR="00E51A72" w:rsidRPr="00577BF3">
        <w:rPr>
          <w:rFonts w:cs="Times New Roman"/>
          <w:b/>
          <w:szCs w:val="24"/>
        </w:rPr>
        <w:t xml:space="preserve">lietas), no tām bez </w:t>
      </w:r>
      <w:r w:rsidR="00E51A72" w:rsidRPr="00A22520">
        <w:rPr>
          <w:rFonts w:cs="Times New Roman"/>
          <w:b/>
          <w:szCs w:val="24"/>
        </w:rPr>
        <w:t>pierādījumu pārbaudes</w:t>
      </w:r>
    </w:p>
    <w:p w14:paraId="1B1C41F8" w14:textId="38EAB60D" w:rsidR="0037065A" w:rsidRPr="00577BF3" w:rsidRDefault="0037065A" w:rsidP="00CF4214">
      <w:pPr>
        <w:spacing w:after="0" w:line="240" w:lineRule="auto"/>
        <w:jc w:val="both"/>
        <w:rPr>
          <w:rFonts w:cs="Times New Roman"/>
          <w:b/>
          <w:szCs w:val="24"/>
        </w:rPr>
      </w:pPr>
    </w:p>
    <w:p w14:paraId="243683E6" w14:textId="4CFF6A90" w:rsidR="0064255A" w:rsidRPr="00577BF3" w:rsidRDefault="008D500F" w:rsidP="008D500F">
      <w:pPr>
        <w:spacing w:after="0" w:line="240" w:lineRule="auto"/>
        <w:ind w:firstLine="720"/>
        <w:jc w:val="both"/>
        <w:rPr>
          <w:rFonts w:cs="Times New Roman"/>
          <w:bCs/>
          <w:szCs w:val="24"/>
        </w:rPr>
      </w:pPr>
      <w:r>
        <w:rPr>
          <w:rFonts w:cs="Times New Roman"/>
          <w:bCs/>
          <w:szCs w:val="24"/>
        </w:rPr>
        <w:t>R</w:t>
      </w:r>
      <w:r w:rsidR="004B3650">
        <w:rPr>
          <w:rFonts w:cs="Times New Roman"/>
          <w:bCs/>
          <w:szCs w:val="24"/>
        </w:rPr>
        <w:t xml:space="preserve">īgas </w:t>
      </w:r>
      <w:r w:rsidR="00034C36">
        <w:rPr>
          <w:rFonts w:cs="Times New Roman"/>
          <w:bCs/>
          <w:szCs w:val="24"/>
        </w:rPr>
        <w:t xml:space="preserve">tiesas apgabala prokuratūras darbības teritorijā ietilpstošajās rajona līmeņa prokuratūrās </w:t>
      </w:r>
      <w:r w:rsidR="004E59F4">
        <w:rPr>
          <w:rFonts w:cs="Times New Roman"/>
          <w:bCs/>
          <w:szCs w:val="24"/>
        </w:rPr>
        <w:t>apkopotie dati</w:t>
      </w:r>
      <w:r w:rsidR="00172B7F">
        <w:rPr>
          <w:rFonts w:cs="Times New Roman"/>
          <w:bCs/>
          <w:szCs w:val="24"/>
        </w:rPr>
        <w:t xml:space="preserve"> norāda uz</w:t>
      </w:r>
      <w:r w:rsidR="00E51A72" w:rsidRPr="00577BF3">
        <w:rPr>
          <w:rFonts w:cs="Times New Roman"/>
          <w:bCs/>
          <w:szCs w:val="24"/>
        </w:rPr>
        <w:t xml:space="preserve"> </w:t>
      </w:r>
      <w:r w:rsidR="00860E03" w:rsidRPr="00577BF3">
        <w:rPr>
          <w:rFonts w:cs="Times New Roman"/>
          <w:bCs/>
          <w:szCs w:val="24"/>
        </w:rPr>
        <w:t>pirm</w:t>
      </w:r>
      <w:r w:rsidR="00835E2F">
        <w:rPr>
          <w:rFonts w:cs="Times New Roman"/>
          <w:bCs/>
          <w:szCs w:val="24"/>
        </w:rPr>
        <w:t>ās instan</w:t>
      </w:r>
      <w:r w:rsidR="006D339C">
        <w:rPr>
          <w:rFonts w:cs="Times New Roman"/>
          <w:bCs/>
          <w:szCs w:val="24"/>
        </w:rPr>
        <w:t>ces tiesā</w:t>
      </w:r>
      <w:r w:rsidR="00E51A72" w:rsidRPr="00577BF3">
        <w:rPr>
          <w:rFonts w:cs="Times New Roman"/>
          <w:bCs/>
          <w:szCs w:val="24"/>
        </w:rPr>
        <w:t xml:space="preserve"> iztiesāto </w:t>
      </w:r>
      <w:r w:rsidR="006A5C2B">
        <w:rPr>
          <w:rFonts w:cs="Times New Roman"/>
          <w:bCs/>
          <w:szCs w:val="24"/>
        </w:rPr>
        <w:t>krimināl</w:t>
      </w:r>
      <w:r w:rsidR="00E51A72" w:rsidRPr="00577BF3">
        <w:rPr>
          <w:rFonts w:cs="Times New Roman"/>
          <w:bCs/>
          <w:szCs w:val="24"/>
        </w:rPr>
        <w:t>lietu skaita samazinājum</w:t>
      </w:r>
      <w:r w:rsidR="00172B7F">
        <w:rPr>
          <w:rFonts w:cs="Times New Roman"/>
          <w:bCs/>
          <w:szCs w:val="24"/>
        </w:rPr>
        <w:t>u</w:t>
      </w:r>
      <w:r w:rsidR="00E51A72" w:rsidRPr="00577BF3">
        <w:rPr>
          <w:rFonts w:cs="Times New Roman"/>
          <w:bCs/>
          <w:szCs w:val="24"/>
        </w:rPr>
        <w:t xml:space="preserve">. Izņēmums ir Rīgas </w:t>
      </w:r>
      <w:r w:rsidR="00C544DD">
        <w:rPr>
          <w:rFonts w:cs="Times New Roman"/>
          <w:bCs/>
          <w:szCs w:val="24"/>
        </w:rPr>
        <w:t xml:space="preserve">pilsētas </w:t>
      </w:r>
      <w:r w:rsidR="00E51A72" w:rsidRPr="00577BF3">
        <w:rPr>
          <w:rFonts w:cs="Times New Roman"/>
          <w:bCs/>
          <w:szCs w:val="24"/>
        </w:rPr>
        <w:t xml:space="preserve">Pārdaugavas prokuratūra, kuras rādītāji skatāmi kontekstā ar tiesai nodoto krimināllietu skaita būtisku palielinājumu. Vēsturiski nemainīgi visās rajona līmeņa </w:t>
      </w:r>
      <w:r w:rsidR="00F43982" w:rsidRPr="00577BF3">
        <w:rPr>
          <w:rFonts w:cs="Times New Roman"/>
          <w:bCs/>
          <w:szCs w:val="24"/>
        </w:rPr>
        <w:t xml:space="preserve">prokuratūras </w:t>
      </w:r>
      <w:r w:rsidR="00E51A72" w:rsidRPr="00577BF3">
        <w:rPr>
          <w:rFonts w:cs="Times New Roman"/>
          <w:bCs/>
          <w:szCs w:val="24"/>
        </w:rPr>
        <w:t>struktūrvienībās 70</w:t>
      </w:r>
      <w:r w:rsidR="00490B61">
        <w:rPr>
          <w:rFonts w:cs="Times New Roman"/>
          <w:bCs/>
          <w:szCs w:val="24"/>
        </w:rPr>
        <w:t>–</w:t>
      </w:r>
      <w:r w:rsidR="00E51A72" w:rsidRPr="00577BF3">
        <w:rPr>
          <w:rFonts w:cs="Times New Roman"/>
          <w:bCs/>
          <w:szCs w:val="24"/>
        </w:rPr>
        <w:t>85</w:t>
      </w:r>
      <w:r w:rsidR="0064255A" w:rsidRPr="00577BF3">
        <w:rPr>
          <w:rFonts w:cs="Times New Roman"/>
          <w:bCs/>
          <w:szCs w:val="24"/>
        </w:rPr>
        <w:t> </w:t>
      </w:r>
      <w:r w:rsidR="00E51A72" w:rsidRPr="00577BF3">
        <w:rPr>
          <w:rFonts w:cs="Times New Roman"/>
          <w:bCs/>
          <w:szCs w:val="24"/>
        </w:rPr>
        <w:t xml:space="preserve">% </w:t>
      </w:r>
      <w:r w:rsidR="006A5C2B">
        <w:rPr>
          <w:rFonts w:cs="Times New Roman"/>
          <w:bCs/>
          <w:szCs w:val="24"/>
        </w:rPr>
        <w:t>krimināl</w:t>
      </w:r>
      <w:r w:rsidR="00E51A72" w:rsidRPr="00577BF3">
        <w:rPr>
          <w:rFonts w:cs="Times New Roman"/>
          <w:bCs/>
          <w:szCs w:val="24"/>
        </w:rPr>
        <w:t>lietu tiek iztiesātas bez pierādījumu pārbaudes.</w:t>
      </w:r>
    </w:p>
    <w:p w14:paraId="44D45F48" w14:textId="77359724" w:rsidR="0037065A" w:rsidRPr="00577BF3" w:rsidRDefault="0037065A" w:rsidP="00CF4214">
      <w:pPr>
        <w:spacing w:after="0" w:line="240" w:lineRule="auto"/>
        <w:jc w:val="both"/>
        <w:rPr>
          <w:rFonts w:cs="Times New Roman"/>
          <w:bCs/>
          <w:szCs w:val="24"/>
        </w:rPr>
      </w:pPr>
    </w:p>
    <w:p w14:paraId="1F8A0ACF" w14:textId="3AE0B9BF" w:rsidR="00E51A72" w:rsidRPr="009F6AED" w:rsidRDefault="008530D0" w:rsidP="00C12DBD">
      <w:pPr>
        <w:pStyle w:val="ListParagraph"/>
        <w:numPr>
          <w:ilvl w:val="0"/>
          <w:numId w:val="6"/>
        </w:numPr>
        <w:spacing w:after="120" w:line="240" w:lineRule="auto"/>
        <w:ind w:left="714" w:hanging="357"/>
        <w:jc w:val="both"/>
        <w:rPr>
          <w:rFonts w:cs="Times New Roman"/>
          <w:b/>
          <w:szCs w:val="24"/>
        </w:rPr>
      </w:pPr>
      <w:r>
        <w:rPr>
          <w:noProof/>
        </w:rPr>
        <w:lastRenderedPageBreak/>
        <w:drawing>
          <wp:anchor distT="0" distB="0" distL="114300" distR="114300" simplePos="0" relativeHeight="251682304" behindDoc="0" locked="0" layoutInCell="1" allowOverlap="1" wp14:anchorId="03A0CEF7" wp14:editId="35C7E302">
            <wp:simplePos x="0" y="0"/>
            <wp:positionH relativeFrom="column">
              <wp:posOffset>92305</wp:posOffset>
            </wp:positionH>
            <wp:positionV relativeFrom="paragraph">
              <wp:posOffset>275301</wp:posOffset>
            </wp:positionV>
            <wp:extent cx="5416550" cy="2857500"/>
            <wp:effectExtent l="0" t="0" r="12700" b="0"/>
            <wp:wrapTopAndBottom/>
            <wp:docPr id="127" name="Chart 127">
              <a:extLst xmlns:a="http://schemas.openxmlformats.org/drawingml/2006/main">
                <a:ext uri="{FF2B5EF4-FFF2-40B4-BE49-F238E27FC236}">
                  <a16:creationId xmlns:a16="http://schemas.microsoft.com/office/drawing/2014/main" id="{00000000-0008-0000-01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E51A72" w:rsidRPr="00577BF3">
        <w:rPr>
          <w:rFonts w:cs="Times New Roman"/>
          <w:b/>
          <w:szCs w:val="24"/>
        </w:rPr>
        <w:t xml:space="preserve">Iesniegti protesti, no </w:t>
      </w:r>
      <w:r w:rsidR="00CD7038">
        <w:rPr>
          <w:rFonts w:cs="Times New Roman"/>
          <w:b/>
          <w:szCs w:val="24"/>
        </w:rPr>
        <w:t>tiem</w:t>
      </w:r>
      <w:r w:rsidR="00E51A72" w:rsidRPr="00577BF3">
        <w:rPr>
          <w:rFonts w:cs="Times New Roman"/>
          <w:b/>
          <w:szCs w:val="24"/>
        </w:rPr>
        <w:t xml:space="preserve"> apmierināti</w:t>
      </w:r>
    </w:p>
    <w:p w14:paraId="084D2C7C" w14:textId="29EB1711" w:rsidR="0037065A" w:rsidRPr="00577BF3" w:rsidRDefault="0037065A" w:rsidP="00CF4214">
      <w:pPr>
        <w:spacing w:after="0" w:line="240" w:lineRule="auto"/>
        <w:jc w:val="both"/>
        <w:rPr>
          <w:rFonts w:cs="Times New Roman"/>
          <w:bCs/>
          <w:szCs w:val="24"/>
        </w:rPr>
      </w:pPr>
    </w:p>
    <w:p w14:paraId="689708E1" w14:textId="759E36C9" w:rsidR="0085569E" w:rsidRDefault="00E51A72" w:rsidP="00CF4214">
      <w:pPr>
        <w:spacing w:after="0" w:line="240" w:lineRule="auto"/>
        <w:jc w:val="both"/>
        <w:rPr>
          <w:rFonts w:cs="Times New Roman"/>
          <w:bCs/>
          <w:szCs w:val="24"/>
        </w:rPr>
      </w:pPr>
      <w:r w:rsidRPr="00577BF3">
        <w:rPr>
          <w:rFonts w:cs="Times New Roman"/>
          <w:bCs/>
          <w:szCs w:val="24"/>
        </w:rPr>
        <w:tab/>
        <w:t xml:space="preserve">Kontekstā ar iztiesāto </w:t>
      </w:r>
      <w:r w:rsidR="00034C36">
        <w:rPr>
          <w:rFonts w:cs="Times New Roman"/>
          <w:bCs/>
          <w:szCs w:val="24"/>
        </w:rPr>
        <w:t>krimināl</w:t>
      </w:r>
      <w:r w:rsidRPr="00577BF3">
        <w:rPr>
          <w:rFonts w:cs="Times New Roman"/>
          <w:bCs/>
          <w:szCs w:val="24"/>
        </w:rPr>
        <w:t xml:space="preserve">lietu skaita samazinājumu likumsakarīgs ir </w:t>
      </w:r>
      <w:r w:rsidR="001B19D0">
        <w:rPr>
          <w:rFonts w:cs="Times New Roman"/>
          <w:bCs/>
          <w:szCs w:val="24"/>
        </w:rPr>
        <w:t xml:space="preserve">prokuroru </w:t>
      </w:r>
      <w:r w:rsidRPr="00577BF3">
        <w:rPr>
          <w:rFonts w:cs="Times New Roman"/>
          <w:bCs/>
          <w:szCs w:val="24"/>
        </w:rPr>
        <w:t xml:space="preserve">iesniegto protestu skaita samazinājums. Nemainīgi augsts ir apmierināto protestu īpatsvars attiecībā pret iepriekšējos periodos iesniegtajiem protestiem, kas norāda, ka prokurori objektīvi izvērtē sprieduma pārsūdzēšanas pamatotību. </w:t>
      </w:r>
    </w:p>
    <w:p w14:paraId="0A6D16EC" w14:textId="77777777" w:rsidR="00D35727" w:rsidRPr="00577BF3" w:rsidRDefault="00D35727" w:rsidP="00CF4214">
      <w:pPr>
        <w:spacing w:after="0" w:line="240" w:lineRule="auto"/>
        <w:jc w:val="both"/>
        <w:rPr>
          <w:rFonts w:cs="Times New Roman"/>
          <w:bCs/>
          <w:szCs w:val="24"/>
        </w:rPr>
      </w:pPr>
    </w:p>
    <w:p w14:paraId="654BB6B1" w14:textId="35126B5D" w:rsidR="00E51A72" w:rsidRPr="008C7E1E" w:rsidRDefault="008530D0" w:rsidP="00C12DBD">
      <w:pPr>
        <w:pStyle w:val="ListParagraph"/>
        <w:numPr>
          <w:ilvl w:val="0"/>
          <w:numId w:val="6"/>
        </w:numPr>
        <w:spacing w:after="120" w:line="240" w:lineRule="auto"/>
        <w:ind w:left="714" w:hanging="357"/>
        <w:jc w:val="both"/>
        <w:rPr>
          <w:rFonts w:cs="Times New Roman"/>
          <w:b/>
          <w:szCs w:val="24"/>
        </w:rPr>
      </w:pPr>
      <w:r>
        <w:rPr>
          <w:noProof/>
        </w:rPr>
        <w:drawing>
          <wp:anchor distT="0" distB="0" distL="114300" distR="114300" simplePos="0" relativeHeight="251684352" behindDoc="0" locked="0" layoutInCell="1" allowOverlap="1" wp14:anchorId="2588E03F" wp14:editId="5FB1F013">
            <wp:simplePos x="0" y="0"/>
            <wp:positionH relativeFrom="margin">
              <wp:posOffset>69561</wp:posOffset>
            </wp:positionH>
            <wp:positionV relativeFrom="paragraph">
              <wp:posOffset>258907</wp:posOffset>
            </wp:positionV>
            <wp:extent cx="5416550" cy="3020060"/>
            <wp:effectExtent l="0" t="0" r="12700" b="8890"/>
            <wp:wrapTopAndBottom/>
            <wp:docPr id="129" name="Chart 129">
              <a:extLst xmlns:a="http://schemas.openxmlformats.org/drawingml/2006/main">
                <a:ext uri="{FF2B5EF4-FFF2-40B4-BE49-F238E27FC236}">
                  <a16:creationId xmlns:a16="http://schemas.microsoft.com/office/drawing/2014/main" id="{00000000-0008-0000-01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00E51A72" w:rsidRPr="00577BF3">
        <w:rPr>
          <w:rFonts w:cs="Times New Roman"/>
          <w:b/>
          <w:szCs w:val="24"/>
        </w:rPr>
        <w:t>Izlemt</w:t>
      </w:r>
      <w:r w:rsidR="006E4231">
        <w:rPr>
          <w:rFonts w:cs="Times New Roman"/>
          <w:b/>
          <w:szCs w:val="24"/>
        </w:rPr>
        <w:t>a</w:t>
      </w:r>
      <w:r w:rsidR="00E51A72" w:rsidRPr="00577BF3">
        <w:rPr>
          <w:rFonts w:cs="Times New Roman"/>
          <w:b/>
          <w:szCs w:val="24"/>
        </w:rPr>
        <w:t>s sūdzības, no tām apmierinātas</w:t>
      </w:r>
    </w:p>
    <w:p w14:paraId="2B56A10A" w14:textId="57C4D453" w:rsidR="00C23A66" w:rsidRPr="00577BF3" w:rsidRDefault="00C23A66" w:rsidP="00CF4214">
      <w:pPr>
        <w:spacing w:after="0" w:line="240" w:lineRule="auto"/>
        <w:jc w:val="both"/>
        <w:rPr>
          <w:rFonts w:cs="Times New Roman"/>
          <w:b/>
          <w:szCs w:val="24"/>
        </w:rPr>
      </w:pPr>
    </w:p>
    <w:p w14:paraId="6AA38D9F" w14:textId="4EAE5D34" w:rsidR="008C7E1E" w:rsidRDefault="00E51A72" w:rsidP="00034C36">
      <w:pPr>
        <w:spacing w:after="0" w:line="240" w:lineRule="auto"/>
        <w:ind w:firstLine="720"/>
        <w:jc w:val="both"/>
        <w:rPr>
          <w:rFonts w:cs="Times New Roman"/>
          <w:szCs w:val="24"/>
        </w:rPr>
      </w:pPr>
      <w:r w:rsidRPr="00577BF3">
        <w:rPr>
          <w:rFonts w:cs="Times New Roman"/>
          <w:szCs w:val="24"/>
        </w:rPr>
        <w:t xml:space="preserve">Izlemto sūdzību skaits arī </w:t>
      </w:r>
      <w:r w:rsidR="003C447C">
        <w:rPr>
          <w:rFonts w:cs="Times New Roman"/>
          <w:szCs w:val="24"/>
        </w:rPr>
        <w:t xml:space="preserve">Rīgas </w:t>
      </w:r>
      <w:r w:rsidR="00034C36">
        <w:rPr>
          <w:rFonts w:cs="Times New Roman"/>
          <w:bCs/>
          <w:szCs w:val="24"/>
        </w:rPr>
        <w:t>tiesas apgabala prokuratūras darbības teritorijā ietilpstošajās rajona līmeņa prokuratūrās</w:t>
      </w:r>
      <w:r w:rsidRPr="00577BF3">
        <w:rPr>
          <w:rFonts w:cs="Times New Roman"/>
          <w:szCs w:val="24"/>
        </w:rPr>
        <w:t xml:space="preserve"> </w:t>
      </w:r>
      <w:r w:rsidR="00070980">
        <w:rPr>
          <w:rFonts w:cs="Times New Roman"/>
          <w:szCs w:val="24"/>
        </w:rPr>
        <w:t xml:space="preserve">2020. gadā </w:t>
      </w:r>
      <w:r w:rsidRPr="00577BF3">
        <w:rPr>
          <w:rFonts w:cs="Times New Roman"/>
          <w:szCs w:val="24"/>
        </w:rPr>
        <w:t>saglabājies izteikti augsts. Vienlaikus Rīgas pilsētas Centra rajona prokuratūras 2020.</w:t>
      </w:r>
      <w:r w:rsidR="00A10735" w:rsidRPr="00577BF3">
        <w:rPr>
          <w:rFonts w:cs="Times New Roman"/>
          <w:szCs w:val="24"/>
        </w:rPr>
        <w:t> </w:t>
      </w:r>
      <w:r w:rsidRPr="00577BF3">
        <w:rPr>
          <w:rFonts w:cs="Times New Roman"/>
          <w:szCs w:val="24"/>
        </w:rPr>
        <w:t xml:space="preserve">gada rādītāji sūdzību izlemšanā ļauj domāt, ka sūdzību skaita samazinājuma risinājumi tomēr ir iespējami. </w:t>
      </w:r>
    </w:p>
    <w:p w14:paraId="1833F643" w14:textId="77777777" w:rsidR="008C7E1E" w:rsidRDefault="008C7E1E" w:rsidP="008C7E1E">
      <w:pPr>
        <w:spacing w:after="0" w:line="240" w:lineRule="auto"/>
        <w:ind w:left="360"/>
        <w:jc w:val="both"/>
        <w:rPr>
          <w:rFonts w:cs="Times New Roman"/>
          <w:szCs w:val="24"/>
        </w:rPr>
      </w:pPr>
    </w:p>
    <w:p w14:paraId="2F8AE9A3" w14:textId="1F7CF79D" w:rsidR="008C7E1E" w:rsidRDefault="008C7E1E" w:rsidP="008530D0">
      <w:pPr>
        <w:spacing w:after="0" w:line="240" w:lineRule="auto"/>
        <w:jc w:val="both"/>
        <w:rPr>
          <w:rFonts w:cs="Times New Roman"/>
          <w:b/>
          <w:szCs w:val="24"/>
        </w:rPr>
      </w:pPr>
      <w:r>
        <w:rPr>
          <w:rFonts w:cs="Times New Roman"/>
          <w:b/>
          <w:szCs w:val="24"/>
        </w:rPr>
        <w:t>Rīgas tiesas apgabala prokuratūras virsprokurors A. </w:t>
      </w:r>
      <w:proofErr w:type="spellStart"/>
      <w:r>
        <w:rPr>
          <w:rFonts w:cs="Times New Roman"/>
          <w:b/>
          <w:szCs w:val="24"/>
        </w:rPr>
        <w:t>Meisters</w:t>
      </w:r>
      <w:proofErr w:type="spellEnd"/>
    </w:p>
    <w:p w14:paraId="27792100" w14:textId="3F66C7E3" w:rsidR="00AC36B7" w:rsidRDefault="008C7E1E" w:rsidP="004647CC">
      <w:pPr>
        <w:spacing w:after="0" w:line="240" w:lineRule="auto"/>
        <w:jc w:val="both"/>
        <w:rPr>
          <w:rFonts w:cs="Times New Roman"/>
          <w:b/>
          <w:szCs w:val="24"/>
        </w:rPr>
      </w:pPr>
      <w:r>
        <w:rPr>
          <w:rFonts w:cs="Times New Roman"/>
          <w:b/>
          <w:szCs w:val="24"/>
        </w:rPr>
        <w:t>Rīgā 2021. gada 2. februārī</w:t>
      </w:r>
      <w:bookmarkStart w:id="22" w:name="_Hlk63691689"/>
      <w:bookmarkStart w:id="23" w:name="_Hlk64467456"/>
      <w:bookmarkStart w:id="24" w:name="_Hlk63694622"/>
      <w:bookmarkEnd w:id="6"/>
    </w:p>
    <w:p w14:paraId="77FA2D73" w14:textId="0E7485BF" w:rsidR="008E1F5F" w:rsidRPr="00577BF3" w:rsidRDefault="00AC36B7" w:rsidP="000B2A12">
      <w:pPr>
        <w:spacing w:after="0"/>
        <w:jc w:val="center"/>
        <w:rPr>
          <w:rFonts w:cs="Times New Roman"/>
          <w:b/>
          <w:sz w:val="32"/>
          <w:szCs w:val="32"/>
        </w:rPr>
      </w:pPr>
      <w:r>
        <w:rPr>
          <w:rFonts w:cs="Times New Roman"/>
          <w:b/>
          <w:szCs w:val="24"/>
        </w:rPr>
        <w:br w:type="page"/>
      </w:r>
      <w:r w:rsidR="008E1F5F" w:rsidRPr="00577BF3">
        <w:rPr>
          <w:rFonts w:cs="Times New Roman"/>
          <w:b/>
          <w:sz w:val="32"/>
          <w:szCs w:val="32"/>
        </w:rPr>
        <w:lastRenderedPageBreak/>
        <w:t xml:space="preserve">Kurzemes tiesas apgabala prokuratūras un tās darbības teritorijā </w:t>
      </w:r>
      <w:r w:rsidR="008530D0">
        <w:rPr>
          <w:rFonts w:cs="Times New Roman"/>
          <w:b/>
          <w:sz w:val="32"/>
          <w:szCs w:val="32"/>
        </w:rPr>
        <w:t>ietilpstošo</w:t>
      </w:r>
      <w:r w:rsidR="008E1F5F" w:rsidRPr="00577BF3">
        <w:rPr>
          <w:rFonts w:cs="Times New Roman"/>
          <w:b/>
          <w:sz w:val="32"/>
          <w:szCs w:val="32"/>
        </w:rPr>
        <w:t xml:space="preserve"> rajona līmeņa prokuratūru pārskats par 2020. gada darba rezultātiem</w:t>
      </w:r>
    </w:p>
    <w:p w14:paraId="3E3E2806" w14:textId="77777777" w:rsidR="00524641" w:rsidRPr="008530D0" w:rsidRDefault="00524641" w:rsidP="00CF4214">
      <w:pPr>
        <w:spacing w:after="0" w:line="240" w:lineRule="auto"/>
        <w:jc w:val="center"/>
        <w:rPr>
          <w:rFonts w:cs="Times New Roman"/>
          <w:b/>
          <w:szCs w:val="24"/>
        </w:rPr>
      </w:pPr>
    </w:p>
    <w:p w14:paraId="6CBE45AF" w14:textId="5F7C029A" w:rsidR="008E1F5F" w:rsidRPr="00577BF3" w:rsidRDefault="00524641" w:rsidP="00CF4214">
      <w:pPr>
        <w:pStyle w:val="ListParagraph"/>
        <w:spacing w:after="0" w:line="240" w:lineRule="auto"/>
        <w:ind w:left="1077"/>
        <w:jc w:val="center"/>
        <w:rPr>
          <w:rFonts w:cs="Times New Roman"/>
          <w:b/>
          <w:bCs/>
          <w:sz w:val="28"/>
          <w:szCs w:val="28"/>
        </w:rPr>
      </w:pPr>
      <w:r w:rsidRPr="00577BF3">
        <w:rPr>
          <w:rFonts w:cs="Times New Roman"/>
          <w:b/>
          <w:bCs/>
          <w:sz w:val="28"/>
          <w:szCs w:val="28"/>
        </w:rPr>
        <w:t>I. </w:t>
      </w:r>
      <w:r w:rsidR="008E1F5F" w:rsidRPr="00577BF3">
        <w:rPr>
          <w:rFonts w:cs="Times New Roman"/>
          <w:b/>
          <w:bCs/>
          <w:sz w:val="28"/>
          <w:szCs w:val="28"/>
        </w:rPr>
        <w:t>Strukturālais modelis un prokuroru personālsastāvs</w:t>
      </w:r>
    </w:p>
    <w:p w14:paraId="1F3B3F4B" w14:textId="77777777" w:rsidR="00524641" w:rsidRPr="008530D0" w:rsidRDefault="00524641" w:rsidP="00CF4214">
      <w:pPr>
        <w:pStyle w:val="ListParagraph"/>
        <w:spacing w:after="0" w:line="240" w:lineRule="auto"/>
        <w:ind w:left="1077"/>
        <w:rPr>
          <w:rFonts w:cs="Times New Roman"/>
          <w:b/>
          <w:bCs/>
          <w:szCs w:val="24"/>
        </w:rPr>
      </w:pPr>
    </w:p>
    <w:p w14:paraId="4D452D5B" w14:textId="1343EAF0" w:rsidR="008E1F5F" w:rsidRPr="00577BF3" w:rsidRDefault="008E1F5F" w:rsidP="00CF4214">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sidR="008F1098">
        <w:rPr>
          <w:rFonts w:cs="Times New Roman"/>
          <w:szCs w:val="24"/>
        </w:rPr>
        <w:t xml:space="preserve">2020. gada 28. oktobra redakcijā </w:t>
      </w:r>
      <w:r w:rsidR="0075555E" w:rsidRPr="00577BF3">
        <w:rPr>
          <w:rFonts w:cs="Times New Roman"/>
          <w:szCs w:val="24"/>
        </w:rPr>
        <w:t>Kurzemes</w:t>
      </w:r>
      <w:r w:rsidRPr="00577BF3">
        <w:rPr>
          <w:rFonts w:cs="Times New Roman"/>
          <w:szCs w:val="24"/>
        </w:rPr>
        <w:t xml:space="preserve"> tiesas apgabalā 2020. gadā darbojās 1 apgabala līmeņa teritoriālā prokuratūra</w:t>
      </w:r>
      <w:r w:rsidR="00BC172F" w:rsidRPr="00577BF3">
        <w:rPr>
          <w:rFonts w:cs="Times New Roman"/>
          <w:szCs w:val="24"/>
        </w:rPr>
        <w:t>s struktūrvienība</w:t>
      </w:r>
      <w:r w:rsidRPr="00577BF3">
        <w:rPr>
          <w:rFonts w:cs="Times New Roman"/>
          <w:szCs w:val="24"/>
        </w:rPr>
        <w:t xml:space="preserve"> un </w:t>
      </w:r>
      <w:r w:rsidR="0021339B" w:rsidRPr="00577BF3">
        <w:rPr>
          <w:rFonts w:cs="Times New Roman"/>
          <w:szCs w:val="24"/>
        </w:rPr>
        <w:t>5 </w:t>
      </w:r>
      <w:r w:rsidRPr="00577BF3">
        <w:rPr>
          <w:rFonts w:cs="Times New Roman"/>
          <w:szCs w:val="24"/>
        </w:rPr>
        <w:t xml:space="preserve">rajona līmeņa teritoriālās prokuratūras struktūrvienības </w:t>
      </w:r>
      <w:r w:rsidR="00BC172F" w:rsidRPr="00577BF3">
        <w:rPr>
          <w:rFonts w:cs="Times New Roman"/>
          <w:szCs w:val="24"/>
        </w:rPr>
        <w:t xml:space="preserve">pie </w:t>
      </w:r>
      <w:r w:rsidRPr="00577BF3">
        <w:rPr>
          <w:rFonts w:cs="Times New Roman"/>
          <w:szCs w:val="24"/>
        </w:rPr>
        <w:t>šād</w:t>
      </w:r>
      <w:r w:rsidR="00BC172F" w:rsidRPr="00577BF3">
        <w:rPr>
          <w:rFonts w:cs="Times New Roman"/>
          <w:szCs w:val="24"/>
        </w:rPr>
        <w:t>a</w:t>
      </w:r>
      <w:r w:rsidRPr="00577BF3">
        <w:rPr>
          <w:rFonts w:cs="Times New Roman"/>
          <w:szCs w:val="24"/>
        </w:rPr>
        <w:t xml:space="preserve"> prokuror</w:t>
      </w:r>
      <w:r w:rsidR="002171C6" w:rsidRPr="00577BF3">
        <w:rPr>
          <w:rFonts w:cs="Times New Roman"/>
          <w:szCs w:val="24"/>
        </w:rPr>
        <w:t xml:space="preserve">a amata </w:t>
      </w:r>
      <w:r w:rsidRPr="00577BF3">
        <w:rPr>
          <w:rFonts w:cs="Times New Roman"/>
          <w:szCs w:val="24"/>
        </w:rPr>
        <w:t xml:space="preserve">vietu </w:t>
      </w:r>
      <w:r w:rsidR="002F4C67" w:rsidRPr="00577BF3">
        <w:rPr>
          <w:rFonts w:cs="Times New Roman"/>
          <w:szCs w:val="24"/>
        </w:rPr>
        <w:t>sa</w:t>
      </w:r>
      <w:r w:rsidRPr="00577BF3">
        <w:rPr>
          <w:rFonts w:cs="Times New Roman"/>
          <w:szCs w:val="24"/>
        </w:rPr>
        <w:t>dalījum</w:t>
      </w:r>
      <w:r w:rsidR="00BC172F" w:rsidRPr="00577BF3">
        <w:rPr>
          <w:rFonts w:cs="Times New Roman"/>
          <w:szCs w:val="24"/>
        </w:rPr>
        <w:t>a</w:t>
      </w:r>
      <w:r w:rsidRPr="00577BF3">
        <w:rPr>
          <w:rFonts w:cs="Times New Roman"/>
          <w:szCs w:val="24"/>
        </w:rPr>
        <w:t>:</w:t>
      </w:r>
    </w:p>
    <w:p w14:paraId="71E9D9A4" w14:textId="02B5DCF0" w:rsidR="008E1F5F" w:rsidRPr="00577BF3" w:rsidRDefault="0075555E" w:rsidP="00B16727">
      <w:pPr>
        <w:pStyle w:val="ListParagraph"/>
        <w:numPr>
          <w:ilvl w:val="0"/>
          <w:numId w:val="1"/>
        </w:numPr>
        <w:spacing w:after="0" w:line="240" w:lineRule="auto"/>
        <w:jc w:val="both"/>
        <w:rPr>
          <w:rFonts w:cs="Times New Roman"/>
          <w:szCs w:val="24"/>
        </w:rPr>
      </w:pPr>
      <w:r w:rsidRPr="00577BF3">
        <w:rPr>
          <w:rFonts w:cs="Times New Roman"/>
          <w:szCs w:val="24"/>
        </w:rPr>
        <w:t>Kurzemes</w:t>
      </w:r>
      <w:r w:rsidR="008E1F5F" w:rsidRPr="00577BF3">
        <w:rPr>
          <w:rFonts w:cs="Times New Roman"/>
          <w:szCs w:val="24"/>
        </w:rPr>
        <w:t xml:space="preserve"> tiesas apgabala prokuratūra – </w:t>
      </w:r>
      <w:r w:rsidR="00D67102" w:rsidRPr="00577BF3">
        <w:rPr>
          <w:rFonts w:cs="Times New Roman"/>
          <w:szCs w:val="24"/>
        </w:rPr>
        <w:t>6 </w:t>
      </w:r>
      <w:r w:rsidR="008E1F5F" w:rsidRPr="00577BF3">
        <w:rPr>
          <w:rFonts w:cs="Times New Roman"/>
          <w:szCs w:val="24"/>
        </w:rPr>
        <w:t>prokurora amata vieta</w:t>
      </w:r>
      <w:r w:rsidR="00D67102" w:rsidRPr="00577BF3">
        <w:rPr>
          <w:rFonts w:cs="Times New Roman"/>
          <w:szCs w:val="24"/>
        </w:rPr>
        <w:t xml:space="preserve">s </w:t>
      </w:r>
      <w:r w:rsidR="008E1F5F" w:rsidRPr="00577BF3">
        <w:rPr>
          <w:rFonts w:cs="Times New Roman"/>
          <w:szCs w:val="24"/>
        </w:rPr>
        <w:t xml:space="preserve">(1 virsprokurora un </w:t>
      </w:r>
      <w:r w:rsidR="00D67102" w:rsidRPr="00577BF3">
        <w:rPr>
          <w:rFonts w:cs="Times New Roman"/>
          <w:szCs w:val="24"/>
        </w:rPr>
        <w:t>5 </w:t>
      </w:r>
      <w:r w:rsidR="008E1F5F" w:rsidRPr="00577BF3">
        <w:rPr>
          <w:rFonts w:cs="Times New Roman"/>
          <w:szCs w:val="24"/>
        </w:rPr>
        <w:t>prokurora štata vietas</w:t>
      </w:r>
      <w:r w:rsidR="00D67102" w:rsidRPr="00577BF3">
        <w:rPr>
          <w:rFonts w:cs="Times New Roman"/>
          <w:szCs w:val="24"/>
        </w:rPr>
        <w:t>, no tām</w:t>
      </w:r>
      <w:bookmarkStart w:id="25" w:name="_Hlk514053423"/>
      <w:r w:rsidR="00D67102" w:rsidRPr="00577BF3">
        <w:rPr>
          <w:rFonts w:cs="Times New Roman"/>
          <w:szCs w:val="24"/>
        </w:rPr>
        <w:t xml:space="preserve"> </w:t>
      </w:r>
      <w:r w:rsidR="0021339B" w:rsidRPr="00577BF3">
        <w:rPr>
          <w:rFonts w:cs="Times New Roman"/>
          <w:lang w:eastAsia="lv-LV"/>
        </w:rPr>
        <w:t>3 </w:t>
      </w:r>
      <w:r w:rsidR="00D67102" w:rsidRPr="00577BF3">
        <w:rPr>
          <w:rFonts w:cs="Times New Roman"/>
          <w:lang w:eastAsia="lv-LV"/>
        </w:rPr>
        <w:t>prokuror</w:t>
      </w:r>
      <w:r w:rsidR="0021339B" w:rsidRPr="00577BF3">
        <w:rPr>
          <w:rFonts w:cs="Times New Roman"/>
          <w:lang w:eastAsia="lv-LV"/>
        </w:rPr>
        <w:t>a štata vietas</w:t>
      </w:r>
      <w:r w:rsidR="00D67102" w:rsidRPr="00577BF3">
        <w:rPr>
          <w:rFonts w:cs="Times New Roman"/>
          <w:lang w:eastAsia="lv-LV"/>
        </w:rPr>
        <w:t xml:space="preserve"> ar pastāvīgo darbavietu </w:t>
      </w:r>
      <w:bookmarkEnd w:id="25"/>
      <w:r w:rsidR="0021339B" w:rsidRPr="00577BF3">
        <w:rPr>
          <w:rFonts w:cs="Times New Roman"/>
          <w:lang w:eastAsia="lv-LV"/>
        </w:rPr>
        <w:t xml:space="preserve">Liepājā, pa </w:t>
      </w:r>
      <w:r w:rsidR="00D67102" w:rsidRPr="00577BF3">
        <w:rPr>
          <w:rFonts w:cs="Times New Roman"/>
          <w:lang w:eastAsia="lv-LV"/>
        </w:rPr>
        <w:t xml:space="preserve">1 </w:t>
      </w:r>
      <w:r w:rsidR="0021339B" w:rsidRPr="00577BF3">
        <w:rPr>
          <w:rFonts w:cs="Times New Roman"/>
          <w:lang w:eastAsia="lv-LV"/>
        </w:rPr>
        <w:t xml:space="preserve">prokurora štata vietai </w:t>
      </w:r>
      <w:r w:rsidR="00D67102" w:rsidRPr="00577BF3">
        <w:rPr>
          <w:rFonts w:cs="Times New Roman"/>
          <w:lang w:eastAsia="lv-LV"/>
        </w:rPr>
        <w:t xml:space="preserve">ar pastāvīgo darbavietu </w:t>
      </w:r>
      <w:r w:rsidR="0021339B" w:rsidRPr="00577BF3">
        <w:rPr>
          <w:rFonts w:cs="Times New Roman"/>
          <w:lang w:eastAsia="lv-LV"/>
        </w:rPr>
        <w:t xml:space="preserve">Ventspilī un </w:t>
      </w:r>
      <w:r w:rsidR="00D67102" w:rsidRPr="00577BF3">
        <w:rPr>
          <w:rFonts w:cs="Times New Roman"/>
          <w:lang w:eastAsia="lv-LV"/>
        </w:rPr>
        <w:t>Kuldīgā</w:t>
      </w:r>
      <w:r w:rsidR="008E1F5F" w:rsidRPr="00577BF3">
        <w:rPr>
          <w:rFonts w:cs="Times New Roman"/>
          <w:szCs w:val="24"/>
        </w:rPr>
        <w:t>);</w:t>
      </w:r>
    </w:p>
    <w:p w14:paraId="334F63C3" w14:textId="17536F77" w:rsidR="008E1F5F" w:rsidRPr="00577BF3" w:rsidRDefault="006F5C94"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Kuldīgas rajona </w:t>
      </w:r>
      <w:r w:rsidR="008E1F5F" w:rsidRPr="00577BF3">
        <w:rPr>
          <w:rFonts w:cs="Times New Roman"/>
          <w:szCs w:val="24"/>
        </w:rPr>
        <w:t xml:space="preserve">prokuratūra – </w:t>
      </w:r>
      <w:r w:rsidRPr="00577BF3">
        <w:rPr>
          <w:rFonts w:cs="Times New Roman"/>
        </w:rPr>
        <w:t>6 </w:t>
      </w:r>
      <w:r w:rsidR="008E1F5F" w:rsidRPr="00577BF3">
        <w:rPr>
          <w:rFonts w:cs="Times New Roman"/>
        </w:rPr>
        <w:t>prokurora</w:t>
      </w:r>
      <w:r w:rsidR="008E1F5F" w:rsidRPr="00577BF3">
        <w:rPr>
          <w:rFonts w:cs="Times New Roman"/>
          <w:szCs w:val="24"/>
        </w:rPr>
        <w:t xml:space="preserve"> amata vietas  (1 virsprokurora un </w:t>
      </w:r>
      <w:r w:rsidRPr="00577BF3">
        <w:rPr>
          <w:rFonts w:cs="Times New Roman"/>
          <w:szCs w:val="24"/>
        </w:rPr>
        <w:t>5</w:t>
      </w:r>
      <w:r w:rsidR="008E1F5F" w:rsidRPr="00577BF3">
        <w:rPr>
          <w:rFonts w:cs="Times New Roman"/>
          <w:szCs w:val="24"/>
        </w:rPr>
        <w:t> prokurora štata vietas);</w:t>
      </w:r>
    </w:p>
    <w:p w14:paraId="07B2FAFF" w14:textId="7BC6B036" w:rsidR="008E1F5F" w:rsidRPr="00577BF3" w:rsidRDefault="006F5C94"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Liepājas </w:t>
      </w:r>
      <w:r w:rsidR="008E1F5F" w:rsidRPr="00577BF3">
        <w:rPr>
          <w:rFonts w:cs="Times New Roman"/>
          <w:szCs w:val="24"/>
        </w:rPr>
        <w:t xml:space="preserve">prokuratūra – </w:t>
      </w:r>
      <w:r w:rsidRPr="00577BF3">
        <w:rPr>
          <w:rFonts w:cs="Times New Roman"/>
          <w:szCs w:val="24"/>
        </w:rPr>
        <w:t>14 </w:t>
      </w:r>
      <w:r w:rsidR="008E1F5F" w:rsidRPr="00577BF3">
        <w:rPr>
          <w:rFonts w:cs="Times New Roman"/>
          <w:szCs w:val="24"/>
        </w:rPr>
        <w:t>prokurora amata vietas (1 virsprokurora un 1</w:t>
      </w:r>
      <w:r w:rsidRPr="00577BF3">
        <w:rPr>
          <w:rFonts w:cs="Times New Roman"/>
          <w:szCs w:val="24"/>
        </w:rPr>
        <w:t>3 </w:t>
      </w:r>
      <w:r w:rsidR="008E1F5F" w:rsidRPr="00577BF3">
        <w:rPr>
          <w:rFonts w:cs="Times New Roman"/>
          <w:szCs w:val="24"/>
        </w:rPr>
        <w:t>prokurora štata vieta</w:t>
      </w:r>
      <w:r w:rsidR="003A15D7" w:rsidRPr="00577BF3">
        <w:rPr>
          <w:rFonts w:cs="Times New Roman"/>
          <w:szCs w:val="24"/>
        </w:rPr>
        <w:t>s</w:t>
      </w:r>
      <w:r w:rsidR="008E1F5F" w:rsidRPr="00577BF3">
        <w:rPr>
          <w:rFonts w:cs="Times New Roman"/>
          <w:szCs w:val="24"/>
        </w:rPr>
        <w:t>);</w:t>
      </w:r>
    </w:p>
    <w:p w14:paraId="7853C33A" w14:textId="19BC8A09" w:rsidR="008E1F5F" w:rsidRPr="00577BF3" w:rsidRDefault="006F5C94"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Saldus rajona </w:t>
      </w:r>
      <w:r w:rsidR="008E1F5F" w:rsidRPr="00577BF3">
        <w:rPr>
          <w:rFonts w:cs="Times New Roman"/>
          <w:szCs w:val="24"/>
        </w:rPr>
        <w:t xml:space="preserve">prokuratūra – </w:t>
      </w:r>
      <w:r w:rsidRPr="00577BF3">
        <w:rPr>
          <w:rFonts w:cs="Times New Roman"/>
          <w:szCs w:val="24"/>
        </w:rPr>
        <w:t>5 </w:t>
      </w:r>
      <w:r w:rsidR="008E1F5F" w:rsidRPr="00577BF3">
        <w:rPr>
          <w:rFonts w:cs="Times New Roman"/>
          <w:szCs w:val="24"/>
        </w:rPr>
        <w:t xml:space="preserve">prokurora amata vietas (1 virsprokurora un </w:t>
      </w:r>
      <w:r w:rsidRPr="00577BF3">
        <w:rPr>
          <w:rFonts w:cs="Times New Roman"/>
          <w:szCs w:val="24"/>
        </w:rPr>
        <w:t>4 </w:t>
      </w:r>
      <w:r w:rsidR="008E1F5F" w:rsidRPr="00577BF3">
        <w:rPr>
          <w:rFonts w:cs="Times New Roman"/>
          <w:szCs w:val="24"/>
        </w:rPr>
        <w:t>prokurora štata vietas);</w:t>
      </w:r>
    </w:p>
    <w:p w14:paraId="407589EC" w14:textId="3B8417BF" w:rsidR="008E1F5F" w:rsidRPr="00577BF3" w:rsidRDefault="00EF271C" w:rsidP="00B16727">
      <w:pPr>
        <w:pStyle w:val="ListParagraph"/>
        <w:numPr>
          <w:ilvl w:val="0"/>
          <w:numId w:val="1"/>
        </w:numPr>
        <w:spacing w:after="0" w:line="240" w:lineRule="auto"/>
        <w:jc w:val="both"/>
        <w:rPr>
          <w:rFonts w:cs="Times New Roman"/>
          <w:szCs w:val="24"/>
        </w:rPr>
      </w:pPr>
      <w:r w:rsidRPr="00577BF3">
        <w:rPr>
          <w:rFonts w:cs="Times New Roman"/>
          <w:szCs w:val="24"/>
        </w:rPr>
        <w:t>Talsu</w:t>
      </w:r>
      <w:r w:rsidR="008E1F5F" w:rsidRPr="00577BF3">
        <w:rPr>
          <w:rFonts w:cs="Times New Roman"/>
          <w:szCs w:val="24"/>
        </w:rPr>
        <w:t xml:space="preserve"> rajona prokuratūra – </w:t>
      </w:r>
      <w:r w:rsidRPr="00577BF3">
        <w:rPr>
          <w:rFonts w:cs="Times New Roman"/>
          <w:szCs w:val="24"/>
        </w:rPr>
        <w:t>5 </w:t>
      </w:r>
      <w:r w:rsidR="008E1F5F" w:rsidRPr="00577BF3">
        <w:rPr>
          <w:rFonts w:cs="Times New Roman"/>
          <w:szCs w:val="24"/>
        </w:rPr>
        <w:t xml:space="preserve">prokurora amata vietas (1 virsprokurora un </w:t>
      </w:r>
      <w:r w:rsidRPr="00577BF3">
        <w:rPr>
          <w:rFonts w:cs="Times New Roman"/>
          <w:szCs w:val="24"/>
        </w:rPr>
        <w:t>4 </w:t>
      </w:r>
      <w:r w:rsidR="008E1F5F" w:rsidRPr="00577BF3">
        <w:rPr>
          <w:rFonts w:cs="Times New Roman"/>
          <w:szCs w:val="24"/>
        </w:rPr>
        <w:t>prokurora štata vietas);</w:t>
      </w:r>
    </w:p>
    <w:p w14:paraId="5AFB8C2A" w14:textId="0BDCA0A2" w:rsidR="008E1F5F" w:rsidRPr="00577BF3" w:rsidRDefault="00EF271C" w:rsidP="00B16727">
      <w:pPr>
        <w:pStyle w:val="ListParagraph"/>
        <w:numPr>
          <w:ilvl w:val="0"/>
          <w:numId w:val="1"/>
        </w:numPr>
        <w:spacing w:after="0" w:line="240" w:lineRule="auto"/>
        <w:ind w:left="714" w:hanging="357"/>
        <w:jc w:val="both"/>
        <w:rPr>
          <w:rFonts w:cs="Times New Roman"/>
          <w:szCs w:val="24"/>
        </w:rPr>
      </w:pPr>
      <w:r w:rsidRPr="00577BF3">
        <w:rPr>
          <w:rFonts w:cs="Times New Roman"/>
          <w:szCs w:val="24"/>
        </w:rPr>
        <w:t>Ventspils</w:t>
      </w:r>
      <w:r w:rsidR="008E1F5F" w:rsidRPr="00577BF3">
        <w:rPr>
          <w:rFonts w:cs="Times New Roman"/>
          <w:szCs w:val="24"/>
        </w:rPr>
        <w:t xml:space="preserve"> prokuratūra – 7 prokurora amata vietas (1 virsprokurora un 6 prokurora štata vietas).</w:t>
      </w:r>
    </w:p>
    <w:p w14:paraId="705C6CBF" w14:textId="77777777" w:rsidR="00692F30" w:rsidRPr="00577BF3" w:rsidRDefault="00692F30" w:rsidP="00D202F4">
      <w:pPr>
        <w:spacing w:after="0" w:line="240" w:lineRule="auto"/>
        <w:jc w:val="both"/>
        <w:rPr>
          <w:rFonts w:cs="Times New Roman"/>
          <w:szCs w:val="24"/>
        </w:rPr>
      </w:pPr>
    </w:p>
    <w:p w14:paraId="387AB0CD" w14:textId="2B295955" w:rsidR="00E9389B" w:rsidRPr="00577BF3" w:rsidRDefault="00687A2A" w:rsidP="000B2A12">
      <w:pPr>
        <w:spacing w:after="0" w:line="240" w:lineRule="auto"/>
        <w:jc w:val="center"/>
        <w:rPr>
          <w:rFonts w:cs="Times New Roman"/>
          <w:color w:val="000000" w:themeColor="text1"/>
          <w:szCs w:val="24"/>
        </w:rPr>
      </w:pPr>
      <w:r w:rsidRPr="00577BF3">
        <w:rPr>
          <w:rFonts w:cs="Times New Roman"/>
          <w:noProof/>
        </w:rPr>
        <w:drawing>
          <wp:inline distT="0" distB="0" distL="0" distR="0" wp14:anchorId="172BCD4D" wp14:editId="7B2CCE6B">
            <wp:extent cx="4530090" cy="1974850"/>
            <wp:effectExtent l="0" t="0" r="3810" b="6350"/>
            <wp:docPr id="54" name="Chart 54">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BDE787F" w14:textId="77777777" w:rsidR="0050545D" w:rsidRPr="00577BF3" w:rsidRDefault="0050545D" w:rsidP="0050545D">
      <w:pPr>
        <w:spacing w:after="0" w:line="240" w:lineRule="auto"/>
        <w:ind w:left="720" w:firstLine="720"/>
        <w:jc w:val="both"/>
        <w:rPr>
          <w:rFonts w:cs="Times New Roman"/>
          <w:color w:val="000000" w:themeColor="text1"/>
          <w:szCs w:val="24"/>
        </w:rPr>
      </w:pPr>
    </w:p>
    <w:p w14:paraId="02E1FED2" w14:textId="2F0B7081" w:rsidR="00D202F4" w:rsidRDefault="00D202F4" w:rsidP="00D202F4">
      <w:pPr>
        <w:spacing w:after="0" w:line="240" w:lineRule="auto"/>
        <w:ind w:firstLine="720"/>
        <w:jc w:val="both"/>
        <w:rPr>
          <w:rFonts w:cs="Times New Roman"/>
          <w:szCs w:val="24"/>
        </w:rPr>
      </w:pPr>
      <w:r w:rsidRPr="00577BF3">
        <w:rPr>
          <w:rFonts w:cs="Times New Roman"/>
          <w:szCs w:val="24"/>
        </w:rPr>
        <w:t>Kopumā Kurzemes tiesas apgabalā uz 2020. gada 31. decembri bija noteiktas 43 prokurora amata vietas, no kurām aizpildītas 3</w:t>
      </w:r>
      <w:r w:rsidR="000B5FDF">
        <w:rPr>
          <w:rFonts w:cs="Times New Roman"/>
          <w:szCs w:val="24"/>
        </w:rPr>
        <w:t>4</w:t>
      </w:r>
      <w:r w:rsidRPr="00577BF3">
        <w:rPr>
          <w:rFonts w:cs="Times New Roman"/>
          <w:szCs w:val="24"/>
        </w:rPr>
        <w:t> </w:t>
      </w:r>
      <w:r>
        <w:rPr>
          <w:rFonts w:cs="Times New Roman"/>
          <w:szCs w:val="24"/>
        </w:rPr>
        <w:t>(</w:t>
      </w:r>
      <w:r w:rsidRPr="00577BF3">
        <w:rPr>
          <w:rFonts w:cs="Times New Roman"/>
          <w:szCs w:val="24"/>
        </w:rPr>
        <w:t>virsprokurora un prokurora štata vietas</w:t>
      </w:r>
      <w:r>
        <w:rPr>
          <w:rFonts w:cs="Times New Roman"/>
          <w:szCs w:val="24"/>
        </w:rPr>
        <w:t>)</w:t>
      </w:r>
      <w:r w:rsidRPr="00577BF3">
        <w:rPr>
          <w:rFonts w:cs="Times New Roman"/>
          <w:szCs w:val="24"/>
        </w:rPr>
        <w:t xml:space="preserve"> jeb </w:t>
      </w:r>
      <w:r w:rsidR="00C40C5D">
        <w:rPr>
          <w:rFonts w:cs="Times New Roman"/>
          <w:szCs w:val="24"/>
        </w:rPr>
        <w:t>79</w:t>
      </w:r>
      <w:r w:rsidRPr="00577BF3">
        <w:rPr>
          <w:rFonts w:cs="Times New Roman"/>
          <w:szCs w:val="24"/>
        </w:rPr>
        <w:t> %</w:t>
      </w:r>
      <w:r w:rsidR="00787689">
        <w:rPr>
          <w:rFonts w:cs="Times New Roman"/>
          <w:szCs w:val="24"/>
        </w:rPr>
        <w:t>, bet reāli strādāja 3</w:t>
      </w:r>
      <w:r w:rsidR="00C40C5D">
        <w:rPr>
          <w:rFonts w:cs="Times New Roman"/>
          <w:szCs w:val="24"/>
        </w:rPr>
        <w:t>3</w:t>
      </w:r>
      <w:r w:rsidR="00F466E9">
        <w:rPr>
          <w:rFonts w:cs="Times New Roman"/>
          <w:szCs w:val="24"/>
        </w:rPr>
        <w:t xml:space="preserve"> jeb</w:t>
      </w:r>
      <w:r w:rsidR="00B00A5A">
        <w:rPr>
          <w:rFonts w:cs="Times New Roman"/>
          <w:szCs w:val="24"/>
        </w:rPr>
        <w:t xml:space="preserve"> </w:t>
      </w:r>
      <w:r w:rsidR="000F0FD2">
        <w:rPr>
          <w:rFonts w:cs="Times New Roman"/>
          <w:szCs w:val="24"/>
        </w:rPr>
        <w:t>77</w:t>
      </w:r>
      <w:r w:rsidR="00940450">
        <w:rPr>
          <w:rFonts w:cs="Times New Roman"/>
          <w:szCs w:val="24"/>
        </w:rPr>
        <w:t> %, jo 1 prokurors atradās ilgstošā prombūtnē</w:t>
      </w:r>
      <w:r w:rsidRPr="00577BF3">
        <w:rPr>
          <w:rFonts w:cs="Times New Roman"/>
          <w:szCs w:val="24"/>
        </w:rPr>
        <w:t>.</w:t>
      </w:r>
    </w:p>
    <w:p w14:paraId="55DD7739" w14:textId="3D5DCD60" w:rsidR="00E9389B" w:rsidRPr="00577BF3" w:rsidRDefault="006112E0" w:rsidP="006112E0">
      <w:pPr>
        <w:spacing w:after="0" w:line="240" w:lineRule="auto"/>
        <w:ind w:firstLine="720"/>
        <w:jc w:val="both"/>
        <w:rPr>
          <w:rFonts w:cs="Times New Roman"/>
          <w:szCs w:val="24"/>
        </w:rPr>
      </w:pPr>
      <w:r>
        <w:rPr>
          <w:rFonts w:cs="Times New Roman"/>
          <w:szCs w:val="24"/>
        </w:rPr>
        <w:t>Minētā situācija</w:t>
      </w:r>
      <w:r w:rsidR="00E9389B" w:rsidRPr="00577BF3">
        <w:rPr>
          <w:rFonts w:cs="Times New Roman"/>
          <w:szCs w:val="24"/>
        </w:rPr>
        <w:t xml:space="preserve"> vērtējam</w:t>
      </w:r>
      <w:r>
        <w:rPr>
          <w:rFonts w:cs="Times New Roman"/>
          <w:szCs w:val="24"/>
        </w:rPr>
        <w:t>a</w:t>
      </w:r>
      <w:r w:rsidR="00E9389B" w:rsidRPr="00577BF3">
        <w:rPr>
          <w:rFonts w:cs="Times New Roman"/>
          <w:szCs w:val="24"/>
        </w:rPr>
        <w:t xml:space="preserve"> kā būtisks faktors, kas atstāj negatīvu ietekmi uz prokuroru noslodzi un kavē kvalitatīvu prokuratūras funkciju izpildi. Lai nodrošinātu efektīvu prokuroru pilnvaru realizēšanu kriminālprocesos, kā arī mazinātu prokuroru pārslodzes riskus, prokuratūras darbībā pats svarīgākais ir kvalitatīva prokurora amata kandidātu atlase darbam rajona līmeņa prokuratūrās. </w:t>
      </w:r>
    </w:p>
    <w:p w14:paraId="4068504D" w14:textId="79864A41" w:rsidR="002D45DD" w:rsidRDefault="00E9389B" w:rsidP="002D45DD">
      <w:pPr>
        <w:spacing w:after="0" w:line="240" w:lineRule="auto"/>
        <w:ind w:firstLine="720"/>
        <w:jc w:val="both"/>
        <w:rPr>
          <w:rFonts w:cs="Times New Roman"/>
          <w:szCs w:val="24"/>
        </w:rPr>
      </w:pPr>
      <w:r w:rsidRPr="00577BF3">
        <w:rPr>
          <w:rFonts w:cs="Times New Roman"/>
          <w:szCs w:val="24"/>
        </w:rPr>
        <w:t>Kurzemes tiesas apgabalā</w:t>
      </w:r>
      <w:r w:rsidR="007D75D7">
        <w:rPr>
          <w:rFonts w:cs="Times New Roman"/>
          <w:szCs w:val="24"/>
        </w:rPr>
        <w:t xml:space="preserve"> prokuroriem</w:t>
      </w:r>
      <w:r w:rsidRPr="00577BF3">
        <w:rPr>
          <w:rFonts w:cs="Times New Roman"/>
          <w:szCs w:val="24"/>
        </w:rPr>
        <w:t xml:space="preserve">, īpaši Liepājā </w:t>
      </w:r>
      <w:r w:rsidR="00FC079A" w:rsidRPr="00577BF3">
        <w:rPr>
          <w:rFonts w:cs="Times New Roman"/>
          <w:szCs w:val="24"/>
        </w:rPr>
        <w:t>strādājošajiem</w:t>
      </w:r>
      <w:r w:rsidR="0034299B">
        <w:rPr>
          <w:rFonts w:cs="Times New Roman"/>
          <w:szCs w:val="24"/>
        </w:rPr>
        <w:t>,</w:t>
      </w:r>
      <w:r w:rsidR="003C12A5" w:rsidRPr="00577BF3">
        <w:rPr>
          <w:rFonts w:cs="Times New Roman"/>
          <w:szCs w:val="24"/>
        </w:rPr>
        <w:t xml:space="preserve"> </w:t>
      </w:r>
      <w:r w:rsidRPr="00577BF3">
        <w:rPr>
          <w:rFonts w:cs="Times New Roman"/>
          <w:szCs w:val="24"/>
        </w:rPr>
        <w:t>vērojama</w:t>
      </w:r>
      <w:r w:rsidR="00024730">
        <w:rPr>
          <w:rFonts w:cs="Times New Roman"/>
          <w:szCs w:val="24"/>
        </w:rPr>
        <w:t xml:space="preserve"> </w:t>
      </w:r>
      <w:r w:rsidRPr="00577BF3">
        <w:rPr>
          <w:rFonts w:cs="Times New Roman"/>
          <w:szCs w:val="24"/>
        </w:rPr>
        <w:t>profesionālā izdegšana. Šim gadam izvirzāmais uzdevums ir brīvo</w:t>
      </w:r>
      <w:r w:rsidR="00AB3560" w:rsidRPr="00577BF3">
        <w:rPr>
          <w:rFonts w:cs="Times New Roman"/>
          <w:szCs w:val="24"/>
        </w:rPr>
        <w:t xml:space="preserve"> </w:t>
      </w:r>
      <w:r w:rsidRPr="00577BF3">
        <w:rPr>
          <w:rFonts w:cs="Times New Roman"/>
          <w:szCs w:val="24"/>
        </w:rPr>
        <w:t xml:space="preserve">štata vietu aizpildīšana rajona līmeņa un apgabala līmeņa prokuratūras struktūrvienībās. </w:t>
      </w:r>
    </w:p>
    <w:p w14:paraId="734D6988" w14:textId="118F31E0" w:rsidR="00B823B5" w:rsidRPr="00577BF3" w:rsidRDefault="00A55656" w:rsidP="002D45DD">
      <w:pPr>
        <w:spacing w:after="0" w:line="240" w:lineRule="auto"/>
        <w:ind w:firstLine="720"/>
        <w:jc w:val="both"/>
        <w:rPr>
          <w:rFonts w:cs="Times New Roman"/>
          <w:szCs w:val="24"/>
        </w:rPr>
      </w:pPr>
      <w:r w:rsidRPr="00577BF3">
        <w:rPr>
          <w:rFonts w:cs="Times New Roman"/>
          <w:szCs w:val="24"/>
        </w:rPr>
        <w:t xml:space="preserve">Prokuratūrā notiekošā reorganizācija ietver rajona līmeņa prokuratūras struktūrvienību apvienošanu, izveidojot jaunas prokuratūras struktūrvienības, tādējādi samazinot to skaitu. </w:t>
      </w:r>
      <w:r w:rsidRPr="00577BF3">
        <w:rPr>
          <w:rFonts w:cs="Times New Roman"/>
          <w:szCs w:val="24"/>
        </w:rPr>
        <w:lastRenderedPageBreak/>
        <w:t xml:space="preserve">Kurzemes tiesas apgabalā no 2021. gada 1. februāra, apvienojot 5 rajona līmeņa prokuratūras struktūrvienības, izveidotas 2 jaunas rajona līmeņa prokuratūras struktūrvienības – </w:t>
      </w:r>
      <w:r w:rsidRPr="00577BF3">
        <w:rPr>
          <w:rFonts w:cs="Times New Roman"/>
          <w:b/>
          <w:bCs/>
          <w:szCs w:val="24"/>
        </w:rPr>
        <w:t>Ziemeļkurzemes prokuratūra</w:t>
      </w:r>
      <w:r w:rsidRPr="00577BF3">
        <w:rPr>
          <w:rFonts w:cs="Times New Roman"/>
          <w:szCs w:val="24"/>
        </w:rPr>
        <w:t xml:space="preserve">, apvienojot Kuldīgas rajona prokuratūru, Talsu rajona prokuratūru un Ventspils prokuratūru, un </w:t>
      </w:r>
      <w:r w:rsidRPr="00577BF3">
        <w:rPr>
          <w:rFonts w:cs="Times New Roman"/>
          <w:b/>
          <w:bCs/>
          <w:szCs w:val="24"/>
        </w:rPr>
        <w:t>Dienvidkurzemes prokuratūra</w:t>
      </w:r>
      <w:r w:rsidRPr="00577BF3">
        <w:rPr>
          <w:rFonts w:cs="Times New Roman"/>
          <w:szCs w:val="24"/>
        </w:rPr>
        <w:t xml:space="preserve">, apvienojot Liepājas prokuratūru un Saldus rajona prokuratūru, un </w:t>
      </w:r>
      <w:bookmarkStart w:id="26" w:name="_Hlk63685818"/>
      <w:r w:rsidRPr="00577BF3">
        <w:rPr>
          <w:rFonts w:cs="Times New Roman"/>
          <w:szCs w:val="24"/>
        </w:rPr>
        <w:t xml:space="preserve">samazinātas 2 prokurora </w:t>
      </w:r>
      <w:r w:rsidR="00F40E01">
        <w:rPr>
          <w:rFonts w:cs="Times New Roman"/>
          <w:szCs w:val="24"/>
        </w:rPr>
        <w:t>amata</w:t>
      </w:r>
      <w:r w:rsidRPr="00577BF3">
        <w:rPr>
          <w:rFonts w:cs="Times New Roman"/>
          <w:szCs w:val="24"/>
        </w:rPr>
        <w:t xml:space="preserve"> vietas.</w:t>
      </w:r>
      <w:bookmarkEnd w:id="26"/>
    </w:p>
    <w:p w14:paraId="075CC414" w14:textId="6C4CB515" w:rsidR="00DE145F" w:rsidRDefault="009845D4" w:rsidP="008A507D">
      <w:pPr>
        <w:spacing w:after="0" w:line="240" w:lineRule="auto"/>
        <w:ind w:firstLine="720"/>
        <w:jc w:val="both"/>
        <w:rPr>
          <w:rFonts w:cs="Times New Roman"/>
          <w:szCs w:val="24"/>
        </w:rPr>
      </w:pPr>
      <w:r w:rsidRPr="00577BF3">
        <w:rPr>
          <w:rFonts w:cs="Times New Roman"/>
          <w:szCs w:val="24"/>
        </w:rPr>
        <w:t>Dienvidkurzemes prokuratūrā tuvākajā laikā nepieciešams aizpildīt vismaz trīs</w:t>
      </w:r>
      <w:r w:rsidR="00066536">
        <w:rPr>
          <w:rFonts w:cs="Times New Roman"/>
          <w:szCs w:val="24"/>
        </w:rPr>
        <w:t xml:space="preserve"> </w:t>
      </w:r>
      <w:r w:rsidR="00630C27" w:rsidRPr="00577BF3">
        <w:rPr>
          <w:rFonts w:cs="Times New Roman"/>
          <w:szCs w:val="24"/>
        </w:rPr>
        <w:t xml:space="preserve">prokurora </w:t>
      </w:r>
      <w:r w:rsidRPr="00577BF3">
        <w:rPr>
          <w:rFonts w:cs="Times New Roman"/>
          <w:szCs w:val="24"/>
        </w:rPr>
        <w:t xml:space="preserve">štata vietas. Jāatzīmē, ka šajā prokuratūrā </w:t>
      </w:r>
      <w:r w:rsidR="00540126">
        <w:rPr>
          <w:rFonts w:cs="Times New Roman"/>
          <w:szCs w:val="24"/>
        </w:rPr>
        <w:t>vakantajās prokurora</w:t>
      </w:r>
      <w:r w:rsidR="00CE6B39">
        <w:rPr>
          <w:rFonts w:cs="Times New Roman"/>
          <w:szCs w:val="24"/>
        </w:rPr>
        <w:t xml:space="preserve"> amata vietās </w:t>
      </w:r>
      <w:r w:rsidRPr="00577BF3">
        <w:rPr>
          <w:rFonts w:cs="Times New Roman"/>
          <w:szCs w:val="24"/>
        </w:rPr>
        <w:t xml:space="preserve">stažējas </w:t>
      </w:r>
      <w:r w:rsidR="00D94DD8">
        <w:rPr>
          <w:rFonts w:cs="Times New Roman"/>
          <w:szCs w:val="24"/>
        </w:rPr>
        <w:t>2 </w:t>
      </w:r>
      <w:r w:rsidRPr="00577BF3">
        <w:rPr>
          <w:rFonts w:cs="Times New Roman"/>
          <w:szCs w:val="24"/>
        </w:rPr>
        <w:t>prokurora amata kandidāti</w:t>
      </w:r>
      <w:r w:rsidR="004D383E">
        <w:rPr>
          <w:rFonts w:cs="Times New Roman"/>
          <w:szCs w:val="24"/>
        </w:rPr>
        <w:t>, kuri</w:t>
      </w:r>
      <w:r w:rsidR="00CB64C1">
        <w:rPr>
          <w:rFonts w:cs="Times New Roman"/>
          <w:szCs w:val="24"/>
        </w:rPr>
        <w:t>, ja veiksmīgi nokārtos kvalifikācijas pārbaudījumus, varētu tikt iecelti prokurora amatā</w:t>
      </w:r>
      <w:r w:rsidR="00F36B9E">
        <w:rPr>
          <w:rFonts w:cs="Times New Roman"/>
          <w:szCs w:val="24"/>
        </w:rPr>
        <w:t>.</w:t>
      </w:r>
      <w:r w:rsidRPr="00577BF3">
        <w:rPr>
          <w:rFonts w:cs="Times New Roman"/>
          <w:szCs w:val="24"/>
        </w:rPr>
        <w:t xml:space="preserve"> Ziemeļkurzemes prokuratūrā</w:t>
      </w:r>
      <w:r w:rsidR="000F5E0A" w:rsidRPr="00577BF3">
        <w:rPr>
          <w:rFonts w:cs="Times New Roman"/>
          <w:szCs w:val="24"/>
        </w:rPr>
        <w:t>,</w:t>
      </w:r>
      <w:r w:rsidRPr="00577BF3">
        <w:rPr>
          <w:rFonts w:cs="Times New Roman"/>
          <w:szCs w:val="24"/>
        </w:rPr>
        <w:t xml:space="preserve"> </w:t>
      </w:r>
      <w:r w:rsidR="000F5E0A" w:rsidRPr="00577BF3">
        <w:rPr>
          <w:rFonts w:cs="Times New Roman"/>
          <w:szCs w:val="24"/>
        </w:rPr>
        <w:t xml:space="preserve">kā arī Kurzemes tiesas apgabala prokuratūrā </w:t>
      </w:r>
      <w:r w:rsidRPr="00577BF3">
        <w:rPr>
          <w:rFonts w:cs="Times New Roman"/>
          <w:szCs w:val="24"/>
        </w:rPr>
        <w:t xml:space="preserve">tuvākajā laikā būtu nepieciešams </w:t>
      </w:r>
      <w:r w:rsidR="00881B08" w:rsidRPr="00577BF3">
        <w:rPr>
          <w:rFonts w:cs="Times New Roman"/>
          <w:szCs w:val="24"/>
        </w:rPr>
        <w:t xml:space="preserve">katrā </w:t>
      </w:r>
      <w:r w:rsidRPr="00577BF3">
        <w:rPr>
          <w:rFonts w:cs="Times New Roman"/>
          <w:szCs w:val="24"/>
        </w:rPr>
        <w:t xml:space="preserve">aizpildīt vismaz </w:t>
      </w:r>
      <w:r w:rsidR="00623F41" w:rsidRPr="00577BF3">
        <w:rPr>
          <w:rFonts w:cs="Times New Roman"/>
          <w:szCs w:val="24"/>
        </w:rPr>
        <w:t xml:space="preserve">pa </w:t>
      </w:r>
      <w:r w:rsidRPr="00577BF3">
        <w:rPr>
          <w:rFonts w:cs="Times New Roman"/>
          <w:szCs w:val="24"/>
        </w:rPr>
        <w:t>vien</w:t>
      </w:r>
      <w:r w:rsidR="00623F41" w:rsidRPr="00577BF3">
        <w:rPr>
          <w:rFonts w:cs="Times New Roman"/>
          <w:szCs w:val="24"/>
        </w:rPr>
        <w:t>ai</w:t>
      </w:r>
      <w:r w:rsidRPr="00577BF3">
        <w:rPr>
          <w:rFonts w:cs="Times New Roman"/>
          <w:szCs w:val="24"/>
        </w:rPr>
        <w:t xml:space="preserve"> </w:t>
      </w:r>
      <w:r w:rsidR="00EB3CE7" w:rsidRPr="00577BF3">
        <w:rPr>
          <w:rFonts w:cs="Times New Roman"/>
          <w:szCs w:val="24"/>
        </w:rPr>
        <w:t xml:space="preserve">prokurora </w:t>
      </w:r>
      <w:r w:rsidRPr="00577BF3">
        <w:rPr>
          <w:rFonts w:cs="Times New Roman"/>
          <w:szCs w:val="24"/>
        </w:rPr>
        <w:t>štata viet</w:t>
      </w:r>
      <w:r w:rsidR="00623F41" w:rsidRPr="00577BF3">
        <w:rPr>
          <w:rFonts w:cs="Times New Roman"/>
          <w:szCs w:val="24"/>
        </w:rPr>
        <w:t>ai</w:t>
      </w:r>
      <w:r w:rsidRPr="00577BF3">
        <w:rPr>
          <w:rFonts w:cs="Times New Roman"/>
          <w:szCs w:val="24"/>
        </w:rPr>
        <w:t>.</w:t>
      </w:r>
    </w:p>
    <w:p w14:paraId="55CBC5DD" w14:textId="77777777" w:rsidR="008A507D" w:rsidRPr="008A507D" w:rsidRDefault="008A507D" w:rsidP="008A507D">
      <w:pPr>
        <w:spacing w:after="0" w:line="240" w:lineRule="auto"/>
        <w:ind w:firstLine="720"/>
        <w:jc w:val="both"/>
        <w:rPr>
          <w:rFonts w:cs="Times New Roman"/>
          <w:szCs w:val="24"/>
        </w:rPr>
      </w:pPr>
    </w:p>
    <w:p w14:paraId="5DE93F05" w14:textId="77777777" w:rsidR="00073FC0" w:rsidRPr="00577BF3" w:rsidRDefault="00073FC0" w:rsidP="00073FC0">
      <w:pPr>
        <w:spacing w:after="0" w:line="240" w:lineRule="auto"/>
        <w:ind w:firstLine="357"/>
        <w:jc w:val="center"/>
        <w:rPr>
          <w:rFonts w:cs="Times New Roman"/>
          <w:szCs w:val="24"/>
        </w:rPr>
      </w:pPr>
      <w:r w:rsidRPr="00577BF3">
        <w:rPr>
          <w:rFonts w:cs="Times New Roman"/>
          <w:b/>
          <w:bCs/>
          <w:sz w:val="28"/>
          <w:szCs w:val="28"/>
        </w:rPr>
        <w:t>II. Tiesas apgabala prokuratūras darba rādītāji</w:t>
      </w:r>
    </w:p>
    <w:p w14:paraId="58238C3D" w14:textId="77777777" w:rsidR="00073FC0" w:rsidRPr="00577BF3" w:rsidRDefault="00073FC0" w:rsidP="00073FC0">
      <w:pPr>
        <w:spacing w:after="0" w:line="240" w:lineRule="auto"/>
        <w:jc w:val="center"/>
        <w:rPr>
          <w:rFonts w:cs="Times New Roman"/>
          <w:b/>
          <w:bCs/>
          <w:sz w:val="28"/>
          <w:szCs w:val="28"/>
        </w:rPr>
      </w:pPr>
      <w:r w:rsidRPr="00577BF3">
        <w:rPr>
          <w:rFonts w:cs="Times New Roman"/>
          <w:b/>
          <w:bCs/>
          <w:sz w:val="28"/>
          <w:szCs w:val="28"/>
        </w:rPr>
        <w:t>(salīdzinājums 3 gadu periodā)</w:t>
      </w:r>
    </w:p>
    <w:p w14:paraId="66C7EFCD" w14:textId="77777777" w:rsidR="00073FC0" w:rsidRPr="008530D0" w:rsidRDefault="00073FC0" w:rsidP="007B05E9">
      <w:pPr>
        <w:spacing w:after="0" w:line="240" w:lineRule="auto"/>
        <w:jc w:val="center"/>
        <w:rPr>
          <w:rFonts w:cs="Times New Roman"/>
          <w:b/>
          <w:bCs/>
          <w:szCs w:val="24"/>
        </w:rPr>
      </w:pPr>
    </w:p>
    <w:p w14:paraId="53E6AB59" w14:textId="414F959E" w:rsidR="00E9389B" w:rsidRPr="00EC40AE" w:rsidRDefault="00073FC0" w:rsidP="00E329FC">
      <w:pPr>
        <w:pStyle w:val="ListParagraph"/>
        <w:numPr>
          <w:ilvl w:val="0"/>
          <w:numId w:val="17"/>
        </w:numPr>
        <w:spacing w:after="120" w:line="240" w:lineRule="auto"/>
        <w:ind w:left="714" w:hanging="357"/>
        <w:jc w:val="both"/>
        <w:rPr>
          <w:rFonts w:cs="Times New Roman"/>
          <w:b/>
          <w:szCs w:val="24"/>
        </w:rPr>
      </w:pPr>
      <w:r w:rsidRPr="00577BF3">
        <w:rPr>
          <w:rFonts w:cs="Times New Roman"/>
          <w:b/>
          <w:szCs w:val="24"/>
        </w:rPr>
        <w:t>Kriminālvajāšanai saņemt</w:t>
      </w:r>
      <w:r w:rsidR="0011335B">
        <w:rPr>
          <w:rFonts w:cs="Times New Roman"/>
          <w:b/>
          <w:szCs w:val="24"/>
        </w:rPr>
        <w:t>i</w:t>
      </w:r>
      <w:r w:rsidRPr="00577BF3">
        <w:rPr>
          <w:rFonts w:cs="Times New Roman"/>
          <w:b/>
          <w:szCs w:val="24"/>
        </w:rPr>
        <w:t xml:space="preserve"> kriminā</w:t>
      </w:r>
      <w:r w:rsidR="001C0DF0">
        <w:rPr>
          <w:rFonts w:cs="Times New Roman"/>
          <w:b/>
          <w:szCs w:val="24"/>
        </w:rPr>
        <w:t>l</w:t>
      </w:r>
      <w:r w:rsidR="0011335B">
        <w:rPr>
          <w:rFonts w:cs="Times New Roman"/>
          <w:b/>
          <w:szCs w:val="24"/>
        </w:rPr>
        <w:t>procesi</w:t>
      </w:r>
    </w:p>
    <w:p w14:paraId="53485517" w14:textId="339F5EAC" w:rsidR="00E9389B" w:rsidRPr="00577BF3" w:rsidRDefault="00E9389B" w:rsidP="00F20F3F">
      <w:pPr>
        <w:spacing w:after="0"/>
        <w:jc w:val="center"/>
        <w:rPr>
          <w:rFonts w:cs="Times New Roman"/>
          <w:bCs/>
          <w:szCs w:val="24"/>
        </w:rPr>
      </w:pPr>
      <w:r w:rsidRPr="00577BF3">
        <w:rPr>
          <w:rFonts w:cs="Times New Roman"/>
          <w:noProof/>
        </w:rPr>
        <w:drawing>
          <wp:inline distT="0" distB="0" distL="0" distR="0" wp14:anchorId="3BCE8C17" wp14:editId="0E2936CF">
            <wp:extent cx="3968750" cy="2082800"/>
            <wp:effectExtent l="0" t="0" r="12700" b="12700"/>
            <wp:docPr id="52"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8F53271" w14:textId="230C1BCF" w:rsidR="00E9389B" w:rsidRPr="00577BF3" w:rsidRDefault="00E9389B" w:rsidP="004D6C1C">
      <w:pPr>
        <w:spacing w:after="0"/>
        <w:jc w:val="both"/>
        <w:rPr>
          <w:rFonts w:cs="Times New Roman"/>
          <w:bCs/>
          <w:szCs w:val="24"/>
        </w:rPr>
      </w:pPr>
    </w:p>
    <w:p w14:paraId="785F5914" w14:textId="5795D57D" w:rsidR="00D815C7" w:rsidRDefault="00E9389B" w:rsidP="00E26DE9">
      <w:pPr>
        <w:spacing w:after="0" w:line="240" w:lineRule="auto"/>
        <w:ind w:firstLine="720"/>
        <w:jc w:val="both"/>
        <w:rPr>
          <w:rFonts w:cs="Times New Roman"/>
          <w:szCs w:val="24"/>
        </w:rPr>
      </w:pPr>
      <w:r w:rsidRPr="00577BF3">
        <w:rPr>
          <w:rFonts w:cs="Times New Roman"/>
          <w:szCs w:val="24"/>
        </w:rPr>
        <w:t xml:space="preserve">Kurzemes tiesas apgabala prokuratūras darba rezultātus ietekmē pastāvīga prokuroru </w:t>
      </w:r>
      <w:r w:rsidR="009372C9" w:rsidRPr="00577BF3">
        <w:rPr>
          <w:rFonts w:cs="Times New Roman"/>
          <w:szCs w:val="24"/>
        </w:rPr>
        <w:t>aizņemtība</w:t>
      </w:r>
      <w:r w:rsidRPr="00577BF3">
        <w:rPr>
          <w:rFonts w:cs="Times New Roman"/>
          <w:szCs w:val="24"/>
        </w:rPr>
        <w:t xml:space="preserve"> tiesas sēdēs. Faktiski ilgstoši strādā virsprokurore un 3</w:t>
      </w:r>
      <w:r w:rsidR="001145B3" w:rsidRPr="00577BF3">
        <w:rPr>
          <w:rFonts w:cs="Times New Roman"/>
          <w:szCs w:val="24"/>
        </w:rPr>
        <w:t> </w:t>
      </w:r>
      <w:r w:rsidRPr="00577BF3">
        <w:rPr>
          <w:rFonts w:cs="Times New Roman"/>
          <w:szCs w:val="24"/>
        </w:rPr>
        <w:t xml:space="preserve">prokurori, no kuriem visi trīs prokurori </w:t>
      </w:r>
      <w:r w:rsidR="00233291" w:rsidRPr="00577BF3">
        <w:rPr>
          <w:rFonts w:cs="Times New Roman"/>
          <w:szCs w:val="24"/>
        </w:rPr>
        <w:t xml:space="preserve">2020. gadā </w:t>
      </w:r>
      <w:r w:rsidRPr="00577BF3">
        <w:rPr>
          <w:rFonts w:cs="Times New Roman"/>
          <w:szCs w:val="24"/>
        </w:rPr>
        <w:t xml:space="preserve">pamatā bija saistīti ar valsts apsūdzības uzturēšanu pirmās </w:t>
      </w:r>
      <w:r w:rsidR="00285F26" w:rsidRPr="00577BF3">
        <w:rPr>
          <w:rFonts w:cs="Times New Roman"/>
          <w:szCs w:val="24"/>
        </w:rPr>
        <w:t xml:space="preserve">instances tiesā </w:t>
      </w:r>
      <w:r w:rsidRPr="00577BF3">
        <w:rPr>
          <w:rFonts w:cs="Times New Roman"/>
          <w:szCs w:val="24"/>
        </w:rPr>
        <w:t xml:space="preserve">un apelācijas instances tiesā, </w:t>
      </w:r>
      <w:r w:rsidR="00D93DFC" w:rsidRPr="00577BF3">
        <w:rPr>
          <w:rFonts w:cs="Times New Roman"/>
          <w:szCs w:val="24"/>
        </w:rPr>
        <w:t>tāpēc</w:t>
      </w:r>
      <w:r w:rsidRPr="00577BF3">
        <w:rPr>
          <w:rFonts w:cs="Times New Roman"/>
          <w:szCs w:val="24"/>
        </w:rPr>
        <w:t xml:space="preserve"> tikai iespēju robežās veica izmeklēšanas uzraudzības un kriminālvajāšanas funkcij</w:t>
      </w:r>
      <w:r w:rsidR="00D90342" w:rsidRPr="00577BF3">
        <w:rPr>
          <w:rFonts w:cs="Times New Roman"/>
          <w:szCs w:val="24"/>
        </w:rPr>
        <w:t>as</w:t>
      </w:r>
      <w:r w:rsidRPr="00577BF3">
        <w:rPr>
          <w:rFonts w:cs="Times New Roman"/>
          <w:szCs w:val="24"/>
        </w:rPr>
        <w:t>. Sakarā ar to virkne kriminālproces</w:t>
      </w:r>
      <w:r w:rsidR="00D90342" w:rsidRPr="00577BF3">
        <w:rPr>
          <w:rFonts w:cs="Times New Roman"/>
          <w:szCs w:val="24"/>
        </w:rPr>
        <w:t>u</w:t>
      </w:r>
      <w:r w:rsidRPr="00577BF3">
        <w:rPr>
          <w:rFonts w:cs="Times New Roman"/>
          <w:szCs w:val="24"/>
        </w:rPr>
        <w:t xml:space="preserve">, kuri bija piekritīgi apgabala līmeņa prokuratūrai, </w:t>
      </w:r>
      <w:r w:rsidR="007A65D4" w:rsidRPr="00577BF3">
        <w:rPr>
          <w:rFonts w:cs="Times New Roman"/>
          <w:szCs w:val="24"/>
        </w:rPr>
        <w:t xml:space="preserve">izmeklēšanas </w:t>
      </w:r>
      <w:r w:rsidRPr="00577BF3">
        <w:rPr>
          <w:rFonts w:cs="Times New Roman"/>
          <w:szCs w:val="24"/>
        </w:rPr>
        <w:t>uzraudzības organizēšanai tika nodoti rajona līmeņa prokuratūrām.</w:t>
      </w:r>
    </w:p>
    <w:p w14:paraId="5EDDEAE3" w14:textId="77777777" w:rsidR="00E26DE9" w:rsidRPr="00577BF3" w:rsidRDefault="00E26DE9" w:rsidP="00E26DE9">
      <w:pPr>
        <w:spacing w:after="0" w:line="240" w:lineRule="auto"/>
        <w:ind w:firstLine="720"/>
        <w:jc w:val="both"/>
        <w:rPr>
          <w:rFonts w:cs="Times New Roman"/>
          <w:szCs w:val="24"/>
        </w:rPr>
      </w:pPr>
    </w:p>
    <w:p w14:paraId="3B79CFBF" w14:textId="21AB12AB" w:rsidR="00E9389B" w:rsidRPr="00EC40AE" w:rsidRDefault="00E9389B" w:rsidP="00E329FC">
      <w:pPr>
        <w:pStyle w:val="ListParagraph"/>
        <w:numPr>
          <w:ilvl w:val="0"/>
          <w:numId w:val="17"/>
        </w:numPr>
        <w:spacing w:after="120"/>
        <w:ind w:left="714" w:hanging="357"/>
        <w:jc w:val="both"/>
        <w:rPr>
          <w:rFonts w:cs="Times New Roman"/>
          <w:b/>
          <w:szCs w:val="24"/>
        </w:rPr>
      </w:pPr>
      <w:r w:rsidRPr="00577BF3">
        <w:rPr>
          <w:rFonts w:cs="Times New Roman"/>
          <w:b/>
          <w:szCs w:val="24"/>
        </w:rPr>
        <w:t>Tiesai nodot</w:t>
      </w:r>
      <w:r w:rsidR="005B2340">
        <w:rPr>
          <w:rFonts w:cs="Times New Roman"/>
          <w:b/>
          <w:szCs w:val="24"/>
        </w:rPr>
        <w:t>a</w:t>
      </w:r>
      <w:r w:rsidR="00100695">
        <w:rPr>
          <w:rFonts w:cs="Times New Roman"/>
          <w:b/>
          <w:szCs w:val="24"/>
        </w:rPr>
        <w:t>s krimināllietas</w:t>
      </w:r>
      <w:r w:rsidRPr="00577BF3">
        <w:rPr>
          <w:rFonts w:cs="Times New Roman"/>
          <w:b/>
          <w:szCs w:val="24"/>
        </w:rPr>
        <w:t>, no t</w:t>
      </w:r>
      <w:r w:rsidR="00100695">
        <w:rPr>
          <w:rFonts w:cs="Times New Roman"/>
          <w:b/>
          <w:szCs w:val="24"/>
        </w:rPr>
        <w:t>ām</w:t>
      </w:r>
      <w:r w:rsidRPr="00577BF3">
        <w:rPr>
          <w:rFonts w:cs="Times New Roman"/>
          <w:b/>
          <w:szCs w:val="24"/>
        </w:rPr>
        <w:t xml:space="preserve"> vienošanās procesa kārtībā</w:t>
      </w:r>
    </w:p>
    <w:p w14:paraId="30489920" w14:textId="43D56282" w:rsidR="00E9389B" w:rsidRDefault="00E9389B" w:rsidP="00B646D7">
      <w:pPr>
        <w:spacing w:after="0"/>
        <w:jc w:val="center"/>
        <w:rPr>
          <w:rFonts w:cs="Times New Roman"/>
          <w:bCs/>
          <w:szCs w:val="24"/>
        </w:rPr>
      </w:pPr>
      <w:r w:rsidRPr="00577BF3">
        <w:rPr>
          <w:rFonts w:cs="Times New Roman"/>
          <w:noProof/>
        </w:rPr>
        <w:drawing>
          <wp:inline distT="0" distB="0" distL="0" distR="0" wp14:anchorId="7DE12BF0" wp14:editId="7558823A">
            <wp:extent cx="3968750" cy="2266950"/>
            <wp:effectExtent l="0" t="0" r="12700" b="0"/>
            <wp:docPr id="51" name="Char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DE88C08" w14:textId="77777777" w:rsidR="004F4B83" w:rsidRPr="00577BF3" w:rsidRDefault="004F4B83" w:rsidP="00661DF8">
      <w:pPr>
        <w:spacing w:after="0"/>
        <w:rPr>
          <w:rFonts w:cs="Times New Roman"/>
          <w:bCs/>
          <w:szCs w:val="24"/>
        </w:rPr>
      </w:pPr>
    </w:p>
    <w:p w14:paraId="2DF1F804" w14:textId="38FF903F" w:rsidR="006B2A28" w:rsidRDefault="00E9389B" w:rsidP="006B2A28">
      <w:pPr>
        <w:spacing w:after="0" w:line="240" w:lineRule="auto"/>
        <w:jc w:val="both"/>
        <w:rPr>
          <w:rFonts w:cs="Times New Roman"/>
          <w:bCs/>
          <w:szCs w:val="24"/>
        </w:rPr>
      </w:pPr>
      <w:r w:rsidRPr="00577BF3">
        <w:rPr>
          <w:rFonts w:cs="Times New Roman"/>
          <w:bCs/>
          <w:szCs w:val="24"/>
        </w:rPr>
        <w:tab/>
        <w:t xml:space="preserve">Kurzemes tiesas apgabala prokuratūrā panākta pozitīva tendence palielināt  vienošanās procesa piemērošanu. </w:t>
      </w:r>
      <w:r w:rsidR="000F6036" w:rsidRPr="00577BF3">
        <w:rPr>
          <w:rFonts w:cs="Times New Roman"/>
          <w:bCs/>
          <w:szCs w:val="24"/>
        </w:rPr>
        <w:t>29 %</w:t>
      </w:r>
      <w:r w:rsidR="000F6036">
        <w:rPr>
          <w:rFonts w:cs="Times New Roman"/>
          <w:bCs/>
          <w:szCs w:val="24"/>
        </w:rPr>
        <w:t xml:space="preserve"> </w:t>
      </w:r>
      <w:r w:rsidR="00BA71C5">
        <w:rPr>
          <w:rFonts w:cs="Times New Roman"/>
          <w:bCs/>
          <w:szCs w:val="24"/>
        </w:rPr>
        <w:t xml:space="preserve">no visām </w:t>
      </w:r>
      <w:r w:rsidR="008B5B81" w:rsidRPr="00577BF3">
        <w:rPr>
          <w:rFonts w:cs="Times New Roman"/>
          <w:bCs/>
          <w:szCs w:val="24"/>
        </w:rPr>
        <w:t>2020. gadā</w:t>
      </w:r>
      <w:r w:rsidR="008B5B81">
        <w:rPr>
          <w:rFonts w:cs="Times New Roman"/>
          <w:bCs/>
          <w:szCs w:val="24"/>
        </w:rPr>
        <w:t xml:space="preserve"> </w:t>
      </w:r>
      <w:r w:rsidR="00BA71C5">
        <w:rPr>
          <w:rFonts w:cs="Times New Roman"/>
          <w:bCs/>
          <w:szCs w:val="24"/>
        </w:rPr>
        <w:t>tiesai nodotajām krimināl</w:t>
      </w:r>
      <w:r w:rsidR="000F6036">
        <w:rPr>
          <w:rFonts w:cs="Times New Roman"/>
          <w:bCs/>
          <w:szCs w:val="24"/>
        </w:rPr>
        <w:t>liet</w:t>
      </w:r>
      <w:r w:rsidR="00BA71C5">
        <w:rPr>
          <w:rFonts w:cs="Times New Roman"/>
          <w:bCs/>
          <w:szCs w:val="24"/>
        </w:rPr>
        <w:t>ām</w:t>
      </w:r>
      <w:r w:rsidR="000F6036">
        <w:rPr>
          <w:rFonts w:cs="Times New Roman"/>
          <w:bCs/>
          <w:szCs w:val="24"/>
        </w:rPr>
        <w:t xml:space="preserve"> </w:t>
      </w:r>
      <w:r w:rsidR="000E4A62">
        <w:rPr>
          <w:rFonts w:cs="Times New Roman"/>
          <w:bCs/>
          <w:szCs w:val="24"/>
        </w:rPr>
        <w:t>pirmstiesas proces</w:t>
      </w:r>
      <w:r w:rsidR="00C84BC9">
        <w:rPr>
          <w:rFonts w:cs="Times New Roman"/>
          <w:bCs/>
          <w:szCs w:val="24"/>
        </w:rPr>
        <w:t xml:space="preserve">ā noslēgta vienošanās ar apsūdzēto par </w:t>
      </w:r>
      <w:r w:rsidR="008A5762">
        <w:rPr>
          <w:rFonts w:cs="Times New Roman"/>
          <w:bCs/>
          <w:szCs w:val="24"/>
        </w:rPr>
        <w:t>vainas atzīšanu un sodu.</w:t>
      </w:r>
    </w:p>
    <w:p w14:paraId="3F4D849F" w14:textId="77777777" w:rsidR="00304535" w:rsidRPr="00577BF3" w:rsidRDefault="00304535" w:rsidP="006B2A28">
      <w:pPr>
        <w:spacing w:after="0" w:line="240" w:lineRule="auto"/>
        <w:jc w:val="both"/>
        <w:rPr>
          <w:rFonts w:cs="Times New Roman"/>
          <w:bCs/>
          <w:szCs w:val="24"/>
        </w:rPr>
      </w:pPr>
    </w:p>
    <w:p w14:paraId="1ED3A0C7" w14:textId="5F4BF929" w:rsidR="00E9389B" w:rsidRPr="002D3A1F" w:rsidRDefault="00E9389B" w:rsidP="00E329FC">
      <w:pPr>
        <w:pStyle w:val="ListParagraph"/>
        <w:numPr>
          <w:ilvl w:val="0"/>
          <w:numId w:val="17"/>
        </w:numPr>
        <w:spacing w:after="120"/>
        <w:ind w:left="714" w:hanging="357"/>
        <w:jc w:val="both"/>
        <w:rPr>
          <w:rFonts w:cs="Times New Roman"/>
          <w:b/>
          <w:szCs w:val="24"/>
        </w:rPr>
      </w:pPr>
      <w:r w:rsidRPr="00577BF3">
        <w:rPr>
          <w:rFonts w:cs="Times New Roman"/>
          <w:b/>
          <w:szCs w:val="24"/>
        </w:rPr>
        <w:t>Prokuratūrā pabeigti kriminālprocesi</w:t>
      </w:r>
      <w:r w:rsidR="00555E57">
        <w:rPr>
          <w:rFonts w:cs="Times New Roman"/>
          <w:b/>
          <w:szCs w:val="24"/>
        </w:rPr>
        <w:t>, nenododot krimināllietu tiesai</w:t>
      </w:r>
    </w:p>
    <w:p w14:paraId="1BD6DA67" w14:textId="53C19A5E" w:rsidR="00E9389B" w:rsidRPr="00577BF3" w:rsidRDefault="00E9389B" w:rsidP="00A51208">
      <w:pPr>
        <w:spacing w:after="0"/>
        <w:jc w:val="center"/>
        <w:rPr>
          <w:rFonts w:cs="Times New Roman"/>
          <w:bCs/>
          <w:szCs w:val="24"/>
        </w:rPr>
      </w:pPr>
      <w:r w:rsidRPr="00577BF3">
        <w:rPr>
          <w:rFonts w:cs="Times New Roman"/>
          <w:noProof/>
        </w:rPr>
        <w:drawing>
          <wp:inline distT="0" distB="0" distL="0" distR="0" wp14:anchorId="425F915F" wp14:editId="3168550D">
            <wp:extent cx="3994150" cy="1752600"/>
            <wp:effectExtent l="0" t="0" r="6350" b="0"/>
            <wp:docPr id="50" name="Chart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A6137F0" w14:textId="77777777" w:rsidR="008563B1" w:rsidRPr="00577BF3" w:rsidRDefault="008563B1" w:rsidP="008563B1">
      <w:pPr>
        <w:spacing w:after="0"/>
        <w:jc w:val="center"/>
        <w:rPr>
          <w:rFonts w:cs="Times New Roman"/>
          <w:bCs/>
          <w:szCs w:val="24"/>
        </w:rPr>
      </w:pPr>
    </w:p>
    <w:p w14:paraId="0D7B1415" w14:textId="1B3F88D0" w:rsidR="00BC0DF6" w:rsidRPr="00577BF3" w:rsidRDefault="00E9389B" w:rsidP="006E1508">
      <w:pPr>
        <w:spacing w:after="100" w:afterAutospacing="1" w:line="240" w:lineRule="auto"/>
        <w:ind w:firstLine="720"/>
        <w:jc w:val="both"/>
        <w:rPr>
          <w:rFonts w:cs="Times New Roman"/>
          <w:bCs/>
          <w:szCs w:val="24"/>
        </w:rPr>
      </w:pPr>
      <w:r w:rsidRPr="00577BF3">
        <w:rPr>
          <w:rFonts w:cs="Times New Roman"/>
          <w:bCs/>
          <w:szCs w:val="24"/>
        </w:rPr>
        <w:t>Lai arī Kurzemes tiesas apgabala prokuratūrā kriminālvajāšanai saņemt</w:t>
      </w:r>
      <w:r w:rsidR="00DE7D58">
        <w:rPr>
          <w:rFonts w:cs="Times New Roman"/>
          <w:bCs/>
          <w:szCs w:val="24"/>
        </w:rPr>
        <w:t>ie</w:t>
      </w:r>
      <w:r w:rsidRPr="00577BF3">
        <w:rPr>
          <w:rFonts w:cs="Times New Roman"/>
          <w:bCs/>
          <w:szCs w:val="24"/>
        </w:rPr>
        <w:t xml:space="preserve"> krimināl</w:t>
      </w:r>
      <w:r w:rsidR="00DE7D58">
        <w:rPr>
          <w:rFonts w:cs="Times New Roman"/>
          <w:bCs/>
          <w:szCs w:val="24"/>
        </w:rPr>
        <w:t>procesi</w:t>
      </w:r>
      <w:r w:rsidRPr="00577BF3">
        <w:rPr>
          <w:rFonts w:cs="Times New Roman"/>
          <w:bCs/>
          <w:szCs w:val="24"/>
        </w:rPr>
        <w:t xml:space="preserve"> ir apjomīg</w:t>
      </w:r>
      <w:r w:rsidR="00546CF7">
        <w:rPr>
          <w:rFonts w:cs="Times New Roman"/>
          <w:bCs/>
          <w:szCs w:val="24"/>
        </w:rPr>
        <w:t>i</w:t>
      </w:r>
      <w:r w:rsidRPr="00577BF3">
        <w:rPr>
          <w:rFonts w:cs="Times New Roman"/>
          <w:bCs/>
          <w:szCs w:val="24"/>
        </w:rPr>
        <w:t xml:space="preserve"> un sarežģīt</w:t>
      </w:r>
      <w:r w:rsidR="00546CF7">
        <w:rPr>
          <w:rFonts w:cs="Times New Roman"/>
          <w:bCs/>
          <w:szCs w:val="24"/>
        </w:rPr>
        <w:t>i</w:t>
      </w:r>
      <w:r w:rsidRPr="00577BF3">
        <w:rPr>
          <w:rFonts w:cs="Times New Roman"/>
          <w:bCs/>
          <w:szCs w:val="24"/>
        </w:rPr>
        <w:t>, 3</w:t>
      </w:r>
      <w:r w:rsidR="008563B1" w:rsidRPr="00577BF3">
        <w:rPr>
          <w:rFonts w:cs="Times New Roman"/>
          <w:bCs/>
          <w:szCs w:val="24"/>
        </w:rPr>
        <w:t> </w:t>
      </w:r>
      <w:r w:rsidRPr="00577BF3">
        <w:rPr>
          <w:rFonts w:cs="Times New Roman"/>
          <w:bCs/>
          <w:szCs w:val="24"/>
        </w:rPr>
        <w:t>gadu periodā 20</w:t>
      </w:r>
      <w:r w:rsidR="008563B1" w:rsidRPr="00577BF3">
        <w:rPr>
          <w:rFonts w:cs="Times New Roman"/>
          <w:bCs/>
          <w:szCs w:val="24"/>
        </w:rPr>
        <w:t> </w:t>
      </w:r>
      <w:r w:rsidRPr="00577BF3">
        <w:rPr>
          <w:rFonts w:cs="Times New Roman"/>
          <w:bCs/>
          <w:szCs w:val="24"/>
        </w:rPr>
        <w:t xml:space="preserve">% no visiem </w:t>
      </w:r>
      <w:r w:rsidR="00412664" w:rsidRPr="00577BF3">
        <w:rPr>
          <w:rFonts w:cs="Times New Roman"/>
          <w:bCs/>
          <w:szCs w:val="24"/>
        </w:rPr>
        <w:t xml:space="preserve">prokuratūrā </w:t>
      </w:r>
      <w:r w:rsidRPr="00577BF3">
        <w:rPr>
          <w:rFonts w:cs="Times New Roman"/>
          <w:bCs/>
          <w:szCs w:val="24"/>
        </w:rPr>
        <w:t>pabeigtajiem kriminālprocesiem nav virzīti tiesai, bet panākts krimināltiesisko attiecību taisnīgs noregulējums prokuratūrā.</w:t>
      </w:r>
    </w:p>
    <w:p w14:paraId="65E9E2EA" w14:textId="4FA2494A" w:rsidR="003450C3" w:rsidRPr="00FA2055" w:rsidRDefault="00687A66" w:rsidP="00E329FC">
      <w:pPr>
        <w:pStyle w:val="ListParagraph"/>
        <w:numPr>
          <w:ilvl w:val="0"/>
          <w:numId w:val="17"/>
        </w:numPr>
        <w:spacing w:after="120"/>
        <w:ind w:left="714" w:hanging="357"/>
        <w:jc w:val="both"/>
        <w:rPr>
          <w:rFonts w:cs="Times New Roman"/>
          <w:b/>
          <w:szCs w:val="24"/>
        </w:rPr>
      </w:pPr>
      <w:r>
        <w:rPr>
          <w:rFonts w:cs="Times New Roman"/>
          <w:b/>
          <w:szCs w:val="24"/>
        </w:rPr>
        <w:t>P</w:t>
      </w:r>
      <w:r w:rsidR="00E9389B" w:rsidRPr="00577BF3">
        <w:rPr>
          <w:rFonts w:cs="Times New Roman"/>
          <w:b/>
          <w:szCs w:val="24"/>
        </w:rPr>
        <w:t>abeigt</w:t>
      </w:r>
      <w:r>
        <w:rPr>
          <w:rFonts w:cs="Times New Roman"/>
          <w:b/>
          <w:szCs w:val="24"/>
        </w:rPr>
        <w:t>i</w:t>
      </w:r>
      <w:r w:rsidR="00E9389B" w:rsidRPr="00577BF3">
        <w:rPr>
          <w:rFonts w:cs="Times New Roman"/>
          <w:b/>
          <w:szCs w:val="24"/>
        </w:rPr>
        <w:t xml:space="preserve"> </w:t>
      </w:r>
      <w:r w:rsidR="00363821">
        <w:rPr>
          <w:rFonts w:cs="Times New Roman"/>
          <w:b/>
          <w:szCs w:val="24"/>
        </w:rPr>
        <w:t>kriminālproces</w:t>
      </w:r>
      <w:r>
        <w:rPr>
          <w:rFonts w:cs="Times New Roman"/>
          <w:b/>
          <w:szCs w:val="24"/>
        </w:rPr>
        <w:t>i</w:t>
      </w:r>
      <w:r w:rsidR="0089253A">
        <w:rPr>
          <w:rFonts w:cs="Times New Roman"/>
          <w:b/>
          <w:szCs w:val="24"/>
        </w:rPr>
        <w:t xml:space="preserve"> par </w:t>
      </w:r>
      <w:r w:rsidR="00103DAD">
        <w:rPr>
          <w:rFonts w:cs="Times New Roman"/>
          <w:b/>
          <w:szCs w:val="24"/>
        </w:rPr>
        <w:t xml:space="preserve">atsevišķiem noziedzīgiem nodarījumiem </w:t>
      </w:r>
      <w:r w:rsidR="00E9389B" w:rsidRPr="00577BF3">
        <w:rPr>
          <w:rFonts w:cs="Times New Roman"/>
          <w:b/>
          <w:szCs w:val="24"/>
        </w:rPr>
        <w:t>(īpaši aktuāli</w:t>
      </w:r>
      <w:r w:rsidR="00077ECC">
        <w:rPr>
          <w:rFonts w:cs="Times New Roman"/>
          <w:b/>
          <w:szCs w:val="24"/>
        </w:rPr>
        <w:t xml:space="preserve"> pēc</w:t>
      </w:r>
      <w:r w:rsidR="00077ECC" w:rsidRPr="00077ECC">
        <w:rPr>
          <w:rFonts w:cs="Times New Roman"/>
          <w:b/>
          <w:szCs w:val="24"/>
        </w:rPr>
        <w:t xml:space="preserve"> </w:t>
      </w:r>
      <w:r w:rsidR="00077ECC" w:rsidRPr="00577BF3">
        <w:rPr>
          <w:rFonts w:cs="Times New Roman"/>
          <w:b/>
          <w:szCs w:val="24"/>
        </w:rPr>
        <w:t>apdraudējuma objekta</w:t>
      </w:r>
      <w:r w:rsidR="00E9389B" w:rsidRPr="00577BF3">
        <w:rPr>
          <w:rFonts w:cs="Times New Roman"/>
          <w:b/>
          <w:szCs w:val="24"/>
        </w:rPr>
        <w:t>)</w:t>
      </w:r>
    </w:p>
    <w:p w14:paraId="592FEF42" w14:textId="0E0CEC5E" w:rsidR="002C7AC6" w:rsidRDefault="00E0298E" w:rsidP="00A552E7">
      <w:pPr>
        <w:spacing w:after="0" w:line="240" w:lineRule="auto"/>
        <w:jc w:val="center"/>
        <w:rPr>
          <w:rFonts w:cs="Times New Roman"/>
          <w:b/>
          <w:szCs w:val="24"/>
        </w:rPr>
      </w:pPr>
      <w:r>
        <w:rPr>
          <w:noProof/>
        </w:rPr>
        <w:drawing>
          <wp:inline distT="0" distB="0" distL="0" distR="0" wp14:anchorId="58E38409" wp14:editId="70078351">
            <wp:extent cx="5340350" cy="2774950"/>
            <wp:effectExtent l="0" t="0" r="12700" b="6350"/>
            <wp:docPr id="107" name="Chart 107">
              <a:extLst xmlns:a="http://schemas.openxmlformats.org/drawingml/2006/main">
                <a:ext uri="{FF2B5EF4-FFF2-40B4-BE49-F238E27FC236}">
                  <a16:creationId xmlns:a16="http://schemas.microsoft.com/office/drawing/2014/main" id="{F6D9303F-8109-45D2-B754-0EEC7D1AE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C0CD96C" w14:textId="77777777" w:rsidR="00030E03" w:rsidRPr="00030E03" w:rsidRDefault="00030E03" w:rsidP="00030E03">
      <w:pPr>
        <w:spacing w:after="0" w:line="240" w:lineRule="auto"/>
        <w:ind w:firstLine="357"/>
        <w:rPr>
          <w:rFonts w:cs="Times New Roman"/>
          <w:b/>
          <w:szCs w:val="24"/>
        </w:rPr>
      </w:pPr>
    </w:p>
    <w:p w14:paraId="6724B856" w14:textId="428A27F6" w:rsidR="003969F1" w:rsidRPr="00577BF3" w:rsidRDefault="00E9389B" w:rsidP="002C7AC6">
      <w:pPr>
        <w:spacing w:after="0" w:line="240" w:lineRule="auto"/>
        <w:jc w:val="both"/>
        <w:rPr>
          <w:rFonts w:cs="Times New Roman"/>
          <w:bCs/>
          <w:szCs w:val="24"/>
        </w:rPr>
      </w:pPr>
      <w:r w:rsidRPr="00577BF3">
        <w:rPr>
          <w:rFonts w:cs="Times New Roman"/>
          <w:b/>
          <w:szCs w:val="24"/>
        </w:rPr>
        <w:tab/>
      </w:r>
      <w:r w:rsidR="00886680">
        <w:rPr>
          <w:rFonts w:cs="Times New Roman"/>
          <w:bCs/>
          <w:szCs w:val="24"/>
        </w:rPr>
        <w:t>P</w:t>
      </w:r>
      <w:r w:rsidR="00886680" w:rsidRPr="00577BF3">
        <w:rPr>
          <w:rFonts w:cs="Times New Roman"/>
          <w:bCs/>
          <w:szCs w:val="24"/>
        </w:rPr>
        <w:t xml:space="preserve">ēdējo 3 gadu periodā </w:t>
      </w:r>
      <w:r w:rsidR="00A75DEF">
        <w:rPr>
          <w:rFonts w:cs="Times New Roman"/>
          <w:bCs/>
          <w:szCs w:val="24"/>
        </w:rPr>
        <w:t xml:space="preserve">Kurzemes </w:t>
      </w:r>
      <w:r w:rsidR="006A5C2B">
        <w:rPr>
          <w:rFonts w:cs="Times New Roman"/>
          <w:bCs/>
          <w:szCs w:val="24"/>
        </w:rPr>
        <w:t>tiesas apgabalā</w:t>
      </w:r>
      <w:r w:rsidR="00A75DEF">
        <w:rPr>
          <w:rFonts w:cs="Times New Roman"/>
          <w:bCs/>
          <w:szCs w:val="24"/>
        </w:rPr>
        <w:t xml:space="preserve"> </w:t>
      </w:r>
      <w:r w:rsidR="00BA581C">
        <w:rPr>
          <w:rFonts w:cs="Times New Roman"/>
          <w:bCs/>
          <w:szCs w:val="24"/>
        </w:rPr>
        <w:t xml:space="preserve">vērojama nemainīga tendence, ka </w:t>
      </w:r>
      <w:r w:rsidR="003E30EB">
        <w:rPr>
          <w:rFonts w:cs="Times New Roman"/>
          <w:bCs/>
          <w:szCs w:val="24"/>
        </w:rPr>
        <w:t xml:space="preserve">saglabājas </w:t>
      </w:r>
      <w:r w:rsidR="00454518">
        <w:rPr>
          <w:rFonts w:cs="Times New Roman"/>
          <w:bCs/>
          <w:szCs w:val="24"/>
        </w:rPr>
        <w:t xml:space="preserve">izteikts </w:t>
      </w:r>
      <w:r w:rsidRPr="00577BF3">
        <w:rPr>
          <w:rFonts w:cs="Times New Roman"/>
          <w:bCs/>
          <w:szCs w:val="24"/>
        </w:rPr>
        <w:t>ar seksuālo vardarbību saistīt</w:t>
      </w:r>
      <w:r w:rsidR="00A46E4B" w:rsidRPr="00577BF3">
        <w:rPr>
          <w:rFonts w:cs="Times New Roman"/>
          <w:bCs/>
          <w:szCs w:val="24"/>
        </w:rPr>
        <w:t>u</w:t>
      </w:r>
      <w:r w:rsidRPr="00577BF3">
        <w:rPr>
          <w:rFonts w:cs="Times New Roman"/>
          <w:bCs/>
          <w:szCs w:val="24"/>
        </w:rPr>
        <w:t xml:space="preserve"> nozie</w:t>
      </w:r>
      <w:r w:rsidR="00A46E4B" w:rsidRPr="00577BF3">
        <w:rPr>
          <w:rFonts w:cs="Times New Roman"/>
          <w:bCs/>
          <w:szCs w:val="24"/>
        </w:rPr>
        <w:t>dzīgu nodarījumu</w:t>
      </w:r>
      <w:r w:rsidRPr="00577BF3">
        <w:rPr>
          <w:rFonts w:cs="Times New Roman"/>
          <w:bCs/>
          <w:szCs w:val="24"/>
        </w:rPr>
        <w:t xml:space="preserve"> skaita īpatsvars attiecībā pret citiem nozie</w:t>
      </w:r>
      <w:r w:rsidR="006B469D" w:rsidRPr="00577BF3">
        <w:rPr>
          <w:rFonts w:cs="Times New Roman"/>
          <w:bCs/>
          <w:szCs w:val="24"/>
        </w:rPr>
        <w:t>dzīg</w:t>
      </w:r>
      <w:r w:rsidR="00FC1F1E">
        <w:rPr>
          <w:rFonts w:cs="Times New Roman"/>
          <w:bCs/>
          <w:szCs w:val="24"/>
        </w:rPr>
        <w:t>a</w:t>
      </w:r>
      <w:r w:rsidR="006B469D" w:rsidRPr="00577BF3">
        <w:rPr>
          <w:rFonts w:cs="Times New Roman"/>
          <w:bCs/>
          <w:szCs w:val="24"/>
        </w:rPr>
        <w:t xml:space="preserve"> nodarījum</w:t>
      </w:r>
      <w:r w:rsidR="00FC1F1E">
        <w:rPr>
          <w:rFonts w:cs="Times New Roman"/>
          <w:bCs/>
          <w:szCs w:val="24"/>
        </w:rPr>
        <w:t>a</w:t>
      </w:r>
      <w:r w:rsidRPr="00577BF3">
        <w:rPr>
          <w:rFonts w:cs="Times New Roman"/>
          <w:bCs/>
          <w:szCs w:val="24"/>
        </w:rPr>
        <w:t xml:space="preserve"> veidiem</w:t>
      </w:r>
      <w:r w:rsidR="003540E1">
        <w:rPr>
          <w:rFonts w:cs="Times New Roman"/>
          <w:bCs/>
          <w:szCs w:val="24"/>
        </w:rPr>
        <w:t>.</w:t>
      </w:r>
      <w:r w:rsidR="00806630">
        <w:rPr>
          <w:rFonts w:cs="Times New Roman"/>
          <w:bCs/>
          <w:szCs w:val="24"/>
        </w:rPr>
        <w:t xml:space="preserve"> </w:t>
      </w:r>
      <w:r w:rsidRPr="00577BF3">
        <w:rPr>
          <w:rFonts w:cs="Times New Roman"/>
          <w:bCs/>
          <w:szCs w:val="24"/>
        </w:rPr>
        <w:t>Nozie</w:t>
      </w:r>
      <w:r w:rsidR="006B469D" w:rsidRPr="00577BF3">
        <w:rPr>
          <w:rFonts w:cs="Times New Roman"/>
          <w:bCs/>
          <w:szCs w:val="24"/>
        </w:rPr>
        <w:t>dzīgi nodarījumi</w:t>
      </w:r>
      <w:r w:rsidRPr="00577BF3">
        <w:rPr>
          <w:rFonts w:cs="Times New Roman"/>
          <w:bCs/>
          <w:szCs w:val="24"/>
        </w:rPr>
        <w:t xml:space="preserve"> pret tikumību un dzimumneaizskaramību veido 37</w:t>
      </w:r>
      <w:r w:rsidR="006B469D" w:rsidRPr="00577BF3">
        <w:rPr>
          <w:rFonts w:cs="Times New Roman"/>
          <w:bCs/>
          <w:szCs w:val="24"/>
        </w:rPr>
        <w:t> </w:t>
      </w:r>
      <w:r w:rsidRPr="00577BF3">
        <w:rPr>
          <w:rFonts w:cs="Times New Roman"/>
          <w:bCs/>
          <w:szCs w:val="24"/>
        </w:rPr>
        <w:t>% no visiem nozie</w:t>
      </w:r>
      <w:r w:rsidR="006B469D" w:rsidRPr="00577BF3">
        <w:rPr>
          <w:rFonts w:cs="Times New Roman"/>
          <w:bCs/>
          <w:szCs w:val="24"/>
        </w:rPr>
        <w:t>dzīgiem nodarījumiem</w:t>
      </w:r>
      <w:r w:rsidR="00A81171">
        <w:rPr>
          <w:rFonts w:cs="Times New Roman"/>
          <w:bCs/>
          <w:szCs w:val="24"/>
        </w:rPr>
        <w:t xml:space="preserve"> </w:t>
      </w:r>
      <w:r w:rsidRPr="00577BF3">
        <w:rPr>
          <w:rFonts w:cs="Times New Roman"/>
          <w:bCs/>
          <w:szCs w:val="24"/>
        </w:rPr>
        <w:t>pabeigtaj</w:t>
      </w:r>
      <w:r w:rsidR="000326F3">
        <w:rPr>
          <w:rFonts w:cs="Times New Roman"/>
          <w:bCs/>
          <w:szCs w:val="24"/>
        </w:rPr>
        <w:t xml:space="preserve">os </w:t>
      </w:r>
      <w:r w:rsidR="00536AAE">
        <w:rPr>
          <w:rFonts w:cs="Times New Roman"/>
          <w:bCs/>
          <w:szCs w:val="24"/>
        </w:rPr>
        <w:t xml:space="preserve">pirmstiesas </w:t>
      </w:r>
      <w:r w:rsidR="000326F3">
        <w:rPr>
          <w:rFonts w:cs="Times New Roman"/>
          <w:bCs/>
          <w:szCs w:val="24"/>
        </w:rPr>
        <w:t>kriminālprocesos</w:t>
      </w:r>
      <w:r w:rsidRPr="00577BF3">
        <w:rPr>
          <w:rFonts w:cs="Times New Roman"/>
          <w:bCs/>
          <w:szCs w:val="24"/>
        </w:rPr>
        <w:t xml:space="preserve">. </w:t>
      </w:r>
    </w:p>
    <w:p w14:paraId="32C2ED43" w14:textId="77777777" w:rsidR="00CC4C29" w:rsidRDefault="00E9389B" w:rsidP="00CC4C29">
      <w:pPr>
        <w:spacing w:after="0" w:line="240" w:lineRule="auto"/>
        <w:ind w:firstLine="720"/>
        <w:jc w:val="both"/>
        <w:rPr>
          <w:rFonts w:cs="Times New Roman"/>
          <w:color w:val="000000"/>
          <w:szCs w:val="24"/>
        </w:rPr>
      </w:pPr>
      <w:r w:rsidRPr="00577BF3">
        <w:rPr>
          <w:rFonts w:cs="Times New Roman"/>
        </w:rPr>
        <w:t>Jāatzīmē, ka 2020.</w:t>
      </w:r>
      <w:r w:rsidR="006B469D" w:rsidRPr="00577BF3">
        <w:rPr>
          <w:rFonts w:cs="Times New Roman"/>
        </w:rPr>
        <w:t> </w:t>
      </w:r>
      <w:r w:rsidRPr="00577BF3">
        <w:rPr>
          <w:rFonts w:cs="Times New Roman"/>
        </w:rPr>
        <w:t>gadā Kurzemes tiesas apgabala prokuratūr</w:t>
      </w:r>
      <w:r w:rsidR="00833D88" w:rsidRPr="00577BF3">
        <w:rPr>
          <w:rFonts w:cs="Times New Roman"/>
        </w:rPr>
        <w:t>as prokurori devuši piekrišanu</w:t>
      </w:r>
      <w:r w:rsidRPr="00577BF3">
        <w:rPr>
          <w:rFonts w:cs="Times New Roman"/>
        </w:rPr>
        <w:t xml:space="preserve"> </w:t>
      </w:r>
      <w:r w:rsidR="00585DF4" w:rsidRPr="00577BF3">
        <w:rPr>
          <w:rFonts w:cs="Times New Roman"/>
          <w:szCs w:val="24"/>
        </w:rPr>
        <w:t>izmeklētāj</w:t>
      </w:r>
      <w:r w:rsidR="000D1AA1" w:rsidRPr="00577BF3">
        <w:rPr>
          <w:rFonts w:cs="Times New Roman"/>
          <w:szCs w:val="24"/>
        </w:rPr>
        <w:t>ie</w:t>
      </w:r>
      <w:r w:rsidR="00585DF4" w:rsidRPr="00577BF3">
        <w:rPr>
          <w:rFonts w:cs="Times New Roman"/>
          <w:szCs w:val="24"/>
        </w:rPr>
        <w:t>m</w:t>
      </w:r>
      <w:r w:rsidR="00585DF4" w:rsidRPr="00577BF3">
        <w:rPr>
          <w:rFonts w:cs="Times New Roman"/>
        </w:rPr>
        <w:t xml:space="preserve"> </w:t>
      </w:r>
      <w:r w:rsidRPr="00577BF3">
        <w:rPr>
          <w:rFonts w:cs="Times New Roman"/>
        </w:rPr>
        <w:t>3</w:t>
      </w:r>
      <w:r w:rsidR="006B469D" w:rsidRPr="00577BF3">
        <w:rPr>
          <w:rFonts w:cs="Times New Roman"/>
          <w:szCs w:val="24"/>
        </w:rPr>
        <w:t> </w:t>
      </w:r>
      <w:r w:rsidRPr="00577BF3">
        <w:rPr>
          <w:rFonts w:cs="Times New Roman"/>
          <w:szCs w:val="24"/>
        </w:rPr>
        <w:t>kriminālprocesos Kriminālprocesa likuma 59.</w:t>
      </w:r>
      <w:r w:rsidR="006B469D" w:rsidRPr="00577BF3">
        <w:rPr>
          <w:rFonts w:cs="Times New Roman"/>
          <w:szCs w:val="24"/>
        </w:rPr>
        <w:t> </w:t>
      </w:r>
      <w:r w:rsidRPr="00577BF3">
        <w:rPr>
          <w:rFonts w:cs="Times New Roman"/>
          <w:szCs w:val="24"/>
        </w:rPr>
        <w:t xml:space="preserve">nodaļas kārtībā </w:t>
      </w:r>
      <w:r w:rsidR="0099369B" w:rsidRPr="00577BF3">
        <w:rPr>
          <w:rFonts w:cs="Times New Roman"/>
          <w:szCs w:val="24"/>
        </w:rPr>
        <w:t>uzsākt procesu</w:t>
      </w:r>
      <w:r w:rsidRPr="00577BF3">
        <w:rPr>
          <w:rFonts w:cs="Times New Roman"/>
          <w:szCs w:val="24"/>
        </w:rPr>
        <w:t xml:space="preserve"> par noziedzīgi iegūtu mantu</w:t>
      </w:r>
      <w:r w:rsidR="00F4096D" w:rsidRPr="00577BF3">
        <w:rPr>
          <w:rFonts w:cs="Times New Roman"/>
          <w:szCs w:val="24"/>
        </w:rPr>
        <w:t>. V</w:t>
      </w:r>
      <w:r w:rsidRPr="00577BF3">
        <w:rPr>
          <w:rFonts w:cs="Times New Roman"/>
          <w:szCs w:val="24"/>
        </w:rPr>
        <w:t xml:space="preserve">isos gadījumos tiesa </w:t>
      </w:r>
      <w:r w:rsidRPr="00577BF3">
        <w:rPr>
          <w:rFonts w:cs="Times New Roman"/>
          <w:color w:val="000000"/>
          <w:szCs w:val="24"/>
        </w:rPr>
        <w:t>pieņēma lēmumu arestētos finanšu līdz</w:t>
      </w:r>
      <w:r w:rsidR="00CC4C29">
        <w:rPr>
          <w:rFonts w:cs="Times New Roman"/>
          <w:color w:val="000000"/>
          <w:szCs w:val="24"/>
        </w:rPr>
        <w:t>e</w:t>
      </w:r>
      <w:r w:rsidRPr="00577BF3">
        <w:rPr>
          <w:rFonts w:cs="Times New Roman"/>
          <w:color w:val="000000"/>
          <w:szCs w:val="24"/>
        </w:rPr>
        <w:t>kļus atzīt par noziedzīgi iegūtu mantu</w:t>
      </w:r>
      <w:r w:rsidR="00CC4C29">
        <w:rPr>
          <w:rFonts w:cs="Times New Roman"/>
          <w:color w:val="000000"/>
          <w:szCs w:val="24"/>
        </w:rPr>
        <w:t>.</w:t>
      </w:r>
    </w:p>
    <w:p w14:paraId="46C2087A" w14:textId="1A1B72D9" w:rsidR="00CC4C29" w:rsidRDefault="00CC4C29" w:rsidP="00CC4C29">
      <w:pPr>
        <w:spacing w:after="0" w:line="240" w:lineRule="auto"/>
        <w:jc w:val="both"/>
        <w:rPr>
          <w:rFonts w:cs="Times New Roman"/>
          <w:color w:val="000000"/>
          <w:szCs w:val="24"/>
        </w:rPr>
      </w:pPr>
    </w:p>
    <w:p w14:paraId="0C46F733" w14:textId="356AF719" w:rsidR="00CC4C29" w:rsidRPr="00CC4C29" w:rsidRDefault="003630CA" w:rsidP="00E329FC">
      <w:pPr>
        <w:pStyle w:val="ListParagraph"/>
        <w:numPr>
          <w:ilvl w:val="0"/>
          <w:numId w:val="17"/>
        </w:numPr>
        <w:spacing w:after="120" w:line="240" w:lineRule="auto"/>
        <w:ind w:left="714" w:hanging="357"/>
        <w:jc w:val="both"/>
        <w:rPr>
          <w:rFonts w:cs="Times New Roman"/>
          <w:b/>
          <w:szCs w:val="24"/>
        </w:rPr>
      </w:pPr>
      <w:r w:rsidRPr="00CC4C29">
        <w:rPr>
          <w:rFonts w:cs="Times New Roman"/>
          <w:b/>
          <w:szCs w:val="24"/>
        </w:rPr>
        <w:lastRenderedPageBreak/>
        <w:t>Prokuroru u</w:t>
      </w:r>
      <w:r w:rsidR="00E9389B" w:rsidRPr="00CC4C29">
        <w:rPr>
          <w:rFonts w:cs="Times New Roman"/>
          <w:b/>
          <w:szCs w:val="24"/>
        </w:rPr>
        <w:t>zraudzībā pieņemti kriminālprocesi</w:t>
      </w:r>
    </w:p>
    <w:p w14:paraId="665A47A3" w14:textId="5898226C" w:rsidR="008530D0" w:rsidRDefault="00E9389B" w:rsidP="00B11A53">
      <w:pPr>
        <w:spacing w:after="0" w:line="240" w:lineRule="auto"/>
        <w:jc w:val="center"/>
        <w:rPr>
          <w:rFonts w:cs="Times New Roman"/>
          <w:color w:val="000000"/>
          <w:szCs w:val="24"/>
        </w:rPr>
      </w:pPr>
      <w:r w:rsidRPr="00577BF3">
        <w:rPr>
          <w:noProof/>
        </w:rPr>
        <w:drawing>
          <wp:inline distT="0" distB="0" distL="0" distR="0" wp14:anchorId="5117BEB7" wp14:editId="4923792F">
            <wp:extent cx="3981450" cy="1593850"/>
            <wp:effectExtent l="0" t="0" r="0" b="10795"/>
            <wp:docPr id="48" name="Char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F6D7F2B" w14:textId="77777777" w:rsidR="00B11A53" w:rsidRPr="00CC4C29" w:rsidRDefault="00B11A53" w:rsidP="00B11A53">
      <w:pPr>
        <w:spacing w:after="0" w:line="240" w:lineRule="auto"/>
        <w:ind w:firstLine="720"/>
        <w:jc w:val="center"/>
        <w:rPr>
          <w:rFonts w:cs="Times New Roman"/>
          <w:color w:val="000000"/>
          <w:szCs w:val="24"/>
        </w:rPr>
      </w:pPr>
    </w:p>
    <w:p w14:paraId="1C22DC25" w14:textId="4F5CAA41" w:rsidR="00ED7D3E" w:rsidRDefault="00E9389B" w:rsidP="00256F87">
      <w:pPr>
        <w:spacing w:after="0" w:line="240" w:lineRule="auto"/>
        <w:jc w:val="both"/>
        <w:rPr>
          <w:rFonts w:cs="Times New Roman"/>
          <w:bCs/>
          <w:szCs w:val="24"/>
        </w:rPr>
      </w:pPr>
      <w:r w:rsidRPr="00577BF3">
        <w:rPr>
          <w:rFonts w:cs="Times New Roman"/>
          <w:bCs/>
          <w:szCs w:val="24"/>
        </w:rPr>
        <w:tab/>
        <w:t xml:space="preserve">Kā jau tas norādīts iepriekš, </w:t>
      </w:r>
      <w:r w:rsidR="005F3B56">
        <w:rPr>
          <w:rFonts w:cs="Times New Roman"/>
          <w:bCs/>
          <w:szCs w:val="24"/>
        </w:rPr>
        <w:t xml:space="preserve">Kurzemes tiesas apgabala prokuratūras </w:t>
      </w:r>
      <w:r w:rsidRPr="00577BF3">
        <w:rPr>
          <w:rFonts w:cs="Times New Roman"/>
          <w:bCs/>
          <w:szCs w:val="24"/>
        </w:rPr>
        <w:t xml:space="preserve">prokuroru uzraudzībā pieņemto kriminālprocesu skaits ir atkarīgs no slodzes apjoma. </w:t>
      </w:r>
      <w:r w:rsidR="00256F87" w:rsidRPr="00577BF3">
        <w:rPr>
          <w:rFonts w:cs="Times New Roman"/>
          <w:bCs/>
          <w:szCs w:val="24"/>
        </w:rPr>
        <w:t xml:space="preserve">Uz </w:t>
      </w:r>
      <w:r w:rsidRPr="00577BF3">
        <w:rPr>
          <w:rFonts w:cs="Times New Roman"/>
          <w:bCs/>
          <w:szCs w:val="24"/>
        </w:rPr>
        <w:t>2021.</w:t>
      </w:r>
      <w:r w:rsidR="003C6F60">
        <w:rPr>
          <w:rFonts w:cs="Times New Roman"/>
          <w:bCs/>
          <w:szCs w:val="24"/>
        </w:rPr>
        <w:t> </w:t>
      </w:r>
      <w:r w:rsidR="007755AC" w:rsidRPr="00577BF3">
        <w:rPr>
          <w:rFonts w:cs="Times New Roman"/>
          <w:bCs/>
          <w:szCs w:val="24"/>
        </w:rPr>
        <w:t>gada</w:t>
      </w:r>
      <w:r w:rsidR="00256F87" w:rsidRPr="00577BF3">
        <w:rPr>
          <w:rFonts w:cs="Times New Roman"/>
          <w:bCs/>
          <w:szCs w:val="24"/>
        </w:rPr>
        <w:t xml:space="preserve"> 1.</w:t>
      </w:r>
      <w:r w:rsidR="00DA4701">
        <w:rPr>
          <w:rFonts w:cs="Times New Roman"/>
          <w:bCs/>
          <w:szCs w:val="24"/>
        </w:rPr>
        <w:t> </w:t>
      </w:r>
      <w:r w:rsidR="00256F87" w:rsidRPr="00577BF3">
        <w:rPr>
          <w:rFonts w:cs="Times New Roman"/>
          <w:bCs/>
          <w:szCs w:val="24"/>
        </w:rPr>
        <w:t>janvāri</w:t>
      </w:r>
      <w:r w:rsidRPr="00577BF3">
        <w:rPr>
          <w:rFonts w:cs="Times New Roman"/>
          <w:bCs/>
          <w:szCs w:val="24"/>
        </w:rPr>
        <w:t xml:space="preserve"> katra prokurora uzraudzībā atradās vidēji 16</w:t>
      </w:r>
      <w:r w:rsidR="00BD4A11" w:rsidRPr="00577BF3">
        <w:rPr>
          <w:rFonts w:cs="Times New Roman"/>
          <w:bCs/>
          <w:szCs w:val="24"/>
        </w:rPr>
        <w:t> </w:t>
      </w:r>
      <w:r w:rsidRPr="00577BF3">
        <w:rPr>
          <w:rFonts w:cs="Times New Roman"/>
          <w:bCs/>
          <w:szCs w:val="24"/>
        </w:rPr>
        <w:t xml:space="preserve">kriminālprocesi, no kuriem visi ir vērtējami kā apjomīgi un sarežģīti. </w:t>
      </w:r>
    </w:p>
    <w:p w14:paraId="13A5796D" w14:textId="77777777" w:rsidR="00ED7D3E" w:rsidRPr="00577BF3" w:rsidRDefault="00ED7D3E" w:rsidP="00256F87">
      <w:pPr>
        <w:spacing w:after="0" w:line="240" w:lineRule="auto"/>
        <w:jc w:val="both"/>
        <w:rPr>
          <w:rFonts w:cs="Times New Roman"/>
          <w:bCs/>
          <w:szCs w:val="24"/>
        </w:rPr>
      </w:pPr>
    </w:p>
    <w:p w14:paraId="6D112CF8" w14:textId="62FBDF14" w:rsidR="00F7653A" w:rsidRPr="005E1BAD" w:rsidRDefault="00E9389B" w:rsidP="00E329FC">
      <w:pPr>
        <w:pStyle w:val="ListParagraph"/>
        <w:numPr>
          <w:ilvl w:val="0"/>
          <w:numId w:val="17"/>
        </w:numPr>
        <w:spacing w:after="120"/>
        <w:ind w:left="714" w:hanging="357"/>
        <w:jc w:val="both"/>
        <w:rPr>
          <w:rFonts w:cs="Times New Roman"/>
          <w:b/>
          <w:szCs w:val="24"/>
        </w:rPr>
      </w:pPr>
      <w:r w:rsidRPr="00577BF3">
        <w:rPr>
          <w:rFonts w:cs="Times New Roman"/>
          <w:b/>
          <w:szCs w:val="24"/>
        </w:rPr>
        <w:t>Prokuroru dotie norādījumi</w:t>
      </w:r>
    </w:p>
    <w:p w14:paraId="3AA81469" w14:textId="1A642374" w:rsidR="00E9389B" w:rsidRPr="00577BF3" w:rsidRDefault="00E9389B" w:rsidP="007079EF">
      <w:pPr>
        <w:spacing w:after="0"/>
        <w:jc w:val="center"/>
        <w:rPr>
          <w:rFonts w:cs="Times New Roman"/>
          <w:bCs/>
          <w:szCs w:val="24"/>
        </w:rPr>
      </w:pPr>
      <w:r w:rsidRPr="00577BF3">
        <w:rPr>
          <w:rFonts w:cs="Times New Roman"/>
          <w:noProof/>
        </w:rPr>
        <w:drawing>
          <wp:inline distT="0" distB="0" distL="0" distR="0" wp14:anchorId="16FC4DF9" wp14:editId="38D2F729">
            <wp:extent cx="3981450" cy="1593850"/>
            <wp:effectExtent l="0" t="0" r="0" b="6350"/>
            <wp:docPr id="47" name="Chart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DB32260" w14:textId="77777777" w:rsidR="00256F87" w:rsidRPr="00577BF3" w:rsidRDefault="00256F87" w:rsidP="00256F87">
      <w:pPr>
        <w:spacing w:after="0"/>
        <w:jc w:val="center"/>
        <w:rPr>
          <w:rFonts w:cs="Times New Roman"/>
          <w:bCs/>
          <w:szCs w:val="24"/>
        </w:rPr>
      </w:pPr>
    </w:p>
    <w:p w14:paraId="4A590F42" w14:textId="2B5DF991" w:rsidR="006E1508" w:rsidRDefault="00AD7E31" w:rsidP="003F65C4">
      <w:pPr>
        <w:spacing w:after="0" w:line="240" w:lineRule="auto"/>
        <w:ind w:firstLine="720"/>
        <w:jc w:val="both"/>
        <w:rPr>
          <w:rFonts w:cs="Times New Roman"/>
          <w:bCs/>
          <w:szCs w:val="24"/>
        </w:rPr>
      </w:pPr>
      <w:r>
        <w:rPr>
          <w:rFonts w:cs="Times New Roman"/>
          <w:bCs/>
          <w:szCs w:val="24"/>
        </w:rPr>
        <w:t>Kurzemes tiesas apgabala prokuratūras p</w:t>
      </w:r>
      <w:r w:rsidR="00E9389B" w:rsidRPr="00577BF3">
        <w:rPr>
          <w:rFonts w:cs="Times New Roman"/>
          <w:bCs/>
          <w:szCs w:val="24"/>
        </w:rPr>
        <w:t>rokuroru doto norādījumu skaits ik gadu palielinās. Tas raksturo nepieciešamību pēc prokurora iesaistes izmeklēšanas norisē. Prokuroru dotie norādījumi pozitīvi ietekmē izmeklēšanas kvalitāti un veicina kriminālprocesu virzību.</w:t>
      </w:r>
    </w:p>
    <w:p w14:paraId="1251A538" w14:textId="77777777" w:rsidR="006C613A" w:rsidRPr="00577BF3" w:rsidRDefault="006C613A" w:rsidP="00973F92">
      <w:pPr>
        <w:spacing w:after="0" w:line="240" w:lineRule="auto"/>
        <w:jc w:val="both"/>
        <w:rPr>
          <w:rFonts w:cs="Times New Roman"/>
          <w:bCs/>
          <w:szCs w:val="24"/>
        </w:rPr>
      </w:pPr>
    </w:p>
    <w:p w14:paraId="357DDA8E" w14:textId="52687744" w:rsidR="00E9389B" w:rsidRPr="005E1BAD" w:rsidRDefault="00E9389B" w:rsidP="00E329FC">
      <w:pPr>
        <w:pStyle w:val="ListParagraph"/>
        <w:numPr>
          <w:ilvl w:val="0"/>
          <w:numId w:val="17"/>
        </w:numPr>
        <w:spacing w:after="120" w:line="240" w:lineRule="auto"/>
        <w:ind w:left="714" w:hanging="357"/>
        <w:jc w:val="both"/>
        <w:rPr>
          <w:rFonts w:cs="Times New Roman"/>
          <w:b/>
          <w:szCs w:val="24"/>
        </w:rPr>
      </w:pPr>
      <w:r w:rsidRPr="00577BF3">
        <w:rPr>
          <w:rFonts w:cs="Times New Roman"/>
          <w:b/>
          <w:szCs w:val="24"/>
        </w:rPr>
        <w:t xml:space="preserve">Valsts apsūdzības uzturēšana </w:t>
      </w:r>
      <w:r w:rsidR="00A50FD1" w:rsidRPr="00577BF3">
        <w:rPr>
          <w:rFonts w:cs="Times New Roman"/>
          <w:b/>
          <w:szCs w:val="24"/>
        </w:rPr>
        <w:t xml:space="preserve">pirmās </w:t>
      </w:r>
      <w:r w:rsidRPr="00577BF3">
        <w:rPr>
          <w:rFonts w:cs="Times New Roman"/>
          <w:b/>
          <w:szCs w:val="24"/>
        </w:rPr>
        <w:t xml:space="preserve">instances tiesā (izskatītas </w:t>
      </w:r>
      <w:r w:rsidR="006A5C2B">
        <w:rPr>
          <w:rFonts w:cs="Times New Roman"/>
          <w:b/>
          <w:szCs w:val="24"/>
        </w:rPr>
        <w:t>krimināl</w:t>
      </w:r>
      <w:r w:rsidRPr="00577BF3">
        <w:rPr>
          <w:rFonts w:cs="Times New Roman"/>
          <w:b/>
          <w:szCs w:val="24"/>
        </w:rPr>
        <w:t>lietas), no tām ar</w:t>
      </w:r>
      <w:r w:rsidR="00F56CC7" w:rsidRPr="00577BF3">
        <w:rPr>
          <w:rFonts w:cs="Times New Roman"/>
          <w:b/>
          <w:szCs w:val="24"/>
        </w:rPr>
        <w:t xml:space="preserve"> </w:t>
      </w:r>
      <w:r w:rsidRPr="00577BF3">
        <w:rPr>
          <w:rFonts w:cs="Times New Roman"/>
          <w:b/>
          <w:szCs w:val="24"/>
        </w:rPr>
        <w:t>pierādījumu pārbaudi</w:t>
      </w:r>
    </w:p>
    <w:p w14:paraId="38363F7F" w14:textId="21932DCA" w:rsidR="00E9389B" w:rsidRPr="00577BF3" w:rsidRDefault="00E9389B" w:rsidP="00F87EE0">
      <w:pPr>
        <w:spacing w:after="0"/>
        <w:jc w:val="center"/>
        <w:rPr>
          <w:rFonts w:cs="Times New Roman"/>
          <w:b/>
          <w:szCs w:val="24"/>
        </w:rPr>
      </w:pPr>
      <w:r w:rsidRPr="00577BF3">
        <w:rPr>
          <w:rFonts w:cs="Times New Roman"/>
          <w:noProof/>
        </w:rPr>
        <w:drawing>
          <wp:inline distT="0" distB="0" distL="0" distR="0" wp14:anchorId="6847F49D" wp14:editId="2195443A">
            <wp:extent cx="3981450" cy="1739900"/>
            <wp:effectExtent l="0" t="0" r="0" b="12700"/>
            <wp:docPr id="46"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42EB0AC" w14:textId="77777777" w:rsidR="00E9389B" w:rsidRPr="00577BF3" w:rsidRDefault="00E9389B" w:rsidP="00BF3856">
      <w:pPr>
        <w:spacing w:after="0"/>
        <w:jc w:val="both"/>
        <w:rPr>
          <w:rFonts w:cs="Times New Roman"/>
          <w:b/>
          <w:szCs w:val="24"/>
        </w:rPr>
      </w:pPr>
    </w:p>
    <w:p w14:paraId="19342211" w14:textId="304DA72D" w:rsidR="00973F92" w:rsidRDefault="00511DDB" w:rsidP="006E1508">
      <w:pPr>
        <w:spacing w:after="0" w:line="240" w:lineRule="auto"/>
        <w:ind w:firstLine="720"/>
        <w:jc w:val="both"/>
        <w:rPr>
          <w:rFonts w:cs="Times New Roman"/>
          <w:bCs/>
          <w:szCs w:val="24"/>
        </w:rPr>
      </w:pPr>
      <w:r>
        <w:rPr>
          <w:rFonts w:cs="Times New Roman"/>
          <w:bCs/>
          <w:szCs w:val="24"/>
        </w:rPr>
        <w:t>P</w:t>
      </w:r>
      <w:r w:rsidR="00CE158D" w:rsidRPr="00577BF3">
        <w:rPr>
          <w:rFonts w:cs="Times New Roman"/>
          <w:bCs/>
          <w:szCs w:val="24"/>
        </w:rPr>
        <w:t xml:space="preserve">irmās </w:t>
      </w:r>
      <w:r w:rsidR="00E9389B" w:rsidRPr="00577BF3">
        <w:rPr>
          <w:rFonts w:cs="Times New Roman"/>
          <w:bCs/>
          <w:szCs w:val="24"/>
        </w:rPr>
        <w:t xml:space="preserve">instances tiesā </w:t>
      </w:r>
      <w:r w:rsidR="003F4119">
        <w:rPr>
          <w:rFonts w:cs="Times New Roman"/>
          <w:bCs/>
          <w:szCs w:val="24"/>
        </w:rPr>
        <w:t xml:space="preserve">2020. gadā </w:t>
      </w:r>
      <w:r w:rsidR="00E9389B" w:rsidRPr="00577BF3">
        <w:rPr>
          <w:rFonts w:cs="Times New Roman"/>
          <w:bCs/>
          <w:szCs w:val="24"/>
        </w:rPr>
        <w:t>iztiesāto krimināllietu</w:t>
      </w:r>
      <w:r w:rsidR="00A07469">
        <w:rPr>
          <w:rFonts w:cs="Times New Roman"/>
          <w:bCs/>
          <w:szCs w:val="24"/>
        </w:rPr>
        <w:t>, kuras tiesai nodevuši Kurzemes tiesas apgabala prokuratūras prokur</w:t>
      </w:r>
      <w:r w:rsidR="00DD5924">
        <w:rPr>
          <w:rFonts w:cs="Times New Roman"/>
          <w:bCs/>
          <w:szCs w:val="24"/>
        </w:rPr>
        <w:t>ori,</w:t>
      </w:r>
      <w:r w:rsidR="00E9389B" w:rsidRPr="00577BF3">
        <w:rPr>
          <w:rFonts w:cs="Times New Roman"/>
          <w:bCs/>
          <w:szCs w:val="24"/>
        </w:rPr>
        <w:t xml:space="preserve"> skait</w:t>
      </w:r>
      <w:r>
        <w:rPr>
          <w:rFonts w:cs="Times New Roman"/>
          <w:bCs/>
          <w:szCs w:val="24"/>
        </w:rPr>
        <w:t xml:space="preserve">s </w:t>
      </w:r>
      <w:r w:rsidR="003F4119">
        <w:rPr>
          <w:rFonts w:cs="Times New Roman"/>
          <w:bCs/>
          <w:szCs w:val="24"/>
        </w:rPr>
        <w:t>salīdzinājumā ar 2019. gadu</w:t>
      </w:r>
      <w:r w:rsidR="002A7C36">
        <w:rPr>
          <w:rFonts w:cs="Times New Roman"/>
          <w:bCs/>
          <w:szCs w:val="24"/>
        </w:rPr>
        <w:t xml:space="preserve"> nedaudz </w:t>
      </w:r>
      <w:r>
        <w:rPr>
          <w:rFonts w:cs="Times New Roman"/>
          <w:bCs/>
          <w:szCs w:val="24"/>
        </w:rPr>
        <w:t>samazinājies</w:t>
      </w:r>
      <w:r w:rsidR="00222DF3">
        <w:rPr>
          <w:rFonts w:cs="Times New Roman"/>
          <w:bCs/>
          <w:szCs w:val="24"/>
        </w:rPr>
        <w:t>, kas savukārt palielin</w:t>
      </w:r>
      <w:r w:rsidR="00AE18C1">
        <w:rPr>
          <w:rFonts w:cs="Times New Roman"/>
          <w:bCs/>
          <w:szCs w:val="24"/>
        </w:rPr>
        <w:t>a i</w:t>
      </w:r>
      <w:r w:rsidR="00E9389B" w:rsidRPr="00577BF3">
        <w:rPr>
          <w:rFonts w:cs="Times New Roman"/>
          <w:bCs/>
          <w:szCs w:val="24"/>
        </w:rPr>
        <w:t xml:space="preserve">ztiesāšanā esošo </w:t>
      </w:r>
      <w:r w:rsidR="00034C36">
        <w:rPr>
          <w:rFonts w:cs="Times New Roman"/>
          <w:bCs/>
          <w:szCs w:val="24"/>
        </w:rPr>
        <w:t>krimināl</w:t>
      </w:r>
      <w:r w:rsidR="00E9389B" w:rsidRPr="00577BF3">
        <w:rPr>
          <w:rFonts w:cs="Times New Roman"/>
          <w:bCs/>
          <w:szCs w:val="24"/>
        </w:rPr>
        <w:t>lietu uzkrājum</w:t>
      </w:r>
      <w:r w:rsidR="00AE18C1">
        <w:rPr>
          <w:rFonts w:cs="Times New Roman"/>
          <w:bCs/>
          <w:szCs w:val="24"/>
        </w:rPr>
        <w:t>u</w:t>
      </w:r>
      <w:r w:rsidR="00E9389B" w:rsidRPr="00577BF3">
        <w:rPr>
          <w:rFonts w:cs="Times New Roman"/>
          <w:bCs/>
          <w:szCs w:val="24"/>
        </w:rPr>
        <w:t xml:space="preserve">. Valsts apsūdzības uzturēšana </w:t>
      </w:r>
      <w:r w:rsidR="00CE158D" w:rsidRPr="00577BF3">
        <w:rPr>
          <w:rFonts w:cs="Times New Roman"/>
          <w:bCs/>
          <w:szCs w:val="24"/>
        </w:rPr>
        <w:t xml:space="preserve">pirmās </w:t>
      </w:r>
      <w:r w:rsidR="00E9389B" w:rsidRPr="00577BF3">
        <w:rPr>
          <w:rFonts w:cs="Times New Roman"/>
          <w:bCs/>
          <w:szCs w:val="24"/>
        </w:rPr>
        <w:t>instances tiesā prasa lielu prokurora darba laika resursu</w:t>
      </w:r>
      <w:r w:rsidR="00072DDC">
        <w:rPr>
          <w:rFonts w:cs="Times New Roman"/>
          <w:bCs/>
          <w:szCs w:val="24"/>
        </w:rPr>
        <w:t>, tāpēc s</w:t>
      </w:r>
      <w:r w:rsidR="00E9389B" w:rsidRPr="00577BF3">
        <w:rPr>
          <w:rFonts w:cs="Times New Roman"/>
          <w:bCs/>
          <w:szCs w:val="24"/>
        </w:rPr>
        <w:t xml:space="preserve">adarbībā ar tiesnešiem jāmeklē risinājums iztiesāšanas procesa efektīvākai norisei. </w:t>
      </w:r>
    </w:p>
    <w:p w14:paraId="146DB3E4" w14:textId="77777777" w:rsidR="003B5F7C" w:rsidRPr="006E1508" w:rsidRDefault="003B5F7C" w:rsidP="006E1508">
      <w:pPr>
        <w:spacing w:after="0" w:line="240" w:lineRule="auto"/>
        <w:ind w:firstLine="720"/>
        <w:jc w:val="both"/>
        <w:rPr>
          <w:rFonts w:cs="Times New Roman"/>
          <w:bCs/>
          <w:szCs w:val="24"/>
        </w:rPr>
      </w:pPr>
    </w:p>
    <w:p w14:paraId="6A6E06DD" w14:textId="43D1D250" w:rsidR="003B5F7C" w:rsidRDefault="00E9389B" w:rsidP="00E329FC">
      <w:pPr>
        <w:pStyle w:val="ListParagraph"/>
        <w:numPr>
          <w:ilvl w:val="0"/>
          <w:numId w:val="17"/>
        </w:numPr>
        <w:spacing w:after="120" w:line="240" w:lineRule="auto"/>
        <w:ind w:left="714" w:hanging="357"/>
        <w:contextualSpacing w:val="0"/>
        <w:jc w:val="both"/>
        <w:rPr>
          <w:rFonts w:cs="Times New Roman"/>
          <w:b/>
          <w:szCs w:val="24"/>
        </w:rPr>
      </w:pPr>
      <w:r w:rsidRPr="00577BF3">
        <w:rPr>
          <w:rFonts w:cs="Times New Roman"/>
          <w:b/>
          <w:szCs w:val="24"/>
        </w:rPr>
        <w:lastRenderedPageBreak/>
        <w:t xml:space="preserve">Valsts apsūdzības uzturēšana apelācijas instances tiesā (izskatītas </w:t>
      </w:r>
      <w:r w:rsidR="006A5C2B">
        <w:rPr>
          <w:rFonts w:cs="Times New Roman"/>
          <w:b/>
          <w:szCs w:val="24"/>
        </w:rPr>
        <w:t>krimināl</w:t>
      </w:r>
      <w:r w:rsidRPr="00577BF3">
        <w:rPr>
          <w:rFonts w:cs="Times New Roman"/>
          <w:b/>
          <w:szCs w:val="24"/>
        </w:rPr>
        <w:t>lietas), no tām</w:t>
      </w:r>
      <w:r w:rsidR="00F56CC7" w:rsidRPr="00577BF3">
        <w:rPr>
          <w:rFonts w:cs="Times New Roman"/>
          <w:b/>
          <w:szCs w:val="24"/>
        </w:rPr>
        <w:t xml:space="preserve"> </w:t>
      </w:r>
      <w:r w:rsidRPr="00577BF3">
        <w:rPr>
          <w:rFonts w:cs="Times New Roman"/>
          <w:b/>
          <w:szCs w:val="24"/>
        </w:rPr>
        <w:t>mutvārdu/rakstveida procesā</w:t>
      </w:r>
    </w:p>
    <w:p w14:paraId="688FE770" w14:textId="1CC571C0" w:rsidR="006A5C2B" w:rsidRDefault="00E9389B" w:rsidP="00AA3067">
      <w:pPr>
        <w:pStyle w:val="ListParagraph"/>
        <w:spacing w:after="0" w:line="240" w:lineRule="auto"/>
        <w:ind w:left="0"/>
        <w:jc w:val="center"/>
        <w:rPr>
          <w:rFonts w:cs="Times New Roman"/>
          <w:b/>
          <w:szCs w:val="24"/>
        </w:rPr>
      </w:pPr>
      <w:r w:rsidRPr="00577BF3">
        <w:rPr>
          <w:noProof/>
        </w:rPr>
        <w:drawing>
          <wp:inline distT="0" distB="0" distL="0" distR="0" wp14:anchorId="2B801CDA" wp14:editId="67BFDA2A">
            <wp:extent cx="3981450" cy="1758950"/>
            <wp:effectExtent l="0" t="0" r="0" b="12700"/>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DA98194" w14:textId="77777777" w:rsidR="00AA3067" w:rsidRPr="008530D0" w:rsidRDefault="00AA3067" w:rsidP="00B11A53">
      <w:pPr>
        <w:pStyle w:val="ListParagraph"/>
        <w:spacing w:after="0" w:line="240" w:lineRule="auto"/>
        <w:jc w:val="center"/>
        <w:rPr>
          <w:rFonts w:cs="Times New Roman"/>
          <w:b/>
          <w:szCs w:val="24"/>
        </w:rPr>
      </w:pPr>
    </w:p>
    <w:p w14:paraId="089724B9" w14:textId="336FB667" w:rsidR="006E1508" w:rsidRPr="003F65C4" w:rsidRDefault="00E9389B" w:rsidP="003F65C4">
      <w:pPr>
        <w:spacing w:after="0" w:line="240" w:lineRule="auto"/>
        <w:ind w:firstLine="720"/>
        <w:jc w:val="both"/>
        <w:rPr>
          <w:rFonts w:cs="Times New Roman"/>
          <w:bCs/>
          <w:szCs w:val="24"/>
        </w:rPr>
      </w:pPr>
      <w:r w:rsidRPr="00577BF3">
        <w:rPr>
          <w:rFonts w:cs="Times New Roman"/>
          <w:bCs/>
          <w:szCs w:val="24"/>
        </w:rPr>
        <w:t>40</w:t>
      </w:r>
      <w:r w:rsidR="005B4E7D" w:rsidRPr="00577BF3">
        <w:rPr>
          <w:rFonts w:cs="Times New Roman"/>
          <w:bCs/>
          <w:szCs w:val="24"/>
        </w:rPr>
        <w:t> </w:t>
      </w:r>
      <w:r w:rsidRPr="00577BF3">
        <w:rPr>
          <w:rFonts w:cs="Times New Roman"/>
          <w:bCs/>
          <w:szCs w:val="24"/>
        </w:rPr>
        <w:t xml:space="preserve">% pieaugums </w:t>
      </w:r>
      <w:r w:rsidR="004C27F1">
        <w:rPr>
          <w:rFonts w:cs="Times New Roman"/>
          <w:bCs/>
          <w:szCs w:val="24"/>
        </w:rPr>
        <w:t xml:space="preserve">salīdzinājumā ar 2019. gadu </w:t>
      </w:r>
      <w:r w:rsidR="00872F6D">
        <w:rPr>
          <w:rFonts w:cs="Times New Roman"/>
          <w:bCs/>
          <w:szCs w:val="24"/>
        </w:rPr>
        <w:t>krimināllietu iz</w:t>
      </w:r>
      <w:r w:rsidR="007A63C1">
        <w:rPr>
          <w:rFonts w:cs="Times New Roman"/>
          <w:bCs/>
          <w:szCs w:val="24"/>
        </w:rPr>
        <w:t>skatīšan</w:t>
      </w:r>
      <w:r w:rsidR="00C14249">
        <w:rPr>
          <w:rFonts w:cs="Times New Roman"/>
          <w:bCs/>
          <w:szCs w:val="24"/>
        </w:rPr>
        <w:t>ā</w:t>
      </w:r>
      <w:r w:rsidR="00872F6D">
        <w:rPr>
          <w:rFonts w:cs="Times New Roman"/>
          <w:bCs/>
          <w:szCs w:val="24"/>
        </w:rPr>
        <w:t xml:space="preserve"> </w:t>
      </w:r>
      <w:r w:rsidR="00B83920">
        <w:rPr>
          <w:rFonts w:cs="Times New Roman"/>
          <w:bCs/>
          <w:szCs w:val="24"/>
        </w:rPr>
        <w:t xml:space="preserve">apelācijas instances tiesā </w:t>
      </w:r>
      <w:r w:rsidRPr="00577BF3">
        <w:rPr>
          <w:rFonts w:cs="Times New Roman"/>
          <w:bCs/>
          <w:szCs w:val="24"/>
        </w:rPr>
        <w:t>rakstveida procesā</w:t>
      </w:r>
      <w:r w:rsidR="002A61D4">
        <w:rPr>
          <w:rFonts w:cs="Times New Roman"/>
          <w:bCs/>
          <w:szCs w:val="24"/>
        </w:rPr>
        <w:t xml:space="preserve"> </w:t>
      </w:r>
      <w:r w:rsidRPr="00577BF3">
        <w:rPr>
          <w:rFonts w:cs="Times New Roman"/>
          <w:bCs/>
          <w:szCs w:val="24"/>
        </w:rPr>
        <w:t>viennozīmīgi saistāms ar ārkār</w:t>
      </w:r>
      <w:r w:rsidR="005161A2" w:rsidRPr="00577BF3">
        <w:rPr>
          <w:rFonts w:cs="Times New Roman"/>
          <w:bCs/>
          <w:szCs w:val="24"/>
        </w:rPr>
        <w:t>tējās situācijas</w:t>
      </w:r>
      <w:r w:rsidRPr="00577BF3">
        <w:rPr>
          <w:rFonts w:cs="Times New Roman"/>
          <w:bCs/>
          <w:szCs w:val="24"/>
        </w:rPr>
        <w:t xml:space="preserve"> izsludināšanas kontekstā paplašināt</w:t>
      </w:r>
      <w:r w:rsidR="00FA7FBE" w:rsidRPr="00577BF3">
        <w:rPr>
          <w:rFonts w:cs="Times New Roman"/>
          <w:bCs/>
          <w:szCs w:val="24"/>
        </w:rPr>
        <w:t>aj</w:t>
      </w:r>
      <w:r w:rsidRPr="00577BF3">
        <w:rPr>
          <w:rFonts w:cs="Times New Roman"/>
          <w:bCs/>
          <w:szCs w:val="24"/>
        </w:rPr>
        <w:t xml:space="preserve">ām iespējām lietu </w:t>
      </w:r>
      <w:r w:rsidR="00164BF6">
        <w:rPr>
          <w:rFonts w:cs="Times New Roman"/>
          <w:bCs/>
          <w:szCs w:val="24"/>
        </w:rPr>
        <w:t>apelācijas kārtībā iz</w:t>
      </w:r>
      <w:r w:rsidR="00F158BD">
        <w:rPr>
          <w:rFonts w:cs="Times New Roman"/>
          <w:bCs/>
          <w:szCs w:val="24"/>
        </w:rPr>
        <w:t xml:space="preserve">tiesāt </w:t>
      </w:r>
      <w:r w:rsidR="00164BF6">
        <w:rPr>
          <w:rFonts w:cs="Times New Roman"/>
          <w:bCs/>
          <w:szCs w:val="24"/>
        </w:rPr>
        <w:t>rakstveid</w:t>
      </w:r>
      <w:r w:rsidR="00F31692">
        <w:rPr>
          <w:rFonts w:cs="Times New Roman"/>
          <w:bCs/>
          <w:szCs w:val="24"/>
        </w:rPr>
        <w:t>a procesā</w:t>
      </w:r>
      <w:r w:rsidR="00164BF6">
        <w:rPr>
          <w:rFonts w:cs="Times New Roman"/>
          <w:bCs/>
          <w:szCs w:val="24"/>
        </w:rPr>
        <w:t xml:space="preserve"> arī</w:t>
      </w:r>
      <w:r w:rsidR="00F05CEF">
        <w:rPr>
          <w:rFonts w:cs="Times New Roman"/>
          <w:bCs/>
          <w:szCs w:val="24"/>
        </w:rPr>
        <w:t xml:space="preserve"> gadījumos, kas nav minēti</w:t>
      </w:r>
      <w:r w:rsidR="00164BF6">
        <w:rPr>
          <w:rFonts w:cs="Times New Roman"/>
          <w:bCs/>
          <w:szCs w:val="24"/>
        </w:rPr>
        <w:t xml:space="preserve"> Kriminālprocesa likumā</w:t>
      </w:r>
      <w:r w:rsidRPr="00577BF3">
        <w:rPr>
          <w:rFonts w:cs="Times New Roman"/>
          <w:bCs/>
          <w:szCs w:val="24"/>
        </w:rPr>
        <w:t xml:space="preserve">. </w:t>
      </w:r>
    </w:p>
    <w:p w14:paraId="6932DB54" w14:textId="77777777" w:rsidR="002D1853" w:rsidRPr="00577BF3" w:rsidRDefault="002D1853" w:rsidP="00973F92">
      <w:pPr>
        <w:spacing w:after="0" w:line="240" w:lineRule="auto"/>
        <w:rPr>
          <w:rFonts w:cs="Times New Roman"/>
          <w:b/>
          <w:szCs w:val="24"/>
        </w:rPr>
      </w:pPr>
    </w:p>
    <w:p w14:paraId="38A1F9CE" w14:textId="290649E6" w:rsidR="00652F24" w:rsidRPr="005E1BAD" w:rsidRDefault="00E9389B" w:rsidP="00E329FC">
      <w:pPr>
        <w:pStyle w:val="ListParagraph"/>
        <w:numPr>
          <w:ilvl w:val="0"/>
          <w:numId w:val="17"/>
        </w:numPr>
        <w:spacing w:after="120"/>
        <w:ind w:left="714" w:hanging="357"/>
        <w:jc w:val="both"/>
        <w:rPr>
          <w:rFonts w:cs="Times New Roman"/>
          <w:b/>
          <w:szCs w:val="24"/>
        </w:rPr>
      </w:pPr>
      <w:r w:rsidRPr="00577BF3">
        <w:rPr>
          <w:rFonts w:cs="Times New Roman"/>
          <w:b/>
          <w:szCs w:val="24"/>
        </w:rPr>
        <w:t xml:space="preserve">Iesniegti protesti, no </w:t>
      </w:r>
      <w:r w:rsidR="0064634F">
        <w:rPr>
          <w:rFonts w:cs="Times New Roman"/>
          <w:b/>
          <w:szCs w:val="24"/>
        </w:rPr>
        <w:t>tiem</w:t>
      </w:r>
      <w:r w:rsidRPr="00577BF3">
        <w:rPr>
          <w:rFonts w:cs="Times New Roman"/>
          <w:b/>
          <w:szCs w:val="24"/>
        </w:rPr>
        <w:t xml:space="preserve"> apmierināti</w:t>
      </w:r>
    </w:p>
    <w:p w14:paraId="258FA7C2" w14:textId="7E879C7F" w:rsidR="00E9389B" w:rsidRPr="00577BF3" w:rsidRDefault="00E9389B" w:rsidP="00AA3067">
      <w:pPr>
        <w:spacing w:after="0"/>
        <w:jc w:val="center"/>
        <w:rPr>
          <w:rFonts w:cs="Times New Roman"/>
          <w:b/>
          <w:szCs w:val="24"/>
        </w:rPr>
      </w:pPr>
      <w:r w:rsidRPr="00577BF3">
        <w:rPr>
          <w:rFonts w:cs="Times New Roman"/>
          <w:noProof/>
        </w:rPr>
        <w:drawing>
          <wp:inline distT="0" distB="0" distL="0" distR="0" wp14:anchorId="6CDFADA9" wp14:editId="17F56B2C">
            <wp:extent cx="3968750" cy="1727200"/>
            <wp:effectExtent l="0" t="0" r="12700" b="6350"/>
            <wp:docPr id="44" name="Char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642D94B" w14:textId="77777777" w:rsidR="00862851" w:rsidRPr="00577BF3" w:rsidRDefault="00862851" w:rsidP="00862851">
      <w:pPr>
        <w:spacing w:after="0"/>
        <w:jc w:val="center"/>
        <w:rPr>
          <w:rFonts w:cs="Times New Roman"/>
          <w:b/>
          <w:szCs w:val="24"/>
        </w:rPr>
      </w:pPr>
    </w:p>
    <w:p w14:paraId="38AE6533" w14:textId="0F682D9E" w:rsidR="004636B4" w:rsidRDefault="00E9389B" w:rsidP="00862851">
      <w:pPr>
        <w:spacing w:after="0"/>
        <w:jc w:val="both"/>
        <w:rPr>
          <w:rFonts w:cs="Times New Roman"/>
          <w:bCs/>
          <w:szCs w:val="24"/>
        </w:rPr>
      </w:pPr>
      <w:r w:rsidRPr="00577BF3">
        <w:rPr>
          <w:rFonts w:cs="Times New Roman"/>
          <w:bCs/>
          <w:szCs w:val="24"/>
        </w:rPr>
        <w:tab/>
      </w:r>
      <w:r w:rsidR="004F65B6">
        <w:rPr>
          <w:rFonts w:cs="Times New Roman"/>
          <w:bCs/>
          <w:szCs w:val="24"/>
        </w:rPr>
        <w:t xml:space="preserve">Kurzemes tiesas apgabala prokuratūras prokuroru </w:t>
      </w:r>
      <w:r w:rsidR="00F8475A">
        <w:rPr>
          <w:rFonts w:cs="Times New Roman"/>
          <w:bCs/>
          <w:szCs w:val="24"/>
        </w:rPr>
        <w:t>i</w:t>
      </w:r>
      <w:r w:rsidRPr="00577BF3">
        <w:rPr>
          <w:rFonts w:cs="Times New Roman"/>
          <w:bCs/>
          <w:szCs w:val="24"/>
        </w:rPr>
        <w:t>esniegto protestu skaits</w:t>
      </w:r>
      <w:r w:rsidR="00E721E3" w:rsidRPr="00577BF3">
        <w:rPr>
          <w:rFonts w:cs="Times New Roman"/>
          <w:bCs/>
          <w:szCs w:val="24"/>
        </w:rPr>
        <w:t xml:space="preserve"> </w:t>
      </w:r>
      <w:r w:rsidRPr="00577BF3">
        <w:rPr>
          <w:rFonts w:cs="Times New Roman"/>
          <w:bCs/>
          <w:szCs w:val="24"/>
        </w:rPr>
        <w:t>2020.</w:t>
      </w:r>
      <w:r w:rsidR="005B4E7D" w:rsidRPr="00577BF3">
        <w:rPr>
          <w:rFonts w:cs="Times New Roman"/>
          <w:bCs/>
          <w:szCs w:val="24"/>
        </w:rPr>
        <w:t> </w:t>
      </w:r>
      <w:r w:rsidRPr="00577BF3">
        <w:rPr>
          <w:rFonts w:cs="Times New Roman"/>
          <w:bCs/>
          <w:szCs w:val="24"/>
        </w:rPr>
        <w:t xml:space="preserve">gadā </w:t>
      </w:r>
      <w:r w:rsidR="00D07256" w:rsidRPr="00577BF3">
        <w:rPr>
          <w:rFonts w:cs="Times New Roman"/>
          <w:bCs/>
          <w:szCs w:val="24"/>
        </w:rPr>
        <w:t>praktiski palicis nemainīgs</w:t>
      </w:r>
      <w:r w:rsidR="00E721E3" w:rsidRPr="00577BF3">
        <w:rPr>
          <w:rFonts w:cs="Times New Roman"/>
          <w:bCs/>
          <w:szCs w:val="24"/>
        </w:rPr>
        <w:t xml:space="preserve"> salīdzinājumā ar 2019. gadu</w:t>
      </w:r>
      <w:r w:rsidR="00D07256" w:rsidRPr="00577BF3">
        <w:rPr>
          <w:rFonts w:cs="Times New Roman"/>
          <w:bCs/>
          <w:szCs w:val="24"/>
        </w:rPr>
        <w:t xml:space="preserve">, bet </w:t>
      </w:r>
      <w:r w:rsidRPr="00577BF3">
        <w:rPr>
          <w:rFonts w:cs="Times New Roman"/>
          <w:bCs/>
          <w:szCs w:val="24"/>
        </w:rPr>
        <w:t>palielinājies</w:t>
      </w:r>
      <w:r w:rsidR="007345AC" w:rsidRPr="00577BF3">
        <w:rPr>
          <w:rFonts w:cs="Times New Roman"/>
          <w:bCs/>
          <w:szCs w:val="24"/>
        </w:rPr>
        <w:t xml:space="preserve"> salīdzinājumā ar 2018. gadu.</w:t>
      </w:r>
      <w:r w:rsidRPr="00577BF3">
        <w:rPr>
          <w:rFonts w:cs="Times New Roman"/>
          <w:bCs/>
          <w:szCs w:val="24"/>
        </w:rPr>
        <w:t xml:space="preserve"> Prokurori aktīvāk iesniedz protestus par tiesas noteikto sodu krimināllietās par ekonomiskajiem nozi</w:t>
      </w:r>
      <w:r w:rsidR="00EA36DF">
        <w:rPr>
          <w:rFonts w:cs="Times New Roman"/>
          <w:bCs/>
          <w:szCs w:val="24"/>
        </w:rPr>
        <w:t>edzīgajiem nodarījumiem</w:t>
      </w:r>
      <w:r w:rsidR="00957CAE" w:rsidRPr="00577BF3">
        <w:rPr>
          <w:rFonts w:cs="Times New Roman"/>
          <w:bCs/>
          <w:szCs w:val="24"/>
        </w:rPr>
        <w:t xml:space="preserve"> un</w:t>
      </w:r>
      <w:r w:rsidR="00BB1FA6">
        <w:rPr>
          <w:rFonts w:cs="Times New Roman"/>
          <w:bCs/>
          <w:szCs w:val="24"/>
        </w:rPr>
        <w:t xml:space="preserve"> </w:t>
      </w:r>
      <w:r w:rsidRPr="00577BF3">
        <w:rPr>
          <w:rFonts w:cs="Times New Roman"/>
          <w:bCs/>
          <w:szCs w:val="24"/>
        </w:rPr>
        <w:t xml:space="preserve">tiesas pieļautajiem procesuālajiem pārkāpumiem. </w:t>
      </w:r>
    </w:p>
    <w:p w14:paraId="1A264AA8" w14:textId="77777777" w:rsidR="004636B4" w:rsidRPr="00577BF3" w:rsidRDefault="004636B4" w:rsidP="00862851">
      <w:pPr>
        <w:spacing w:after="0"/>
        <w:jc w:val="both"/>
        <w:rPr>
          <w:rFonts w:cs="Times New Roman"/>
          <w:bCs/>
          <w:szCs w:val="24"/>
        </w:rPr>
      </w:pPr>
    </w:p>
    <w:p w14:paraId="3D492FDA" w14:textId="0252BAE1" w:rsidR="00862851" w:rsidRPr="005E1BAD" w:rsidRDefault="00E9389B" w:rsidP="00E329FC">
      <w:pPr>
        <w:pStyle w:val="ListParagraph"/>
        <w:numPr>
          <w:ilvl w:val="0"/>
          <w:numId w:val="17"/>
        </w:numPr>
        <w:spacing w:after="120"/>
        <w:ind w:left="714" w:hanging="357"/>
        <w:jc w:val="both"/>
        <w:rPr>
          <w:rFonts w:cs="Times New Roman"/>
          <w:b/>
          <w:szCs w:val="24"/>
        </w:rPr>
      </w:pPr>
      <w:r w:rsidRPr="00577BF3">
        <w:rPr>
          <w:rFonts w:cs="Times New Roman"/>
          <w:b/>
          <w:szCs w:val="24"/>
        </w:rPr>
        <w:t xml:space="preserve">Tiesā attaisnoto </w:t>
      </w:r>
      <w:r w:rsidR="006A5C2B">
        <w:rPr>
          <w:rFonts w:cs="Times New Roman"/>
          <w:b/>
          <w:szCs w:val="24"/>
        </w:rPr>
        <w:t>apsūdzēto</w:t>
      </w:r>
      <w:r w:rsidR="00F62B7E">
        <w:rPr>
          <w:rFonts w:cs="Times New Roman"/>
          <w:b/>
          <w:szCs w:val="24"/>
        </w:rPr>
        <w:t xml:space="preserve"> </w:t>
      </w:r>
      <w:r w:rsidRPr="00577BF3">
        <w:rPr>
          <w:rFonts w:cs="Times New Roman"/>
          <w:b/>
          <w:szCs w:val="24"/>
        </w:rPr>
        <w:t>skaits</w:t>
      </w:r>
    </w:p>
    <w:p w14:paraId="35D2CC0F" w14:textId="599B4C60" w:rsidR="00E9389B" w:rsidRPr="00577BF3" w:rsidRDefault="00E9389B" w:rsidP="001A4700">
      <w:pPr>
        <w:spacing w:after="0"/>
        <w:jc w:val="center"/>
        <w:rPr>
          <w:rFonts w:cs="Times New Roman"/>
          <w:bCs/>
          <w:szCs w:val="24"/>
        </w:rPr>
      </w:pPr>
      <w:r w:rsidRPr="00577BF3">
        <w:rPr>
          <w:rFonts w:cs="Times New Roman"/>
          <w:noProof/>
        </w:rPr>
        <w:drawing>
          <wp:inline distT="0" distB="0" distL="0" distR="0" wp14:anchorId="5C161DC2" wp14:editId="206B9885">
            <wp:extent cx="3968750" cy="1403350"/>
            <wp:effectExtent l="0" t="0" r="12700" b="6350"/>
            <wp:docPr id="43" name="Chart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2EB1B83" w14:textId="77777777" w:rsidR="00E9389B" w:rsidRPr="00577BF3" w:rsidRDefault="00E9389B" w:rsidP="001A4700">
      <w:pPr>
        <w:spacing w:after="0"/>
        <w:jc w:val="both"/>
        <w:rPr>
          <w:rFonts w:cs="Times New Roman"/>
          <w:bCs/>
          <w:szCs w:val="24"/>
        </w:rPr>
      </w:pPr>
    </w:p>
    <w:p w14:paraId="3C70BBBD" w14:textId="07CE173C" w:rsidR="00E9389B" w:rsidRPr="00577BF3" w:rsidRDefault="00E9389B" w:rsidP="00987C74">
      <w:pPr>
        <w:spacing w:after="0" w:line="240" w:lineRule="auto"/>
        <w:jc w:val="both"/>
        <w:rPr>
          <w:rFonts w:cs="Times New Roman"/>
          <w:bCs/>
          <w:szCs w:val="24"/>
        </w:rPr>
      </w:pPr>
      <w:r w:rsidRPr="00577BF3">
        <w:rPr>
          <w:rFonts w:cs="Times New Roman"/>
          <w:bCs/>
          <w:szCs w:val="24"/>
        </w:rPr>
        <w:tab/>
        <w:t xml:space="preserve">Tiesā attaisnoto </w:t>
      </w:r>
      <w:r w:rsidR="006A5C2B">
        <w:rPr>
          <w:rFonts w:cs="Times New Roman"/>
          <w:bCs/>
          <w:szCs w:val="24"/>
        </w:rPr>
        <w:t>apsūdzēto</w:t>
      </w:r>
      <w:r w:rsidRPr="00577BF3">
        <w:rPr>
          <w:rFonts w:cs="Times New Roman"/>
          <w:bCs/>
          <w:szCs w:val="24"/>
        </w:rPr>
        <w:t xml:space="preserve"> skaits vērtējams kā zems un dod pamatu prokuror</w:t>
      </w:r>
      <w:r w:rsidR="00BE3874">
        <w:rPr>
          <w:rFonts w:cs="Times New Roman"/>
          <w:bCs/>
          <w:szCs w:val="24"/>
        </w:rPr>
        <w:t>u</w:t>
      </w:r>
      <w:r w:rsidRPr="00577BF3">
        <w:rPr>
          <w:rFonts w:cs="Times New Roman"/>
          <w:bCs/>
          <w:szCs w:val="24"/>
        </w:rPr>
        <w:t xml:space="preserve"> darba kvalitāti novērtēt pozitīvi. </w:t>
      </w:r>
      <w:r w:rsidR="006A5C2B">
        <w:rPr>
          <w:rFonts w:cs="Times New Roman"/>
          <w:bCs/>
          <w:szCs w:val="24"/>
        </w:rPr>
        <w:t>2020. gadā</w:t>
      </w:r>
      <w:r w:rsidR="00F62B7E">
        <w:rPr>
          <w:rFonts w:cs="Times New Roman"/>
          <w:bCs/>
          <w:szCs w:val="24"/>
        </w:rPr>
        <w:t>, analizējot 1 </w:t>
      </w:r>
      <w:r w:rsidR="006A5C2B">
        <w:rPr>
          <w:rFonts w:cs="Times New Roman"/>
          <w:bCs/>
          <w:szCs w:val="24"/>
        </w:rPr>
        <w:t>apsūdzētā</w:t>
      </w:r>
      <w:r w:rsidRPr="00577BF3">
        <w:rPr>
          <w:rFonts w:cs="Times New Roman"/>
          <w:bCs/>
          <w:szCs w:val="24"/>
        </w:rPr>
        <w:t xml:space="preserve"> attaisnošanas iemeslus</w:t>
      </w:r>
      <w:r w:rsidR="006A0CC6">
        <w:rPr>
          <w:rFonts w:cs="Times New Roman"/>
          <w:bCs/>
          <w:szCs w:val="24"/>
        </w:rPr>
        <w:t>,</w:t>
      </w:r>
      <w:r w:rsidRPr="00577BF3">
        <w:rPr>
          <w:rFonts w:cs="Times New Roman"/>
          <w:bCs/>
          <w:szCs w:val="24"/>
        </w:rPr>
        <w:t xml:space="preserve"> </w:t>
      </w:r>
      <w:r w:rsidR="005C4DF6">
        <w:rPr>
          <w:rFonts w:cs="Times New Roman"/>
          <w:bCs/>
          <w:szCs w:val="24"/>
        </w:rPr>
        <w:t xml:space="preserve">Kurzemes tiesas apgabala prokuratūras </w:t>
      </w:r>
      <w:r w:rsidRPr="00577BF3">
        <w:rPr>
          <w:rFonts w:cs="Times New Roman"/>
          <w:bCs/>
          <w:szCs w:val="24"/>
        </w:rPr>
        <w:t>prokuror</w:t>
      </w:r>
      <w:r w:rsidR="006A5C2B">
        <w:rPr>
          <w:rFonts w:cs="Times New Roman"/>
          <w:bCs/>
          <w:szCs w:val="24"/>
        </w:rPr>
        <w:t>a</w:t>
      </w:r>
      <w:r w:rsidRPr="00577BF3">
        <w:rPr>
          <w:rFonts w:cs="Times New Roman"/>
          <w:bCs/>
          <w:szCs w:val="24"/>
        </w:rPr>
        <w:t xml:space="preserve"> darbā</w:t>
      </w:r>
      <w:r w:rsidR="00225856">
        <w:rPr>
          <w:rFonts w:cs="Times New Roman"/>
          <w:bCs/>
          <w:szCs w:val="24"/>
        </w:rPr>
        <w:t xml:space="preserve"> </w:t>
      </w:r>
      <w:r w:rsidRPr="00577BF3">
        <w:rPr>
          <w:rFonts w:cs="Times New Roman"/>
          <w:bCs/>
          <w:szCs w:val="24"/>
        </w:rPr>
        <w:t>pārkāpumi</w:t>
      </w:r>
      <w:r w:rsidR="00225856">
        <w:rPr>
          <w:rFonts w:cs="Times New Roman"/>
          <w:bCs/>
          <w:szCs w:val="24"/>
        </w:rPr>
        <w:t xml:space="preserve"> netika konstatēti</w:t>
      </w:r>
      <w:r w:rsidRPr="00577BF3">
        <w:rPr>
          <w:rFonts w:cs="Times New Roman"/>
          <w:bCs/>
          <w:szCs w:val="24"/>
        </w:rPr>
        <w:t xml:space="preserve">.   </w:t>
      </w:r>
    </w:p>
    <w:p w14:paraId="1D2F45DC" w14:textId="77777777" w:rsidR="003757B9" w:rsidRPr="00577BF3" w:rsidRDefault="003757B9" w:rsidP="00366E54">
      <w:pPr>
        <w:spacing w:after="0"/>
        <w:jc w:val="both"/>
        <w:rPr>
          <w:rFonts w:cs="Times New Roman"/>
          <w:bCs/>
          <w:szCs w:val="24"/>
        </w:rPr>
      </w:pPr>
    </w:p>
    <w:p w14:paraId="477702F5" w14:textId="5692CADB" w:rsidR="00E9389B" w:rsidRPr="005E1BAD" w:rsidRDefault="00E9389B" w:rsidP="00E329FC">
      <w:pPr>
        <w:pStyle w:val="ListParagraph"/>
        <w:numPr>
          <w:ilvl w:val="0"/>
          <w:numId w:val="17"/>
        </w:numPr>
        <w:spacing w:after="120"/>
        <w:ind w:left="714" w:hanging="357"/>
        <w:jc w:val="both"/>
        <w:rPr>
          <w:rFonts w:cs="Times New Roman"/>
          <w:b/>
          <w:szCs w:val="24"/>
        </w:rPr>
      </w:pPr>
      <w:r w:rsidRPr="00577BF3">
        <w:rPr>
          <w:rFonts w:cs="Times New Roman"/>
          <w:b/>
          <w:szCs w:val="24"/>
        </w:rPr>
        <w:lastRenderedPageBreak/>
        <w:t>Izlemt</w:t>
      </w:r>
      <w:r w:rsidR="007B5769">
        <w:rPr>
          <w:rFonts w:cs="Times New Roman"/>
          <w:b/>
          <w:szCs w:val="24"/>
        </w:rPr>
        <w:t>a</w:t>
      </w:r>
      <w:r w:rsidRPr="00577BF3">
        <w:rPr>
          <w:rFonts w:cs="Times New Roman"/>
          <w:b/>
          <w:szCs w:val="24"/>
        </w:rPr>
        <w:t>s sūdzības, no tām apmierinātas</w:t>
      </w:r>
    </w:p>
    <w:p w14:paraId="50E8D613" w14:textId="38B0FF3C" w:rsidR="00E9389B" w:rsidRPr="00577BF3" w:rsidRDefault="00E9389B" w:rsidP="00AC1DDC">
      <w:pPr>
        <w:spacing w:after="0"/>
        <w:jc w:val="center"/>
        <w:rPr>
          <w:rFonts w:cs="Times New Roman"/>
          <w:b/>
          <w:szCs w:val="24"/>
        </w:rPr>
      </w:pPr>
      <w:r w:rsidRPr="00577BF3">
        <w:rPr>
          <w:rFonts w:cs="Times New Roman"/>
          <w:noProof/>
        </w:rPr>
        <w:drawing>
          <wp:inline distT="0" distB="0" distL="0" distR="0" wp14:anchorId="578094EF" wp14:editId="15035E68">
            <wp:extent cx="3975100" cy="2133600"/>
            <wp:effectExtent l="0" t="0" r="6350" b="0"/>
            <wp:docPr id="40" name="Char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BE1D3F5" w14:textId="77777777" w:rsidR="007D502F" w:rsidRPr="00577BF3" w:rsidRDefault="007D502F" w:rsidP="007D502F">
      <w:pPr>
        <w:spacing w:after="0"/>
        <w:jc w:val="center"/>
        <w:rPr>
          <w:rFonts w:cs="Times New Roman"/>
          <w:b/>
          <w:szCs w:val="24"/>
        </w:rPr>
      </w:pPr>
    </w:p>
    <w:p w14:paraId="6CFC599E" w14:textId="0445F81C" w:rsidR="00023B3A" w:rsidRDefault="00E9389B" w:rsidP="00023B3A">
      <w:pPr>
        <w:spacing w:after="0" w:line="240" w:lineRule="auto"/>
        <w:jc w:val="both"/>
        <w:rPr>
          <w:rFonts w:cs="Times New Roman"/>
          <w:bCs/>
          <w:sz w:val="28"/>
          <w:szCs w:val="28"/>
        </w:rPr>
      </w:pPr>
      <w:r w:rsidRPr="00577BF3">
        <w:rPr>
          <w:rFonts w:cs="Times New Roman"/>
          <w:bCs/>
          <w:szCs w:val="24"/>
        </w:rPr>
        <w:tab/>
      </w:r>
      <w:r w:rsidR="00E905D7">
        <w:rPr>
          <w:rFonts w:cs="Times New Roman"/>
          <w:bCs/>
          <w:szCs w:val="24"/>
        </w:rPr>
        <w:t>Kurzemes tiesas apgabala p</w:t>
      </w:r>
      <w:r w:rsidRPr="00577BF3">
        <w:rPr>
          <w:rFonts w:cs="Times New Roman"/>
          <w:bCs/>
          <w:szCs w:val="24"/>
        </w:rPr>
        <w:t>rokuratūrā izlemto sūdzību skaits ik gadu ir nemainīgi</w:t>
      </w:r>
      <w:r w:rsidR="00EF0694">
        <w:rPr>
          <w:rFonts w:cs="Times New Roman"/>
          <w:bCs/>
          <w:szCs w:val="24"/>
        </w:rPr>
        <w:t xml:space="preserve"> </w:t>
      </w:r>
      <w:r w:rsidRPr="00577BF3">
        <w:rPr>
          <w:rFonts w:cs="Times New Roman"/>
          <w:bCs/>
          <w:szCs w:val="24"/>
        </w:rPr>
        <w:t xml:space="preserve">augsts, </w:t>
      </w:r>
      <w:r w:rsidR="00733721">
        <w:rPr>
          <w:rFonts w:cs="Times New Roman"/>
          <w:bCs/>
          <w:szCs w:val="24"/>
        </w:rPr>
        <w:t xml:space="preserve">turklāt vērojama </w:t>
      </w:r>
      <w:r w:rsidRPr="00577BF3">
        <w:rPr>
          <w:rFonts w:cs="Times New Roman"/>
          <w:bCs/>
          <w:szCs w:val="24"/>
        </w:rPr>
        <w:t>tendenc</w:t>
      </w:r>
      <w:r w:rsidR="001A514A">
        <w:rPr>
          <w:rFonts w:cs="Times New Roman"/>
          <w:bCs/>
          <w:szCs w:val="24"/>
        </w:rPr>
        <w:t>e</w:t>
      </w:r>
      <w:r w:rsidRPr="00577BF3">
        <w:rPr>
          <w:rFonts w:cs="Times New Roman"/>
          <w:bCs/>
          <w:szCs w:val="24"/>
        </w:rPr>
        <w:t xml:space="preserve"> </w:t>
      </w:r>
      <w:r w:rsidR="00EF0694">
        <w:rPr>
          <w:rFonts w:cs="Times New Roman"/>
          <w:bCs/>
          <w:szCs w:val="24"/>
        </w:rPr>
        <w:t xml:space="preserve">sūdzību skaitam </w:t>
      </w:r>
      <w:r w:rsidRPr="00577BF3">
        <w:rPr>
          <w:rFonts w:cs="Times New Roman"/>
          <w:bCs/>
          <w:szCs w:val="24"/>
        </w:rPr>
        <w:t>palielināties. Sūdzību izlemšanai tiek atvēlēts nesamērīgi liels prokuroru darba resurss. Vērtējot</w:t>
      </w:r>
      <w:r w:rsidR="00683BF6">
        <w:rPr>
          <w:rFonts w:cs="Times New Roman"/>
          <w:bCs/>
          <w:szCs w:val="24"/>
        </w:rPr>
        <w:t xml:space="preserve"> trīs gadu periodā, ka vidēji</w:t>
      </w:r>
      <w:r w:rsidR="0007497C">
        <w:rPr>
          <w:rFonts w:cs="Times New Roman"/>
          <w:bCs/>
          <w:szCs w:val="24"/>
        </w:rPr>
        <w:t xml:space="preserve"> </w:t>
      </w:r>
      <w:r w:rsidRPr="00577BF3">
        <w:rPr>
          <w:rFonts w:cs="Times New Roman"/>
          <w:bCs/>
          <w:szCs w:val="24"/>
        </w:rPr>
        <w:t xml:space="preserve">tikai </w:t>
      </w:r>
      <w:r w:rsidR="0007497C">
        <w:rPr>
          <w:rFonts w:cs="Times New Roman"/>
          <w:bCs/>
          <w:szCs w:val="24"/>
        </w:rPr>
        <w:t>ap 9</w:t>
      </w:r>
      <w:r w:rsidR="001470BE" w:rsidRPr="00577BF3">
        <w:rPr>
          <w:rFonts w:cs="Times New Roman"/>
          <w:bCs/>
          <w:szCs w:val="24"/>
        </w:rPr>
        <w:t> </w:t>
      </w:r>
      <w:r w:rsidRPr="00577BF3">
        <w:rPr>
          <w:rFonts w:cs="Times New Roman"/>
          <w:bCs/>
          <w:szCs w:val="24"/>
        </w:rPr>
        <w:t>% no visām izlemtajām sūdzībām tiek apmierinātas, svarīgi ir rast risinājumu sūdzību skaita samazinājumam, lai prokurori varētu vairāk uzmanības atvēlēt svarīgāku funkciju nodrošināšanai.</w:t>
      </w:r>
    </w:p>
    <w:p w14:paraId="3E50E9CE" w14:textId="77777777" w:rsidR="00023B3A" w:rsidRPr="00023B3A" w:rsidRDefault="00023B3A" w:rsidP="00023B3A">
      <w:pPr>
        <w:spacing w:after="0" w:line="240" w:lineRule="auto"/>
        <w:jc w:val="both"/>
        <w:rPr>
          <w:rFonts w:cs="Times New Roman"/>
          <w:bCs/>
          <w:sz w:val="28"/>
          <w:szCs w:val="28"/>
        </w:rPr>
      </w:pPr>
    </w:p>
    <w:p w14:paraId="6489B8DB" w14:textId="54343D16" w:rsidR="00E9389B" w:rsidRPr="00577BF3" w:rsidRDefault="00E9389B" w:rsidP="00023B3A">
      <w:pPr>
        <w:spacing w:after="0"/>
        <w:jc w:val="center"/>
        <w:rPr>
          <w:rFonts w:cs="Times New Roman"/>
          <w:b/>
          <w:sz w:val="28"/>
          <w:szCs w:val="28"/>
        </w:rPr>
      </w:pPr>
      <w:r w:rsidRPr="00577BF3">
        <w:rPr>
          <w:rFonts w:cs="Times New Roman"/>
          <w:b/>
          <w:sz w:val="28"/>
          <w:szCs w:val="28"/>
        </w:rPr>
        <w:t>III</w:t>
      </w:r>
      <w:r w:rsidR="00AC28AE" w:rsidRPr="00577BF3">
        <w:rPr>
          <w:rFonts w:cs="Times New Roman"/>
          <w:b/>
          <w:sz w:val="28"/>
          <w:szCs w:val="28"/>
        </w:rPr>
        <w:t>.</w:t>
      </w:r>
      <w:r w:rsidRPr="00577BF3">
        <w:rPr>
          <w:rFonts w:cs="Times New Roman"/>
          <w:b/>
          <w:sz w:val="28"/>
          <w:szCs w:val="28"/>
        </w:rPr>
        <w:t xml:space="preserve"> Rajona </w:t>
      </w:r>
      <w:r w:rsidR="00E62E2C" w:rsidRPr="00577BF3">
        <w:rPr>
          <w:rFonts w:cs="Times New Roman"/>
          <w:b/>
          <w:sz w:val="28"/>
          <w:szCs w:val="28"/>
        </w:rPr>
        <w:t xml:space="preserve">līmeņa </w:t>
      </w:r>
      <w:r w:rsidRPr="00577BF3">
        <w:rPr>
          <w:rFonts w:cs="Times New Roman"/>
          <w:b/>
          <w:sz w:val="28"/>
          <w:szCs w:val="28"/>
        </w:rPr>
        <w:t>prokuratūru darba rādītāji (salīdzinājum</w:t>
      </w:r>
      <w:r w:rsidR="00765E44" w:rsidRPr="00577BF3">
        <w:rPr>
          <w:rFonts w:cs="Times New Roman"/>
          <w:b/>
          <w:sz w:val="28"/>
          <w:szCs w:val="28"/>
        </w:rPr>
        <w:t>s</w:t>
      </w:r>
      <w:r w:rsidRPr="00577BF3">
        <w:rPr>
          <w:rFonts w:cs="Times New Roman"/>
          <w:b/>
          <w:sz w:val="28"/>
          <w:szCs w:val="28"/>
        </w:rPr>
        <w:t xml:space="preserve"> ar</w:t>
      </w:r>
      <w:r w:rsidR="008C588A" w:rsidRPr="00577BF3">
        <w:rPr>
          <w:rFonts w:cs="Times New Roman"/>
          <w:b/>
          <w:sz w:val="28"/>
          <w:szCs w:val="28"/>
        </w:rPr>
        <w:t xml:space="preserve"> </w:t>
      </w:r>
      <w:r w:rsidRPr="00577BF3">
        <w:rPr>
          <w:rFonts w:cs="Times New Roman"/>
          <w:b/>
          <w:sz w:val="28"/>
          <w:szCs w:val="28"/>
        </w:rPr>
        <w:t>2019.</w:t>
      </w:r>
      <w:r w:rsidR="00765E44" w:rsidRPr="00577BF3">
        <w:rPr>
          <w:rFonts w:cs="Times New Roman"/>
          <w:b/>
          <w:sz w:val="28"/>
          <w:szCs w:val="28"/>
        </w:rPr>
        <w:t> </w:t>
      </w:r>
      <w:r w:rsidRPr="00577BF3">
        <w:rPr>
          <w:rFonts w:cs="Times New Roman"/>
          <w:b/>
          <w:sz w:val="28"/>
          <w:szCs w:val="28"/>
        </w:rPr>
        <w:t>gadu)</w:t>
      </w:r>
    </w:p>
    <w:p w14:paraId="6598BAB6" w14:textId="77777777" w:rsidR="00765E44" w:rsidRPr="008530D0" w:rsidRDefault="00765E44" w:rsidP="00765E44">
      <w:pPr>
        <w:spacing w:after="0"/>
        <w:rPr>
          <w:rFonts w:cs="Times New Roman"/>
          <w:b/>
          <w:szCs w:val="24"/>
        </w:rPr>
      </w:pPr>
    </w:p>
    <w:p w14:paraId="288FE066" w14:textId="3BACE63F" w:rsidR="00E9389B" w:rsidRPr="005E1BAD" w:rsidRDefault="00E9389B" w:rsidP="00E329FC">
      <w:pPr>
        <w:numPr>
          <w:ilvl w:val="0"/>
          <w:numId w:val="16"/>
        </w:numPr>
        <w:spacing w:after="120" w:line="240" w:lineRule="auto"/>
        <w:ind w:left="714" w:hanging="357"/>
        <w:jc w:val="both"/>
        <w:rPr>
          <w:rFonts w:cs="Times New Roman"/>
          <w:b/>
          <w:szCs w:val="24"/>
        </w:rPr>
      </w:pPr>
      <w:r w:rsidRPr="00577BF3">
        <w:rPr>
          <w:rFonts w:cs="Times New Roman"/>
          <w:b/>
          <w:szCs w:val="24"/>
        </w:rPr>
        <w:t>Kriminālvajāšanai saņemt</w:t>
      </w:r>
      <w:r w:rsidR="00F37BFD">
        <w:rPr>
          <w:rFonts w:cs="Times New Roman"/>
          <w:b/>
          <w:szCs w:val="24"/>
        </w:rPr>
        <w:t>i</w:t>
      </w:r>
      <w:r w:rsidRPr="00577BF3">
        <w:rPr>
          <w:rFonts w:cs="Times New Roman"/>
          <w:b/>
          <w:szCs w:val="24"/>
        </w:rPr>
        <w:t xml:space="preserve"> krimināl</w:t>
      </w:r>
      <w:r w:rsidR="00F37BFD">
        <w:rPr>
          <w:rFonts w:cs="Times New Roman"/>
          <w:b/>
          <w:szCs w:val="24"/>
        </w:rPr>
        <w:t>procesi</w:t>
      </w:r>
    </w:p>
    <w:p w14:paraId="32A0734F" w14:textId="4CC26219" w:rsidR="00E9389B" w:rsidRPr="00577BF3" w:rsidRDefault="00E9389B" w:rsidP="000A4501">
      <w:pPr>
        <w:spacing w:after="0"/>
        <w:jc w:val="center"/>
        <w:rPr>
          <w:rFonts w:cs="Times New Roman"/>
          <w:b/>
          <w:szCs w:val="24"/>
        </w:rPr>
      </w:pPr>
      <w:r w:rsidRPr="00577BF3">
        <w:rPr>
          <w:rFonts w:cs="Times New Roman"/>
          <w:noProof/>
        </w:rPr>
        <w:drawing>
          <wp:inline distT="0" distB="0" distL="0" distR="0" wp14:anchorId="7ADE7F85" wp14:editId="4BB59B23">
            <wp:extent cx="5391150" cy="2336800"/>
            <wp:effectExtent l="0" t="0" r="0" b="6350"/>
            <wp:docPr id="39" name="Chart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43A59BC" w14:textId="77777777" w:rsidR="0063669A" w:rsidRPr="00577BF3" w:rsidRDefault="0063669A" w:rsidP="0063669A">
      <w:pPr>
        <w:spacing w:after="0"/>
        <w:jc w:val="both"/>
        <w:rPr>
          <w:rFonts w:cs="Times New Roman"/>
          <w:b/>
          <w:szCs w:val="24"/>
        </w:rPr>
      </w:pPr>
    </w:p>
    <w:p w14:paraId="1A5A2AAC" w14:textId="27CF230F" w:rsidR="003969F1" w:rsidRPr="00577BF3" w:rsidRDefault="00E9389B" w:rsidP="00791CFB">
      <w:pPr>
        <w:spacing w:after="0" w:line="240" w:lineRule="auto"/>
        <w:jc w:val="both"/>
        <w:rPr>
          <w:rFonts w:cs="Times New Roman"/>
          <w:bCs/>
          <w:szCs w:val="24"/>
        </w:rPr>
      </w:pPr>
      <w:r w:rsidRPr="00577BF3">
        <w:rPr>
          <w:rFonts w:cs="Times New Roman"/>
          <w:b/>
          <w:szCs w:val="24"/>
        </w:rPr>
        <w:tab/>
      </w:r>
      <w:r w:rsidR="00082D10" w:rsidRPr="00577BF3">
        <w:rPr>
          <w:rFonts w:cs="Times New Roman"/>
          <w:bCs/>
          <w:szCs w:val="24"/>
        </w:rPr>
        <w:t xml:space="preserve">Kurzemes </w:t>
      </w:r>
      <w:r w:rsidR="00034C36">
        <w:rPr>
          <w:rFonts w:cs="Times New Roman"/>
          <w:bCs/>
          <w:szCs w:val="24"/>
        </w:rPr>
        <w:t xml:space="preserve">tiesas apgabala prokuratūras darbības teritorijā ietilpstošajās rajona līmeņa prokuratūrās </w:t>
      </w:r>
      <w:r w:rsidRPr="00577BF3">
        <w:rPr>
          <w:rFonts w:cs="Times New Roman"/>
          <w:bCs/>
          <w:szCs w:val="24"/>
        </w:rPr>
        <w:t>pamatā vērojams kriminālvajāšanai saņemto krimināl</w:t>
      </w:r>
      <w:r w:rsidR="00F37BFD">
        <w:rPr>
          <w:rFonts w:cs="Times New Roman"/>
          <w:bCs/>
          <w:szCs w:val="24"/>
        </w:rPr>
        <w:t>procesu</w:t>
      </w:r>
      <w:r w:rsidRPr="00577BF3">
        <w:rPr>
          <w:rFonts w:cs="Times New Roman"/>
          <w:bCs/>
          <w:szCs w:val="24"/>
        </w:rPr>
        <w:t xml:space="preserve"> skaita samazinājums.</w:t>
      </w:r>
      <w:r w:rsidR="008D7A39">
        <w:rPr>
          <w:rFonts w:cs="Times New Roman"/>
          <w:bCs/>
          <w:szCs w:val="24"/>
        </w:rPr>
        <w:t xml:space="preserve"> Izņēmums ir </w:t>
      </w:r>
      <w:r w:rsidR="008D7A39" w:rsidRPr="00577BF3">
        <w:rPr>
          <w:rFonts w:cs="Times New Roman"/>
          <w:bCs/>
          <w:szCs w:val="24"/>
        </w:rPr>
        <w:t>Talsu rajona prokuratūr</w:t>
      </w:r>
      <w:r w:rsidR="008D7A39">
        <w:rPr>
          <w:rFonts w:cs="Times New Roman"/>
          <w:bCs/>
          <w:szCs w:val="24"/>
        </w:rPr>
        <w:t>a, kurā</w:t>
      </w:r>
      <w:r w:rsidR="008D7A39" w:rsidRPr="00577BF3">
        <w:rPr>
          <w:rFonts w:cs="Times New Roman"/>
          <w:bCs/>
          <w:szCs w:val="24"/>
        </w:rPr>
        <w:t xml:space="preserve"> panākts neliels kriminālvajāšanai saņemto krimināl</w:t>
      </w:r>
      <w:r w:rsidR="00F37BFD">
        <w:rPr>
          <w:rFonts w:cs="Times New Roman"/>
          <w:bCs/>
          <w:szCs w:val="24"/>
        </w:rPr>
        <w:t>procesu</w:t>
      </w:r>
      <w:r w:rsidR="008D7A39" w:rsidRPr="00577BF3">
        <w:rPr>
          <w:rFonts w:cs="Times New Roman"/>
          <w:bCs/>
          <w:szCs w:val="24"/>
        </w:rPr>
        <w:t xml:space="preserve"> skaita pieaugums, kas izskaidrojams ar darba kvalitātes uzlabošanos izmeklēšanas</w:t>
      </w:r>
      <w:r w:rsidR="006102F3">
        <w:rPr>
          <w:rFonts w:cs="Times New Roman"/>
          <w:bCs/>
          <w:szCs w:val="24"/>
        </w:rPr>
        <w:t xml:space="preserve"> iestādē.</w:t>
      </w:r>
    </w:p>
    <w:p w14:paraId="785AA989" w14:textId="6CA963D2" w:rsidR="0050397A" w:rsidRDefault="00E9389B" w:rsidP="0050397A">
      <w:pPr>
        <w:spacing w:after="0" w:line="240" w:lineRule="auto"/>
        <w:ind w:firstLine="709"/>
        <w:jc w:val="both"/>
        <w:rPr>
          <w:rFonts w:cs="Times New Roman"/>
          <w:szCs w:val="24"/>
        </w:rPr>
      </w:pPr>
      <w:r w:rsidRPr="00577BF3">
        <w:rPr>
          <w:rFonts w:cs="Times New Roman"/>
          <w:szCs w:val="24"/>
        </w:rPr>
        <w:t>Šāda tendence skaidrojama ar nelielu izdarīto noziedzīgo nodarījumu kritumu, kas ir Valsts policijas veikto preventīvo pasākumu rezultāts (tostarp Covid</w:t>
      </w:r>
      <w:r w:rsidR="00A71CF4" w:rsidRPr="00577BF3">
        <w:rPr>
          <w:rFonts w:cs="Times New Roman"/>
          <w:szCs w:val="24"/>
        </w:rPr>
        <w:t>-</w:t>
      </w:r>
      <w:r w:rsidRPr="00577BF3">
        <w:rPr>
          <w:rFonts w:cs="Times New Roman"/>
          <w:szCs w:val="24"/>
        </w:rPr>
        <w:t>19 ierobežojumu kontrolē)</w:t>
      </w:r>
      <w:r w:rsidR="00150204" w:rsidRPr="00577BF3">
        <w:rPr>
          <w:rFonts w:cs="Times New Roman"/>
          <w:szCs w:val="24"/>
        </w:rPr>
        <w:t xml:space="preserve">. </w:t>
      </w:r>
      <w:r w:rsidRPr="00577BF3">
        <w:rPr>
          <w:rFonts w:cs="Times New Roman"/>
          <w:szCs w:val="24"/>
        </w:rPr>
        <w:t xml:space="preserve">Lielākais </w:t>
      </w:r>
      <w:r w:rsidR="00E558BE" w:rsidRPr="00577BF3">
        <w:rPr>
          <w:rFonts w:cs="Times New Roman"/>
          <w:szCs w:val="24"/>
        </w:rPr>
        <w:t xml:space="preserve">kriminālvajāšanai </w:t>
      </w:r>
      <w:r w:rsidRPr="00577BF3">
        <w:rPr>
          <w:rFonts w:cs="Times New Roman"/>
          <w:szCs w:val="24"/>
        </w:rPr>
        <w:t>saņemto krimināl</w:t>
      </w:r>
      <w:r w:rsidR="005A50BB">
        <w:rPr>
          <w:rFonts w:cs="Times New Roman"/>
          <w:szCs w:val="24"/>
        </w:rPr>
        <w:t>procesu</w:t>
      </w:r>
      <w:r w:rsidRPr="00577BF3">
        <w:rPr>
          <w:rFonts w:cs="Times New Roman"/>
          <w:szCs w:val="24"/>
        </w:rPr>
        <w:t xml:space="preserve"> skait</w:t>
      </w:r>
      <w:r w:rsidR="00E558BE" w:rsidRPr="00577BF3">
        <w:rPr>
          <w:rFonts w:cs="Times New Roman"/>
          <w:szCs w:val="24"/>
        </w:rPr>
        <w:t>a</w:t>
      </w:r>
      <w:r w:rsidRPr="00577BF3">
        <w:rPr>
          <w:rFonts w:cs="Times New Roman"/>
          <w:szCs w:val="24"/>
        </w:rPr>
        <w:t xml:space="preserve"> samazināj</w:t>
      </w:r>
      <w:r w:rsidR="00E558BE" w:rsidRPr="00577BF3">
        <w:rPr>
          <w:rFonts w:cs="Times New Roman"/>
          <w:szCs w:val="24"/>
        </w:rPr>
        <w:t xml:space="preserve">ums vērojams </w:t>
      </w:r>
      <w:r w:rsidRPr="00577BF3">
        <w:rPr>
          <w:rFonts w:cs="Times New Roman"/>
          <w:szCs w:val="24"/>
        </w:rPr>
        <w:t>Liepājas prokuratūrā</w:t>
      </w:r>
      <w:r w:rsidR="008D4C21" w:rsidRPr="00577BF3">
        <w:rPr>
          <w:rFonts w:cs="Times New Roman"/>
          <w:szCs w:val="24"/>
        </w:rPr>
        <w:t>, kas</w:t>
      </w:r>
      <w:r w:rsidRPr="00577BF3">
        <w:rPr>
          <w:rFonts w:cs="Times New Roman"/>
          <w:szCs w:val="24"/>
        </w:rPr>
        <w:t xml:space="preserve"> ir rezultāts virsprokurora pienākumu izpildītāja un darba </w:t>
      </w:r>
      <w:r w:rsidRPr="00577BF3">
        <w:rPr>
          <w:rFonts w:cs="Times New Roman"/>
          <w:szCs w:val="24"/>
        </w:rPr>
        <w:lastRenderedPageBreak/>
        <w:t xml:space="preserve">organizācijas maiņai, kad netiek </w:t>
      </w:r>
      <w:r w:rsidR="00B15438" w:rsidRPr="00577BF3">
        <w:rPr>
          <w:rFonts w:cs="Times New Roman"/>
          <w:szCs w:val="24"/>
        </w:rPr>
        <w:t>veidoti</w:t>
      </w:r>
      <w:r w:rsidRPr="00577BF3">
        <w:rPr>
          <w:rFonts w:cs="Times New Roman"/>
          <w:szCs w:val="24"/>
        </w:rPr>
        <w:t xml:space="preserve"> “mākslīgi” rādītāji Valsts policijas statistikai, jo maksimāli visi kriminālprocesi tiek apvienoti pirmstiesas </w:t>
      </w:r>
      <w:r w:rsidR="00B15438" w:rsidRPr="00577BF3">
        <w:rPr>
          <w:rFonts w:cs="Times New Roman"/>
          <w:szCs w:val="24"/>
        </w:rPr>
        <w:t>kriminālprocesa</w:t>
      </w:r>
      <w:r w:rsidRPr="00577BF3">
        <w:rPr>
          <w:rFonts w:cs="Times New Roman"/>
          <w:szCs w:val="24"/>
        </w:rPr>
        <w:t xml:space="preserve"> laikā policijā</w:t>
      </w:r>
      <w:r w:rsidR="000A53EB">
        <w:rPr>
          <w:rFonts w:cs="Times New Roman"/>
          <w:szCs w:val="24"/>
        </w:rPr>
        <w:t>.</w:t>
      </w:r>
    </w:p>
    <w:p w14:paraId="6D132665" w14:textId="77777777" w:rsidR="006102F3" w:rsidRPr="006102F3" w:rsidRDefault="006102F3" w:rsidP="006102F3">
      <w:pPr>
        <w:spacing w:after="0" w:line="240" w:lineRule="auto"/>
        <w:ind w:firstLine="709"/>
        <w:jc w:val="both"/>
        <w:rPr>
          <w:rFonts w:cs="Times New Roman"/>
          <w:szCs w:val="24"/>
        </w:rPr>
      </w:pPr>
    </w:p>
    <w:p w14:paraId="61B0C845" w14:textId="29FFAE4B" w:rsidR="006102F3" w:rsidRPr="005E1BAD" w:rsidRDefault="00E9389B" w:rsidP="00E329FC">
      <w:pPr>
        <w:pStyle w:val="ListParagraph"/>
        <w:numPr>
          <w:ilvl w:val="0"/>
          <w:numId w:val="16"/>
        </w:numPr>
        <w:spacing w:after="120" w:line="240" w:lineRule="auto"/>
        <w:ind w:left="714" w:hanging="357"/>
        <w:jc w:val="both"/>
        <w:rPr>
          <w:rFonts w:cs="Times New Roman"/>
          <w:b/>
          <w:szCs w:val="24"/>
        </w:rPr>
      </w:pPr>
      <w:r w:rsidRPr="00577BF3">
        <w:rPr>
          <w:rFonts w:cs="Times New Roman"/>
          <w:b/>
          <w:szCs w:val="24"/>
        </w:rPr>
        <w:t>Paātrinātā procesa kārtībā kriminālvajāšan</w:t>
      </w:r>
      <w:r w:rsidR="00BA14EB">
        <w:rPr>
          <w:rFonts w:cs="Times New Roman"/>
          <w:b/>
          <w:szCs w:val="24"/>
        </w:rPr>
        <w:t>ai</w:t>
      </w:r>
      <w:r w:rsidRPr="00577BF3">
        <w:rPr>
          <w:rFonts w:cs="Times New Roman"/>
          <w:b/>
          <w:szCs w:val="24"/>
        </w:rPr>
        <w:t xml:space="preserve"> saņemt</w:t>
      </w:r>
      <w:r w:rsidR="00FE3727">
        <w:rPr>
          <w:rFonts w:cs="Times New Roman"/>
          <w:b/>
          <w:szCs w:val="24"/>
        </w:rPr>
        <w:t>i</w:t>
      </w:r>
      <w:r w:rsidRPr="00577BF3">
        <w:rPr>
          <w:rFonts w:cs="Times New Roman"/>
          <w:b/>
          <w:szCs w:val="24"/>
        </w:rPr>
        <w:t xml:space="preserve"> krimināl</w:t>
      </w:r>
      <w:r w:rsidR="000327E3">
        <w:rPr>
          <w:rFonts w:cs="Times New Roman"/>
          <w:b/>
          <w:szCs w:val="24"/>
        </w:rPr>
        <w:t>procesi</w:t>
      </w:r>
      <w:r w:rsidRPr="00577BF3">
        <w:rPr>
          <w:rFonts w:cs="Times New Roman"/>
          <w:b/>
          <w:szCs w:val="24"/>
        </w:rPr>
        <w:t>, no t</w:t>
      </w:r>
      <w:r w:rsidR="000327E3">
        <w:rPr>
          <w:rFonts w:cs="Times New Roman"/>
          <w:b/>
          <w:szCs w:val="24"/>
        </w:rPr>
        <w:t>iem</w:t>
      </w:r>
      <w:r w:rsidR="005246DC">
        <w:rPr>
          <w:rFonts w:cs="Times New Roman"/>
          <w:b/>
          <w:szCs w:val="24"/>
        </w:rPr>
        <w:t xml:space="preserve"> </w:t>
      </w:r>
      <w:r w:rsidR="00AF541F">
        <w:rPr>
          <w:rFonts w:cs="Times New Roman"/>
          <w:b/>
          <w:szCs w:val="24"/>
        </w:rPr>
        <w:t xml:space="preserve">šī </w:t>
      </w:r>
      <w:r w:rsidR="00E5557C" w:rsidRPr="00577BF3">
        <w:rPr>
          <w:rFonts w:cs="Times New Roman"/>
          <w:b/>
          <w:szCs w:val="24"/>
        </w:rPr>
        <w:t xml:space="preserve">procesa kārtībā </w:t>
      </w:r>
      <w:r w:rsidRPr="00577BF3">
        <w:rPr>
          <w:rFonts w:cs="Times New Roman"/>
          <w:b/>
          <w:szCs w:val="24"/>
        </w:rPr>
        <w:t xml:space="preserve">tiesai </w:t>
      </w:r>
      <w:r w:rsidR="005246DC">
        <w:rPr>
          <w:rFonts w:cs="Times New Roman"/>
          <w:b/>
          <w:szCs w:val="24"/>
        </w:rPr>
        <w:t>nodot</w:t>
      </w:r>
      <w:r w:rsidR="007B5769">
        <w:rPr>
          <w:rFonts w:cs="Times New Roman"/>
          <w:b/>
          <w:szCs w:val="24"/>
        </w:rPr>
        <w:t>a</w:t>
      </w:r>
      <w:r w:rsidR="005246DC">
        <w:rPr>
          <w:rFonts w:cs="Times New Roman"/>
          <w:b/>
          <w:szCs w:val="24"/>
        </w:rPr>
        <w:t xml:space="preserve">s </w:t>
      </w:r>
      <w:r w:rsidR="00D455B0">
        <w:rPr>
          <w:rFonts w:cs="Times New Roman"/>
          <w:b/>
          <w:szCs w:val="24"/>
        </w:rPr>
        <w:t>krimināllietas</w:t>
      </w:r>
    </w:p>
    <w:p w14:paraId="572F7AB6" w14:textId="12E4D6D7" w:rsidR="008530D0" w:rsidRDefault="00E9389B" w:rsidP="000A4501">
      <w:pPr>
        <w:spacing w:after="0"/>
        <w:jc w:val="center"/>
        <w:rPr>
          <w:rFonts w:cs="Times New Roman"/>
          <w:bCs/>
          <w:szCs w:val="24"/>
        </w:rPr>
      </w:pPr>
      <w:r w:rsidRPr="00577BF3">
        <w:rPr>
          <w:rFonts w:cs="Times New Roman"/>
          <w:noProof/>
        </w:rPr>
        <w:drawing>
          <wp:inline distT="0" distB="0" distL="0" distR="0" wp14:anchorId="44CF0455" wp14:editId="047D0AA4">
            <wp:extent cx="5372100" cy="2355850"/>
            <wp:effectExtent l="0" t="0" r="0" b="6350"/>
            <wp:docPr id="28" name="Char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3A17F75" w14:textId="77777777" w:rsidR="000A4501" w:rsidRPr="00577BF3" w:rsidRDefault="000A4501" w:rsidP="006D5175">
      <w:pPr>
        <w:spacing w:after="0"/>
        <w:rPr>
          <w:rFonts w:cs="Times New Roman"/>
          <w:bCs/>
          <w:szCs w:val="24"/>
        </w:rPr>
      </w:pPr>
    </w:p>
    <w:p w14:paraId="542235E2" w14:textId="1B79858B" w:rsidR="001642A4" w:rsidRDefault="00E9389B" w:rsidP="00251606">
      <w:pPr>
        <w:spacing w:after="0" w:line="240" w:lineRule="auto"/>
        <w:jc w:val="both"/>
        <w:rPr>
          <w:rFonts w:cs="Times New Roman"/>
          <w:bCs/>
          <w:szCs w:val="24"/>
        </w:rPr>
      </w:pPr>
      <w:r w:rsidRPr="00577BF3">
        <w:rPr>
          <w:rFonts w:cs="Times New Roman"/>
          <w:bCs/>
          <w:szCs w:val="24"/>
        </w:rPr>
        <w:tab/>
        <w:t xml:space="preserve">Paātrinātā procesa piemērošanas prakse skaidri iezīmē tā praktisko izmantošanu pirmstiesas procesa stadijā. </w:t>
      </w:r>
      <w:r w:rsidR="00AC59F8">
        <w:rPr>
          <w:rFonts w:cs="Times New Roman"/>
          <w:bCs/>
          <w:szCs w:val="24"/>
        </w:rPr>
        <w:t xml:space="preserve">Kurzemes </w:t>
      </w:r>
      <w:r w:rsidR="00034C36">
        <w:rPr>
          <w:rFonts w:cs="Times New Roman"/>
          <w:bCs/>
          <w:szCs w:val="24"/>
        </w:rPr>
        <w:t xml:space="preserve">tiesas apgabala prokuratūras darbības teritorijā ietilpstošajās rajona līmeņa prokuratūrās </w:t>
      </w:r>
      <w:r w:rsidR="00A21C46">
        <w:rPr>
          <w:rFonts w:cs="Times New Roman"/>
          <w:bCs/>
          <w:szCs w:val="24"/>
        </w:rPr>
        <w:t>v</w:t>
      </w:r>
      <w:r w:rsidR="005471CE">
        <w:rPr>
          <w:rFonts w:cs="Times New Roman"/>
          <w:bCs/>
          <w:szCs w:val="24"/>
        </w:rPr>
        <w:t>airāk nekā puse</w:t>
      </w:r>
      <w:r w:rsidRPr="00577BF3">
        <w:rPr>
          <w:rFonts w:cs="Times New Roman"/>
          <w:bCs/>
          <w:szCs w:val="24"/>
        </w:rPr>
        <w:t xml:space="preserve"> (ap </w:t>
      </w:r>
      <w:r w:rsidR="00E537DD">
        <w:rPr>
          <w:rFonts w:cs="Times New Roman"/>
          <w:bCs/>
          <w:szCs w:val="24"/>
        </w:rPr>
        <w:t>60</w:t>
      </w:r>
      <w:r w:rsidRPr="00577BF3">
        <w:rPr>
          <w:rFonts w:cs="Times New Roman"/>
          <w:bCs/>
          <w:szCs w:val="24"/>
        </w:rPr>
        <w:t xml:space="preserve"> %)</w:t>
      </w:r>
      <w:r w:rsidR="00A21C46">
        <w:rPr>
          <w:rFonts w:cs="Times New Roman"/>
          <w:bCs/>
          <w:szCs w:val="24"/>
        </w:rPr>
        <w:t xml:space="preserve"> paātrinātā </w:t>
      </w:r>
      <w:r w:rsidRPr="00577BF3">
        <w:rPr>
          <w:rFonts w:cs="Times New Roman"/>
          <w:bCs/>
          <w:szCs w:val="24"/>
        </w:rPr>
        <w:t>proces</w:t>
      </w:r>
      <w:r w:rsidR="00A21C46">
        <w:rPr>
          <w:rFonts w:cs="Times New Roman"/>
          <w:bCs/>
          <w:szCs w:val="24"/>
        </w:rPr>
        <w:t>a</w:t>
      </w:r>
      <w:r w:rsidRPr="00577BF3">
        <w:rPr>
          <w:rFonts w:cs="Times New Roman"/>
          <w:bCs/>
          <w:szCs w:val="24"/>
        </w:rPr>
        <w:t xml:space="preserve"> kārtībā virzīto kriminālprocesu </w:t>
      </w:r>
      <w:r w:rsidR="00820780">
        <w:rPr>
          <w:rFonts w:cs="Times New Roman"/>
          <w:bCs/>
          <w:szCs w:val="24"/>
        </w:rPr>
        <w:t xml:space="preserve">tiek pabeigti </w:t>
      </w:r>
      <w:r w:rsidR="00DD5FFD">
        <w:rPr>
          <w:rFonts w:cs="Times New Roman"/>
          <w:bCs/>
          <w:szCs w:val="24"/>
        </w:rPr>
        <w:t>šajā vienkāršotajā kārtībā</w:t>
      </w:r>
      <w:r w:rsidR="0020530D">
        <w:rPr>
          <w:rFonts w:cs="Times New Roman"/>
          <w:bCs/>
          <w:szCs w:val="24"/>
        </w:rPr>
        <w:t>, nododot</w:t>
      </w:r>
      <w:r w:rsidR="007834A3">
        <w:rPr>
          <w:rFonts w:cs="Times New Roman"/>
          <w:bCs/>
          <w:szCs w:val="24"/>
        </w:rPr>
        <w:t xml:space="preserve"> kriminālliet</w:t>
      </w:r>
      <w:r w:rsidR="0020530D">
        <w:rPr>
          <w:rFonts w:cs="Times New Roman"/>
          <w:bCs/>
          <w:szCs w:val="24"/>
        </w:rPr>
        <w:t>u</w:t>
      </w:r>
      <w:r w:rsidRPr="00577BF3">
        <w:rPr>
          <w:rFonts w:cs="Times New Roman"/>
          <w:bCs/>
          <w:szCs w:val="24"/>
        </w:rPr>
        <w:t xml:space="preserve"> ties</w:t>
      </w:r>
      <w:r w:rsidR="009669CB">
        <w:rPr>
          <w:rFonts w:cs="Times New Roman"/>
          <w:bCs/>
          <w:szCs w:val="24"/>
        </w:rPr>
        <w:t>ai</w:t>
      </w:r>
      <w:r w:rsidRPr="00577BF3">
        <w:rPr>
          <w:rFonts w:cs="Times New Roman"/>
          <w:bCs/>
          <w:szCs w:val="24"/>
        </w:rPr>
        <w:t xml:space="preserve">, bet pārējie kriminālprocesi </w:t>
      </w:r>
      <w:r w:rsidR="00537FB1">
        <w:rPr>
          <w:rFonts w:cs="Times New Roman"/>
          <w:bCs/>
          <w:szCs w:val="24"/>
        </w:rPr>
        <w:t xml:space="preserve">tiek pabeigti, izvēloties citus </w:t>
      </w:r>
      <w:r w:rsidR="005D10F3">
        <w:rPr>
          <w:rFonts w:cs="Times New Roman"/>
          <w:bCs/>
          <w:szCs w:val="24"/>
        </w:rPr>
        <w:t xml:space="preserve">pirmstiesas kriminālprocesa </w:t>
      </w:r>
      <w:r w:rsidR="0088646B">
        <w:rPr>
          <w:rFonts w:cs="Times New Roman"/>
          <w:bCs/>
          <w:szCs w:val="24"/>
        </w:rPr>
        <w:t xml:space="preserve">pabeigšanas veidus, </w:t>
      </w:r>
      <w:r w:rsidR="00AF5CB3">
        <w:rPr>
          <w:rFonts w:cs="Times New Roman"/>
          <w:bCs/>
          <w:szCs w:val="24"/>
        </w:rPr>
        <w:t>pārsvarā gadījumos tos pabeidzot</w:t>
      </w:r>
      <w:r w:rsidRPr="00577BF3">
        <w:rPr>
          <w:rFonts w:cs="Times New Roman"/>
          <w:bCs/>
          <w:szCs w:val="24"/>
        </w:rPr>
        <w:t xml:space="preserve"> prokuratūrā.</w:t>
      </w:r>
      <w:r w:rsidR="00E93692">
        <w:rPr>
          <w:rFonts w:cs="Times New Roman"/>
          <w:bCs/>
          <w:szCs w:val="24"/>
        </w:rPr>
        <w:t xml:space="preserve"> </w:t>
      </w:r>
      <w:r w:rsidRPr="00577BF3">
        <w:rPr>
          <w:rFonts w:cs="Times New Roman"/>
          <w:bCs/>
          <w:szCs w:val="24"/>
        </w:rPr>
        <w:t>Akcentējams Kuldīgas rajona prokuratūras darbs, kur tikai 28</w:t>
      </w:r>
      <w:r w:rsidR="00D82243">
        <w:rPr>
          <w:rFonts w:cs="Times New Roman"/>
          <w:bCs/>
          <w:szCs w:val="24"/>
        </w:rPr>
        <w:t> </w:t>
      </w:r>
      <w:r w:rsidRPr="00577BF3">
        <w:rPr>
          <w:rFonts w:cs="Times New Roman"/>
          <w:bCs/>
          <w:szCs w:val="24"/>
        </w:rPr>
        <w:t>% no šiem procesiem</w:t>
      </w:r>
      <w:r w:rsidR="00E116EE">
        <w:rPr>
          <w:rFonts w:cs="Times New Roman"/>
          <w:bCs/>
          <w:szCs w:val="24"/>
        </w:rPr>
        <w:t xml:space="preserve"> tiek pabeigti</w:t>
      </w:r>
      <w:r w:rsidR="006B2B7C">
        <w:rPr>
          <w:rFonts w:cs="Times New Roman"/>
          <w:bCs/>
          <w:szCs w:val="24"/>
        </w:rPr>
        <w:t xml:space="preserve">, </w:t>
      </w:r>
      <w:r w:rsidRPr="00577BF3">
        <w:rPr>
          <w:rFonts w:cs="Times New Roman"/>
          <w:bCs/>
          <w:szCs w:val="24"/>
        </w:rPr>
        <w:t>nodo</w:t>
      </w:r>
      <w:r w:rsidR="006B2B7C">
        <w:rPr>
          <w:rFonts w:cs="Times New Roman"/>
          <w:bCs/>
          <w:szCs w:val="24"/>
        </w:rPr>
        <w:t>dot krimināllietu</w:t>
      </w:r>
      <w:r w:rsidRPr="00577BF3">
        <w:rPr>
          <w:rFonts w:cs="Times New Roman"/>
          <w:bCs/>
          <w:szCs w:val="24"/>
        </w:rPr>
        <w:t xml:space="preserve"> tiesai</w:t>
      </w:r>
      <w:r w:rsidR="00251606">
        <w:rPr>
          <w:rFonts w:cs="Times New Roman"/>
          <w:bCs/>
          <w:szCs w:val="24"/>
        </w:rPr>
        <w:t xml:space="preserve"> paātrinātā procesa kārtīb</w:t>
      </w:r>
      <w:r w:rsidR="00505EC5">
        <w:rPr>
          <w:rFonts w:cs="Times New Roman"/>
          <w:bCs/>
          <w:szCs w:val="24"/>
        </w:rPr>
        <w:t>ā</w:t>
      </w:r>
      <w:r w:rsidR="0065792C">
        <w:rPr>
          <w:rFonts w:cs="Times New Roman"/>
          <w:bCs/>
          <w:szCs w:val="24"/>
        </w:rPr>
        <w:t xml:space="preserve">, bet pārējos gadījumos </w:t>
      </w:r>
      <w:r w:rsidR="003F785C">
        <w:rPr>
          <w:rFonts w:cs="Times New Roman"/>
          <w:bCs/>
          <w:szCs w:val="24"/>
        </w:rPr>
        <w:t>ar atsevišķiem izņēmumiem pabeigti prokuratūrā.</w:t>
      </w:r>
    </w:p>
    <w:p w14:paraId="33FEEB6E" w14:textId="263500EE" w:rsidR="00FF6134" w:rsidRPr="00577BF3" w:rsidRDefault="00FF6134" w:rsidP="00567727">
      <w:pPr>
        <w:spacing w:after="0" w:line="240" w:lineRule="auto"/>
        <w:jc w:val="both"/>
        <w:rPr>
          <w:rFonts w:cs="Times New Roman"/>
          <w:bCs/>
          <w:szCs w:val="24"/>
        </w:rPr>
      </w:pPr>
    </w:p>
    <w:p w14:paraId="2624B8C6" w14:textId="6F4FF537" w:rsidR="00E9389B" w:rsidRPr="005E1BAD" w:rsidRDefault="00CE2DFA" w:rsidP="00E329FC">
      <w:pPr>
        <w:pStyle w:val="ListParagraph"/>
        <w:numPr>
          <w:ilvl w:val="0"/>
          <w:numId w:val="16"/>
        </w:numPr>
        <w:ind w:left="714" w:hanging="357"/>
        <w:rPr>
          <w:rFonts w:cs="Times New Roman"/>
          <w:b/>
          <w:szCs w:val="24"/>
        </w:rPr>
      </w:pPr>
      <w:r w:rsidRPr="00577BF3">
        <w:rPr>
          <w:rFonts w:cs="Times New Roman"/>
          <w:b/>
          <w:szCs w:val="24"/>
        </w:rPr>
        <w:t>T</w:t>
      </w:r>
      <w:r w:rsidR="00E9389B" w:rsidRPr="00577BF3">
        <w:rPr>
          <w:rFonts w:cs="Times New Roman"/>
          <w:b/>
          <w:szCs w:val="24"/>
        </w:rPr>
        <w:t>iesai nodot</w:t>
      </w:r>
      <w:r w:rsidR="007B5769">
        <w:rPr>
          <w:rFonts w:cs="Times New Roman"/>
          <w:b/>
          <w:szCs w:val="24"/>
        </w:rPr>
        <w:t>a</w:t>
      </w:r>
      <w:r w:rsidR="00E20A2C">
        <w:rPr>
          <w:rFonts w:cs="Times New Roman"/>
          <w:b/>
          <w:szCs w:val="24"/>
        </w:rPr>
        <w:t>s</w:t>
      </w:r>
      <w:r w:rsidR="00E9389B" w:rsidRPr="00577BF3">
        <w:rPr>
          <w:rFonts w:cs="Times New Roman"/>
          <w:b/>
          <w:szCs w:val="24"/>
        </w:rPr>
        <w:t xml:space="preserve"> krimināl</w:t>
      </w:r>
      <w:r w:rsidR="00E20A2C">
        <w:rPr>
          <w:rFonts w:cs="Times New Roman"/>
          <w:b/>
          <w:szCs w:val="24"/>
        </w:rPr>
        <w:t>lietas</w:t>
      </w:r>
      <w:r w:rsidR="00E9389B" w:rsidRPr="00577BF3">
        <w:rPr>
          <w:rFonts w:cs="Times New Roman"/>
          <w:b/>
          <w:szCs w:val="24"/>
        </w:rPr>
        <w:t>, no t</w:t>
      </w:r>
      <w:r w:rsidR="00E20A2C">
        <w:rPr>
          <w:rFonts w:cs="Times New Roman"/>
          <w:b/>
          <w:szCs w:val="24"/>
        </w:rPr>
        <w:t>ām</w:t>
      </w:r>
      <w:r w:rsidR="00E9389B" w:rsidRPr="00577BF3">
        <w:rPr>
          <w:rFonts w:cs="Times New Roman"/>
          <w:b/>
          <w:szCs w:val="24"/>
        </w:rPr>
        <w:t xml:space="preserve"> vienošanās procesa kārtībā</w:t>
      </w:r>
    </w:p>
    <w:p w14:paraId="213E15DB" w14:textId="7012A0F6" w:rsidR="00402AC0" w:rsidRDefault="00E9389B" w:rsidP="00AC1DDC">
      <w:pPr>
        <w:spacing w:after="0"/>
        <w:jc w:val="center"/>
        <w:rPr>
          <w:rFonts w:cs="Times New Roman"/>
          <w:b/>
          <w:szCs w:val="24"/>
        </w:rPr>
      </w:pPr>
      <w:r w:rsidRPr="00577BF3">
        <w:rPr>
          <w:rFonts w:cs="Times New Roman"/>
          <w:noProof/>
        </w:rPr>
        <w:drawing>
          <wp:inline distT="0" distB="0" distL="0" distR="0" wp14:anchorId="54E603D3" wp14:editId="7891AFF6">
            <wp:extent cx="5357283" cy="2387600"/>
            <wp:effectExtent l="0" t="0" r="15240" b="12700"/>
            <wp:docPr id="27"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F553BF7" w14:textId="77777777" w:rsidR="00366177" w:rsidRPr="00577BF3" w:rsidRDefault="00366177" w:rsidP="0068405D">
      <w:pPr>
        <w:spacing w:after="0"/>
        <w:jc w:val="center"/>
        <w:rPr>
          <w:rFonts w:cs="Times New Roman"/>
          <w:b/>
          <w:szCs w:val="24"/>
        </w:rPr>
      </w:pPr>
    </w:p>
    <w:p w14:paraId="12AA8FC9" w14:textId="61339C32" w:rsidR="003969F1" w:rsidRPr="00577BF3" w:rsidRDefault="00E9389B" w:rsidP="001642A4">
      <w:pPr>
        <w:spacing w:after="0" w:line="240" w:lineRule="auto"/>
        <w:jc w:val="both"/>
        <w:rPr>
          <w:rFonts w:cs="Times New Roman"/>
          <w:bCs/>
          <w:szCs w:val="24"/>
        </w:rPr>
      </w:pPr>
      <w:r w:rsidRPr="00577BF3">
        <w:rPr>
          <w:rFonts w:cs="Times New Roman"/>
          <w:bCs/>
          <w:szCs w:val="24"/>
        </w:rPr>
        <w:tab/>
        <w:t xml:space="preserve">Pamatā </w:t>
      </w:r>
      <w:r w:rsidR="00034C36">
        <w:rPr>
          <w:rFonts w:cs="Times New Roman"/>
          <w:bCs/>
          <w:szCs w:val="24"/>
        </w:rPr>
        <w:t xml:space="preserve">Kurzemes tiesas apgabala prokuratūras darbības teritorijā ietilpstošajās rajona līmeņa prokuratūrās </w:t>
      </w:r>
      <w:r w:rsidRPr="00577BF3">
        <w:rPr>
          <w:rFonts w:cs="Times New Roman"/>
          <w:bCs/>
          <w:szCs w:val="24"/>
        </w:rPr>
        <w:t>vērojams tiesai nodoto krimināl</w:t>
      </w:r>
      <w:r w:rsidR="00A871FF">
        <w:rPr>
          <w:rFonts w:cs="Times New Roman"/>
          <w:bCs/>
          <w:szCs w:val="24"/>
        </w:rPr>
        <w:t>lietu</w:t>
      </w:r>
      <w:r w:rsidRPr="00577BF3">
        <w:rPr>
          <w:rFonts w:cs="Times New Roman"/>
          <w:bCs/>
          <w:szCs w:val="24"/>
        </w:rPr>
        <w:t xml:space="preserve"> skaita samazinājums. Akcentējams Talsu rajona prokuratūras progress krimināl</w:t>
      </w:r>
      <w:r w:rsidR="003A20B2">
        <w:rPr>
          <w:rFonts w:cs="Times New Roman"/>
          <w:bCs/>
          <w:szCs w:val="24"/>
        </w:rPr>
        <w:t>lietu</w:t>
      </w:r>
      <w:r w:rsidRPr="00577BF3">
        <w:rPr>
          <w:rFonts w:cs="Times New Roman"/>
          <w:bCs/>
          <w:szCs w:val="24"/>
        </w:rPr>
        <w:t xml:space="preserve"> nodošanā tiesai, kas skaidrojams ar darba efektivitātes uzlabošanos šajā </w:t>
      </w:r>
      <w:r w:rsidR="0051023F">
        <w:rPr>
          <w:rFonts w:cs="Times New Roman"/>
          <w:bCs/>
          <w:szCs w:val="24"/>
        </w:rPr>
        <w:t xml:space="preserve">prokuratūras </w:t>
      </w:r>
      <w:r w:rsidRPr="00577BF3">
        <w:rPr>
          <w:rFonts w:cs="Times New Roman"/>
          <w:bCs/>
          <w:szCs w:val="24"/>
        </w:rPr>
        <w:t>struktūrvienībā.</w:t>
      </w:r>
      <w:r w:rsidR="008953D3">
        <w:rPr>
          <w:rFonts w:cs="Times New Roman"/>
          <w:bCs/>
          <w:szCs w:val="24"/>
        </w:rPr>
        <w:t xml:space="preserve"> V</w:t>
      </w:r>
      <w:r w:rsidR="008953D3" w:rsidRPr="00577BF3">
        <w:rPr>
          <w:rFonts w:cs="Times New Roman"/>
          <w:bCs/>
          <w:szCs w:val="24"/>
        </w:rPr>
        <w:t>ienošanās piemērošan</w:t>
      </w:r>
      <w:r w:rsidR="001D3655">
        <w:rPr>
          <w:rFonts w:cs="Times New Roman"/>
          <w:bCs/>
          <w:szCs w:val="24"/>
        </w:rPr>
        <w:t>u</w:t>
      </w:r>
      <w:r w:rsidR="008953D3" w:rsidRPr="00577BF3">
        <w:rPr>
          <w:rFonts w:cs="Times New Roman"/>
          <w:bCs/>
          <w:szCs w:val="24"/>
        </w:rPr>
        <w:t xml:space="preserve"> </w:t>
      </w:r>
      <w:r w:rsidR="006A392E">
        <w:rPr>
          <w:rFonts w:cs="Times New Roman"/>
          <w:bCs/>
          <w:szCs w:val="24"/>
        </w:rPr>
        <w:t xml:space="preserve">pirmstiesas kriminālprocesā </w:t>
      </w:r>
      <w:r w:rsidR="000A7052">
        <w:rPr>
          <w:rFonts w:cs="Times New Roman"/>
          <w:bCs/>
          <w:szCs w:val="24"/>
        </w:rPr>
        <w:t xml:space="preserve">vairāk vai mazāk </w:t>
      </w:r>
      <w:r w:rsidRPr="00577BF3">
        <w:rPr>
          <w:rFonts w:cs="Times New Roman"/>
          <w:bCs/>
          <w:szCs w:val="24"/>
        </w:rPr>
        <w:t>konsekventi izmanto</w:t>
      </w:r>
      <w:r w:rsidR="000A7052">
        <w:rPr>
          <w:rFonts w:cs="Times New Roman"/>
          <w:bCs/>
          <w:szCs w:val="24"/>
        </w:rPr>
        <w:t xml:space="preserve"> visas </w:t>
      </w:r>
      <w:r w:rsidR="001137C1">
        <w:rPr>
          <w:rFonts w:cs="Times New Roman"/>
          <w:bCs/>
          <w:szCs w:val="24"/>
        </w:rPr>
        <w:t xml:space="preserve">Kurzemes </w:t>
      </w:r>
      <w:r w:rsidR="00034C36">
        <w:rPr>
          <w:rFonts w:cs="Times New Roman"/>
          <w:bCs/>
          <w:szCs w:val="24"/>
        </w:rPr>
        <w:t xml:space="preserve">tiesas </w:t>
      </w:r>
      <w:r w:rsidR="00034C36">
        <w:rPr>
          <w:rFonts w:cs="Times New Roman"/>
          <w:bCs/>
          <w:szCs w:val="24"/>
        </w:rPr>
        <w:lastRenderedPageBreak/>
        <w:t xml:space="preserve">apgabala prokuratūras darbības teritorijā ietilpstošās rajona līmeņa </w:t>
      </w:r>
      <w:r w:rsidR="003225EB">
        <w:rPr>
          <w:rFonts w:cs="Times New Roman"/>
          <w:bCs/>
          <w:szCs w:val="24"/>
        </w:rPr>
        <w:t xml:space="preserve">prokuratūras. </w:t>
      </w:r>
      <w:r w:rsidR="006130DD">
        <w:rPr>
          <w:rFonts w:cs="Times New Roman"/>
          <w:bCs/>
          <w:szCs w:val="24"/>
        </w:rPr>
        <w:t xml:space="preserve">Īpaši atzīmējama ir Kuldīgas rajona prokuratūra, kas </w:t>
      </w:r>
      <w:r w:rsidR="00B91329">
        <w:rPr>
          <w:rFonts w:cs="Times New Roman"/>
          <w:bCs/>
          <w:szCs w:val="24"/>
        </w:rPr>
        <w:t>26 %</w:t>
      </w:r>
      <w:r w:rsidR="00BD7E72">
        <w:rPr>
          <w:rFonts w:cs="Times New Roman"/>
          <w:bCs/>
          <w:szCs w:val="24"/>
        </w:rPr>
        <w:t xml:space="preserve"> </w:t>
      </w:r>
      <w:r w:rsidR="00CE539A">
        <w:rPr>
          <w:rFonts w:cs="Times New Roman"/>
          <w:bCs/>
          <w:szCs w:val="24"/>
        </w:rPr>
        <w:t>krimināllietu</w:t>
      </w:r>
      <w:r w:rsidR="00AD178D">
        <w:rPr>
          <w:rFonts w:cs="Times New Roman"/>
          <w:bCs/>
          <w:szCs w:val="24"/>
        </w:rPr>
        <w:t xml:space="preserve"> nodevusi tiesai vienošanās procesa kārtībā.</w:t>
      </w:r>
    </w:p>
    <w:p w14:paraId="6FC9B925" w14:textId="7415A32E" w:rsidR="00E9389B" w:rsidRDefault="00E9389B" w:rsidP="00D718BE">
      <w:pPr>
        <w:spacing w:after="0" w:line="240" w:lineRule="auto"/>
        <w:jc w:val="both"/>
        <w:rPr>
          <w:rFonts w:cs="Times New Roman"/>
        </w:rPr>
      </w:pPr>
      <w:r w:rsidRPr="00577BF3">
        <w:rPr>
          <w:rFonts w:cs="Times New Roman"/>
          <w:bCs/>
          <w:szCs w:val="24"/>
        </w:rPr>
        <w:tab/>
      </w:r>
      <w:r w:rsidRPr="00577BF3">
        <w:rPr>
          <w:rFonts w:cs="Times New Roman"/>
        </w:rPr>
        <w:t>Pirmstiesas kriminālproces</w:t>
      </w:r>
      <w:r w:rsidR="00CF6CFD">
        <w:rPr>
          <w:rFonts w:cs="Times New Roman"/>
        </w:rPr>
        <w:t>a</w:t>
      </w:r>
      <w:r w:rsidRPr="00577BF3">
        <w:rPr>
          <w:rFonts w:cs="Times New Roman"/>
        </w:rPr>
        <w:t xml:space="preserve"> pabeigšana</w:t>
      </w:r>
      <w:r w:rsidR="00D96D8E">
        <w:rPr>
          <w:rFonts w:cs="Times New Roman"/>
        </w:rPr>
        <w:t xml:space="preserve"> </w:t>
      </w:r>
      <w:r w:rsidRPr="00577BF3">
        <w:rPr>
          <w:rFonts w:cs="Times New Roman"/>
        </w:rPr>
        <w:t>vienošan</w:t>
      </w:r>
      <w:r w:rsidR="00427FF3">
        <w:rPr>
          <w:rFonts w:cs="Times New Roman"/>
        </w:rPr>
        <w:t>ā</w:t>
      </w:r>
      <w:r w:rsidR="00706D25">
        <w:rPr>
          <w:rFonts w:cs="Times New Roman"/>
        </w:rPr>
        <w:t>s</w:t>
      </w:r>
      <w:r w:rsidR="00427FF3">
        <w:rPr>
          <w:rFonts w:cs="Times New Roman"/>
        </w:rPr>
        <w:t xml:space="preserve"> procesa kārtībā</w:t>
      </w:r>
      <w:r w:rsidRPr="00577BF3">
        <w:rPr>
          <w:rFonts w:cs="Times New Roman"/>
        </w:rPr>
        <w:t xml:space="preserve"> tiek pozitīvi vērtēta arī no Kurzemes rajona tiesas tiesnešu puses</w:t>
      </w:r>
      <w:r w:rsidR="007743D6">
        <w:rPr>
          <w:rFonts w:cs="Times New Roman"/>
        </w:rPr>
        <w:t xml:space="preserve">, </w:t>
      </w:r>
      <w:bookmarkStart w:id="27" w:name="_Hlk64140803"/>
      <w:r w:rsidR="007743D6">
        <w:rPr>
          <w:rFonts w:cs="Times New Roman"/>
        </w:rPr>
        <w:t xml:space="preserve">jo </w:t>
      </w:r>
      <w:r w:rsidR="007A1D7C">
        <w:rPr>
          <w:rFonts w:cs="Times New Roman"/>
        </w:rPr>
        <w:t>sekmē</w:t>
      </w:r>
      <w:r w:rsidR="00203FA1">
        <w:rPr>
          <w:rFonts w:cs="Times New Roman"/>
        </w:rPr>
        <w:t xml:space="preserve"> </w:t>
      </w:r>
      <w:r w:rsidR="00706D25">
        <w:rPr>
          <w:rFonts w:cs="Times New Roman"/>
        </w:rPr>
        <w:t>krimināl</w:t>
      </w:r>
      <w:r w:rsidR="00203FA1">
        <w:rPr>
          <w:rFonts w:cs="Times New Roman"/>
        </w:rPr>
        <w:t>lietas izskatīšanu saprātīgā termiņā un</w:t>
      </w:r>
      <w:r w:rsidR="007A1D7C">
        <w:rPr>
          <w:rFonts w:cs="Times New Roman"/>
        </w:rPr>
        <w:t xml:space="preserve"> </w:t>
      </w:r>
      <w:r w:rsidR="00B1038C" w:rsidRPr="00577BF3">
        <w:rPr>
          <w:rFonts w:cs="Times New Roman"/>
        </w:rPr>
        <w:t>procesuālās ekonomijas princip</w:t>
      </w:r>
      <w:r w:rsidR="007A1D7C">
        <w:rPr>
          <w:rFonts w:cs="Times New Roman"/>
        </w:rPr>
        <w:t>a ievērošanu.</w:t>
      </w:r>
    </w:p>
    <w:bookmarkEnd w:id="27"/>
    <w:p w14:paraId="2684363F" w14:textId="77777777" w:rsidR="00D718BE" w:rsidRPr="00D718BE" w:rsidRDefault="00D718BE" w:rsidP="00D718BE">
      <w:pPr>
        <w:spacing w:after="0" w:line="240" w:lineRule="auto"/>
        <w:jc w:val="both"/>
        <w:rPr>
          <w:rFonts w:cs="Times New Roman"/>
        </w:rPr>
      </w:pPr>
    </w:p>
    <w:p w14:paraId="4B243F3A" w14:textId="147E86AB" w:rsidR="002B6F64" w:rsidRPr="005E1BAD" w:rsidRDefault="00E9389B" w:rsidP="00E329FC">
      <w:pPr>
        <w:pStyle w:val="ListParagraph"/>
        <w:numPr>
          <w:ilvl w:val="0"/>
          <w:numId w:val="16"/>
        </w:numPr>
        <w:spacing w:after="120"/>
        <w:ind w:left="714" w:hanging="357"/>
        <w:jc w:val="both"/>
        <w:rPr>
          <w:rFonts w:cs="Times New Roman"/>
          <w:b/>
          <w:szCs w:val="24"/>
        </w:rPr>
      </w:pPr>
      <w:r w:rsidRPr="00577BF3">
        <w:rPr>
          <w:rFonts w:cs="Times New Roman"/>
          <w:b/>
          <w:szCs w:val="24"/>
        </w:rPr>
        <w:t>Prokuratūrā pabeigti kriminālprocesi ar prokurora priekšrakstu par sodu</w:t>
      </w:r>
    </w:p>
    <w:p w14:paraId="1CB78576" w14:textId="6570D9A2" w:rsidR="003A19F8" w:rsidRDefault="00E9389B" w:rsidP="00AC1DDC">
      <w:pPr>
        <w:spacing w:after="0"/>
        <w:jc w:val="center"/>
        <w:rPr>
          <w:rFonts w:cs="Times New Roman"/>
          <w:bCs/>
          <w:szCs w:val="24"/>
        </w:rPr>
      </w:pPr>
      <w:r w:rsidRPr="00577BF3">
        <w:rPr>
          <w:rFonts w:cs="Times New Roman"/>
          <w:noProof/>
        </w:rPr>
        <w:drawing>
          <wp:inline distT="0" distB="0" distL="0" distR="0" wp14:anchorId="172D926B" wp14:editId="5C74EA6A">
            <wp:extent cx="5384800" cy="2139950"/>
            <wp:effectExtent l="0" t="0" r="6350" b="12700"/>
            <wp:docPr id="23"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50C974F" w14:textId="77777777" w:rsidR="006B2A28" w:rsidRDefault="006B2A28" w:rsidP="003A19F8">
      <w:pPr>
        <w:spacing w:after="0"/>
        <w:jc w:val="both"/>
        <w:rPr>
          <w:rFonts w:cs="Times New Roman"/>
          <w:bCs/>
          <w:szCs w:val="24"/>
        </w:rPr>
      </w:pPr>
    </w:p>
    <w:p w14:paraId="2496027E" w14:textId="58F01E63" w:rsidR="00CB1DF0" w:rsidRDefault="00E9389B" w:rsidP="009A0DDA">
      <w:pPr>
        <w:spacing w:after="0" w:line="240" w:lineRule="auto"/>
        <w:ind w:firstLine="709"/>
        <w:jc w:val="both"/>
        <w:rPr>
          <w:rFonts w:cs="Times New Roman"/>
          <w:bCs/>
          <w:szCs w:val="24"/>
        </w:rPr>
      </w:pPr>
      <w:r w:rsidRPr="00577BF3">
        <w:rPr>
          <w:rFonts w:cs="Times New Roman"/>
          <w:bCs/>
          <w:szCs w:val="24"/>
        </w:rPr>
        <w:t xml:space="preserve">Ar prokurora priekšrakstu par sodu pabeigto </w:t>
      </w:r>
      <w:r w:rsidR="00A11F09">
        <w:rPr>
          <w:rFonts w:cs="Times New Roman"/>
          <w:bCs/>
          <w:szCs w:val="24"/>
        </w:rPr>
        <w:t xml:space="preserve">pirmstiesas </w:t>
      </w:r>
      <w:r w:rsidRPr="00577BF3">
        <w:rPr>
          <w:rFonts w:cs="Times New Roman"/>
          <w:bCs/>
          <w:szCs w:val="24"/>
        </w:rPr>
        <w:t>kriminālprocesu skaits</w:t>
      </w:r>
      <w:r w:rsidR="002C562D">
        <w:rPr>
          <w:rFonts w:cs="Times New Roman"/>
          <w:bCs/>
          <w:szCs w:val="24"/>
        </w:rPr>
        <w:t>, kas kopumā ir pietiekami</w:t>
      </w:r>
      <w:r w:rsidR="00B62026">
        <w:rPr>
          <w:rFonts w:cs="Times New Roman"/>
          <w:bCs/>
          <w:szCs w:val="24"/>
        </w:rPr>
        <w:t xml:space="preserve"> liel</w:t>
      </w:r>
      <w:r w:rsidR="00AE6B99">
        <w:rPr>
          <w:rFonts w:cs="Times New Roman"/>
          <w:bCs/>
          <w:szCs w:val="24"/>
        </w:rPr>
        <w:t>s,</w:t>
      </w:r>
      <w:r w:rsidRPr="00577BF3">
        <w:rPr>
          <w:rFonts w:cs="Times New Roman"/>
          <w:bCs/>
          <w:szCs w:val="24"/>
        </w:rPr>
        <w:t xml:space="preserve"> būtiski pieaudzis </w:t>
      </w:r>
      <w:r w:rsidR="00766BEF">
        <w:rPr>
          <w:rFonts w:cs="Times New Roman"/>
          <w:bCs/>
          <w:szCs w:val="24"/>
        </w:rPr>
        <w:t>trij</w:t>
      </w:r>
      <w:r w:rsidR="007B7CF0">
        <w:rPr>
          <w:rFonts w:cs="Times New Roman"/>
          <w:bCs/>
          <w:szCs w:val="24"/>
        </w:rPr>
        <w:t>ā</w:t>
      </w:r>
      <w:r w:rsidR="000E27EA">
        <w:rPr>
          <w:rFonts w:cs="Times New Roman"/>
          <w:bCs/>
          <w:szCs w:val="24"/>
        </w:rPr>
        <w:t>s</w:t>
      </w:r>
      <w:r w:rsidRPr="00577BF3">
        <w:rPr>
          <w:rFonts w:cs="Times New Roman"/>
          <w:bCs/>
          <w:szCs w:val="24"/>
        </w:rPr>
        <w:t xml:space="preserve"> no piecām </w:t>
      </w:r>
      <w:r w:rsidR="00AD00A1">
        <w:rPr>
          <w:rFonts w:cs="Times New Roman"/>
          <w:bCs/>
          <w:szCs w:val="24"/>
        </w:rPr>
        <w:t>Kurzemes reģiona rajona</w:t>
      </w:r>
      <w:r w:rsidR="004F2F77">
        <w:rPr>
          <w:rFonts w:cs="Times New Roman"/>
          <w:bCs/>
          <w:szCs w:val="24"/>
        </w:rPr>
        <w:t xml:space="preserve"> </w:t>
      </w:r>
      <w:r w:rsidR="000E27EA">
        <w:rPr>
          <w:rFonts w:cs="Times New Roman"/>
          <w:bCs/>
          <w:szCs w:val="24"/>
        </w:rPr>
        <w:t xml:space="preserve">prokuratūras </w:t>
      </w:r>
      <w:r w:rsidRPr="00577BF3">
        <w:rPr>
          <w:rFonts w:cs="Times New Roman"/>
          <w:bCs/>
          <w:szCs w:val="24"/>
        </w:rPr>
        <w:t>struktūrvienībām</w:t>
      </w:r>
      <w:r w:rsidR="007A00B5">
        <w:rPr>
          <w:rFonts w:cs="Times New Roman"/>
          <w:bCs/>
          <w:szCs w:val="24"/>
        </w:rPr>
        <w:t xml:space="preserve"> – </w:t>
      </w:r>
      <w:r w:rsidRPr="00577BF3">
        <w:rPr>
          <w:rFonts w:cs="Times New Roman"/>
          <w:bCs/>
          <w:szCs w:val="24"/>
        </w:rPr>
        <w:t>Liepājas</w:t>
      </w:r>
      <w:r w:rsidR="000E27EA">
        <w:rPr>
          <w:rFonts w:cs="Times New Roman"/>
          <w:bCs/>
          <w:szCs w:val="24"/>
        </w:rPr>
        <w:t xml:space="preserve"> prokuratūrā</w:t>
      </w:r>
      <w:r w:rsidR="00766BEF">
        <w:rPr>
          <w:rFonts w:cs="Times New Roman"/>
          <w:bCs/>
          <w:szCs w:val="24"/>
        </w:rPr>
        <w:t xml:space="preserve">, </w:t>
      </w:r>
      <w:r w:rsidRPr="00577BF3">
        <w:rPr>
          <w:rFonts w:cs="Times New Roman"/>
          <w:bCs/>
          <w:szCs w:val="24"/>
        </w:rPr>
        <w:t>Saldus</w:t>
      </w:r>
      <w:r w:rsidR="000E27EA">
        <w:rPr>
          <w:rFonts w:cs="Times New Roman"/>
          <w:bCs/>
          <w:szCs w:val="24"/>
        </w:rPr>
        <w:t xml:space="preserve"> rajona prokuratūrā</w:t>
      </w:r>
      <w:r w:rsidR="007A00B5">
        <w:rPr>
          <w:rFonts w:cs="Times New Roman"/>
          <w:bCs/>
          <w:szCs w:val="24"/>
        </w:rPr>
        <w:t xml:space="preserve"> un</w:t>
      </w:r>
      <w:r w:rsidRPr="00577BF3">
        <w:rPr>
          <w:rFonts w:cs="Times New Roman"/>
          <w:bCs/>
          <w:szCs w:val="24"/>
        </w:rPr>
        <w:t xml:space="preserve"> Talsu rajona prokuratūrā.</w:t>
      </w:r>
    </w:p>
    <w:p w14:paraId="25DC84E2" w14:textId="77777777" w:rsidR="00872528" w:rsidRPr="009A0DDA" w:rsidRDefault="00872528" w:rsidP="009A0DDA">
      <w:pPr>
        <w:spacing w:after="0" w:line="240" w:lineRule="auto"/>
        <w:ind w:firstLine="709"/>
        <w:jc w:val="both"/>
        <w:rPr>
          <w:rFonts w:cs="Times New Roman"/>
          <w:bCs/>
          <w:szCs w:val="24"/>
        </w:rPr>
      </w:pPr>
    </w:p>
    <w:p w14:paraId="386C5E47" w14:textId="7F146D34" w:rsidR="00BF4D95" w:rsidRPr="005E1BAD" w:rsidRDefault="00E9389B" w:rsidP="00E329FC">
      <w:pPr>
        <w:pStyle w:val="ListParagraph"/>
        <w:numPr>
          <w:ilvl w:val="0"/>
          <w:numId w:val="16"/>
        </w:numPr>
        <w:spacing w:after="120"/>
        <w:ind w:left="714" w:hanging="357"/>
        <w:jc w:val="both"/>
        <w:rPr>
          <w:rFonts w:cs="Times New Roman"/>
          <w:b/>
          <w:szCs w:val="24"/>
        </w:rPr>
      </w:pPr>
      <w:r w:rsidRPr="00577BF3">
        <w:rPr>
          <w:rFonts w:cs="Times New Roman"/>
          <w:b/>
          <w:szCs w:val="24"/>
        </w:rPr>
        <w:t>Pēc K</w:t>
      </w:r>
      <w:r w:rsidR="00C85541" w:rsidRPr="00577BF3">
        <w:rPr>
          <w:rFonts w:cs="Times New Roman"/>
          <w:b/>
          <w:szCs w:val="24"/>
        </w:rPr>
        <w:t>rimināllikuma</w:t>
      </w:r>
      <w:r w:rsidRPr="00577BF3">
        <w:rPr>
          <w:rFonts w:cs="Times New Roman"/>
          <w:b/>
          <w:szCs w:val="24"/>
        </w:rPr>
        <w:t xml:space="preserve"> 180.</w:t>
      </w:r>
      <w:r w:rsidR="00C85541" w:rsidRPr="00577BF3">
        <w:rPr>
          <w:rFonts w:cs="Times New Roman"/>
          <w:b/>
          <w:szCs w:val="24"/>
        </w:rPr>
        <w:t> </w:t>
      </w:r>
      <w:r w:rsidRPr="00577BF3">
        <w:rPr>
          <w:rFonts w:cs="Times New Roman"/>
          <w:b/>
          <w:szCs w:val="24"/>
        </w:rPr>
        <w:t xml:space="preserve">panta pabeigto </w:t>
      </w:r>
      <w:r w:rsidR="00332324">
        <w:rPr>
          <w:rFonts w:cs="Times New Roman"/>
          <w:b/>
          <w:szCs w:val="24"/>
        </w:rPr>
        <w:t>kriminālprocesu</w:t>
      </w:r>
      <w:r w:rsidRPr="00577BF3">
        <w:rPr>
          <w:rFonts w:cs="Times New Roman"/>
          <w:b/>
          <w:szCs w:val="24"/>
        </w:rPr>
        <w:t xml:space="preserve"> procentuālā attiecība pret kopā pabeigto kriminālprocesu skaitu</w:t>
      </w:r>
    </w:p>
    <w:p w14:paraId="5AD3834A" w14:textId="03E9DD4E" w:rsidR="00C648F7" w:rsidRDefault="00E9389B" w:rsidP="00AC1DDC">
      <w:pPr>
        <w:spacing w:after="0"/>
        <w:jc w:val="center"/>
        <w:rPr>
          <w:rFonts w:cs="Times New Roman"/>
          <w:b/>
          <w:szCs w:val="24"/>
        </w:rPr>
      </w:pPr>
      <w:r w:rsidRPr="00577BF3">
        <w:rPr>
          <w:rFonts w:cs="Times New Roman"/>
          <w:noProof/>
        </w:rPr>
        <w:drawing>
          <wp:inline distT="0" distB="0" distL="0" distR="0" wp14:anchorId="4A56C167" wp14:editId="715827AA">
            <wp:extent cx="5391150" cy="2184400"/>
            <wp:effectExtent l="0" t="0" r="0" b="6350"/>
            <wp:docPr id="19"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6533508" w14:textId="77777777" w:rsidR="00366177" w:rsidRPr="00577BF3" w:rsidRDefault="00366177" w:rsidP="00C648F7">
      <w:pPr>
        <w:spacing w:after="0"/>
        <w:jc w:val="both"/>
        <w:rPr>
          <w:rFonts w:cs="Times New Roman"/>
          <w:b/>
          <w:szCs w:val="24"/>
        </w:rPr>
      </w:pPr>
    </w:p>
    <w:p w14:paraId="21ED7C2B" w14:textId="1B1658CA" w:rsidR="00E9389B" w:rsidRDefault="00E9389B" w:rsidP="00487667">
      <w:pPr>
        <w:spacing w:after="0" w:line="240" w:lineRule="auto"/>
        <w:jc w:val="both"/>
        <w:rPr>
          <w:rFonts w:cs="Times New Roman"/>
          <w:bCs/>
          <w:szCs w:val="24"/>
        </w:rPr>
      </w:pPr>
      <w:r w:rsidRPr="00577BF3">
        <w:rPr>
          <w:rFonts w:cs="Times New Roman"/>
          <w:b/>
          <w:szCs w:val="24"/>
        </w:rPr>
        <w:tab/>
      </w:r>
      <w:r w:rsidR="00482F24">
        <w:rPr>
          <w:rFonts w:cs="Times New Roman"/>
          <w:bCs/>
          <w:szCs w:val="24"/>
        </w:rPr>
        <w:t xml:space="preserve">2020. gadā </w:t>
      </w:r>
      <w:r w:rsidR="00CB3DD7" w:rsidRPr="00577BF3">
        <w:rPr>
          <w:rFonts w:cs="Times New Roman"/>
          <w:bCs/>
          <w:szCs w:val="24"/>
        </w:rPr>
        <w:t>salīdzinājumā ar 2019.</w:t>
      </w:r>
      <w:r w:rsidR="00CB3DD7">
        <w:rPr>
          <w:rFonts w:cs="Times New Roman"/>
          <w:bCs/>
          <w:szCs w:val="24"/>
        </w:rPr>
        <w:t> </w:t>
      </w:r>
      <w:r w:rsidR="00CB3DD7" w:rsidRPr="00577BF3">
        <w:rPr>
          <w:rFonts w:cs="Times New Roman"/>
          <w:bCs/>
          <w:szCs w:val="24"/>
        </w:rPr>
        <w:t>gadu</w:t>
      </w:r>
      <w:r w:rsidR="00CB3DD7">
        <w:rPr>
          <w:rFonts w:cs="Times New Roman"/>
          <w:bCs/>
          <w:szCs w:val="24"/>
        </w:rPr>
        <w:t xml:space="preserve"> </w:t>
      </w:r>
      <w:r w:rsidR="00482F24">
        <w:rPr>
          <w:rFonts w:cs="Times New Roman"/>
          <w:bCs/>
          <w:szCs w:val="24"/>
        </w:rPr>
        <w:t>p</w:t>
      </w:r>
      <w:r w:rsidRPr="00577BF3">
        <w:rPr>
          <w:rFonts w:cs="Times New Roman"/>
          <w:bCs/>
          <w:szCs w:val="24"/>
        </w:rPr>
        <w:t>ēc Krimināllikuma 180.</w:t>
      </w:r>
      <w:r w:rsidR="00C648F7">
        <w:rPr>
          <w:rFonts w:cs="Times New Roman"/>
          <w:bCs/>
          <w:szCs w:val="24"/>
        </w:rPr>
        <w:t> </w:t>
      </w:r>
      <w:r w:rsidRPr="00577BF3">
        <w:rPr>
          <w:rFonts w:cs="Times New Roman"/>
          <w:bCs/>
          <w:szCs w:val="24"/>
        </w:rPr>
        <w:t xml:space="preserve">panta pabeigto kriminālprocesu īpatsvars </w:t>
      </w:r>
      <w:r w:rsidR="0097087B">
        <w:rPr>
          <w:rFonts w:cs="Times New Roman"/>
          <w:bCs/>
          <w:szCs w:val="24"/>
        </w:rPr>
        <w:t>pret kopā pabeigto kriminālprocesu skaitu</w:t>
      </w:r>
      <w:r w:rsidR="00034C36">
        <w:rPr>
          <w:rFonts w:cs="Times New Roman"/>
          <w:bCs/>
          <w:szCs w:val="24"/>
        </w:rPr>
        <w:t xml:space="preserve"> </w:t>
      </w:r>
      <w:r w:rsidRPr="00577BF3">
        <w:rPr>
          <w:rFonts w:cs="Times New Roman"/>
          <w:bCs/>
          <w:szCs w:val="24"/>
        </w:rPr>
        <w:t>samazinājies tr</w:t>
      </w:r>
      <w:r w:rsidR="00C95F17">
        <w:rPr>
          <w:rFonts w:cs="Times New Roman"/>
          <w:bCs/>
          <w:szCs w:val="24"/>
        </w:rPr>
        <w:t>ijās</w:t>
      </w:r>
      <w:r w:rsidRPr="00577BF3">
        <w:rPr>
          <w:rFonts w:cs="Times New Roman"/>
          <w:bCs/>
          <w:szCs w:val="24"/>
        </w:rPr>
        <w:t xml:space="preserve"> </w:t>
      </w:r>
      <w:r w:rsidR="00034C36">
        <w:rPr>
          <w:rFonts w:cs="Times New Roman"/>
          <w:bCs/>
          <w:szCs w:val="24"/>
        </w:rPr>
        <w:t xml:space="preserve">Kurzemes tiesas apgabala prokuratūras darbības teritorijā ietilpstošajās rajona līmeņa prokuratūras struktūrvienībās </w:t>
      </w:r>
      <w:r w:rsidR="00577A8A">
        <w:rPr>
          <w:rFonts w:cs="Times New Roman"/>
          <w:bCs/>
          <w:szCs w:val="24"/>
        </w:rPr>
        <w:t>(Liepājas prokuratūrā, Kuldīgas rajona prokuratūrā un</w:t>
      </w:r>
      <w:r w:rsidR="00575396">
        <w:rPr>
          <w:rFonts w:cs="Times New Roman"/>
          <w:bCs/>
          <w:szCs w:val="24"/>
        </w:rPr>
        <w:t xml:space="preserve"> Saldus rajona prokuratūrā)</w:t>
      </w:r>
      <w:r w:rsidR="001A05BD">
        <w:rPr>
          <w:rFonts w:cs="Times New Roman"/>
          <w:bCs/>
          <w:szCs w:val="24"/>
        </w:rPr>
        <w:t>. Turklāt</w:t>
      </w:r>
      <w:r w:rsidRPr="00577BF3">
        <w:rPr>
          <w:rFonts w:cs="Times New Roman"/>
          <w:bCs/>
          <w:szCs w:val="24"/>
        </w:rPr>
        <w:t xml:space="preserve"> kopumā </w:t>
      </w:r>
      <w:r w:rsidR="00C95F17">
        <w:rPr>
          <w:rFonts w:cs="Times New Roman"/>
          <w:bCs/>
          <w:szCs w:val="24"/>
        </w:rPr>
        <w:t xml:space="preserve">tas </w:t>
      </w:r>
      <w:r w:rsidRPr="00577BF3">
        <w:rPr>
          <w:rFonts w:cs="Times New Roman"/>
          <w:bCs/>
          <w:szCs w:val="24"/>
        </w:rPr>
        <w:t>vērtējams k</w:t>
      </w:r>
      <w:r w:rsidR="00F307A2">
        <w:rPr>
          <w:rFonts w:cs="Times New Roman"/>
          <w:bCs/>
          <w:szCs w:val="24"/>
        </w:rPr>
        <w:t xml:space="preserve">ā </w:t>
      </w:r>
      <w:r w:rsidR="006D08E0">
        <w:rPr>
          <w:rFonts w:cs="Times New Roman"/>
          <w:bCs/>
          <w:szCs w:val="24"/>
        </w:rPr>
        <w:t>zems</w:t>
      </w:r>
      <w:r w:rsidRPr="00577BF3">
        <w:rPr>
          <w:rFonts w:cs="Times New Roman"/>
          <w:bCs/>
          <w:szCs w:val="24"/>
        </w:rPr>
        <w:t xml:space="preserve">. Šāda tendence norāda, ka izmeklēšanas iestāžu un līdz ar to arī prokuratūras resurss pamatoti netiek </w:t>
      </w:r>
      <w:r w:rsidR="006C1416">
        <w:rPr>
          <w:rFonts w:cs="Times New Roman"/>
          <w:bCs/>
          <w:szCs w:val="24"/>
        </w:rPr>
        <w:t>tērēts</w:t>
      </w:r>
      <w:r w:rsidRPr="00577BF3">
        <w:rPr>
          <w:rFonts w:cs="Times New Roman"/>
          <w:bCs/>
          <w:szCs w:val="24"/>
        </w:rPr>
        <w:t xml:space="preserve"> “sīko zādzību” apkarošanai, </w:t>
      </w:r>
      <w:r w:rsidR="006C1416">
        <w:rPr>
          <w:rFonts w:cs="Times New Roman"/>
          <w:bCs/>
          <w:szCs w:val="24"/>
        </w:rPr>
        <w:t xml:space="preserve">kas ļauj to </w:t>
      </w:r>
      <w:r w:rsidR="00862480">
        <w:rPr>
          <w:rFonts w:cs="Times New Roman"/>
          <w:bCs/>
          <w:szCs w:val="24"/>
        </w:rPr>
        <w:t xml:space="preserve">novirzīt </w:t>
      </w:r>
      <w:r w:rsidRPr="00577BF3">
        <w:rPr>
          <w:rFonts w:cs="Times New Roman"/>
          <w:bCs/>
          <w:szCs w:val="24"/>
        </w:rPr>
        <w:t>smagu un sevišķi smagu noziegumu apkarošanai.</w:t>
      </w:r>
    </w:p>
    <w:p w14:paraId="20AF6A3E" w14:textId="1806E50D" w:rsidR="003801D8" w:rsidRPr="00577BF3" w:rsidRDefault="003801D8" w:rsidP="00034C36">
      <w:pPr>
        <w:spacing w:after="0" w:line="240" w:lineRule="auto"/>
        <w:ind w:firstLine="714"/>
        <w:jc w:val="both"/>
        <w:rPr>
          <w:rFonts w:cs="Times New Roman"/>
          <w:bCs/>
          <w:szCs w:val="24"/>
        </w:rPr>
      </w:pPr>
      <w:r>
        <w:rPr>
          <w:rFonts w:cs="Times New Roman"/>
          <w:bCs/>
          <w:szCs w:val="24"/>
        </w:rPr>
        <w:lastRenderedPageBreak/>
        <w:t>2020.</w:t>
      </w:r>
      <w:r w:rsidR="00820184">
        <w:rPr>
          <w:rFonts w:cs="Times New Roman"/>
          <w:bCs/>
          <w:szCs w:val="24"/>
        </w:rPr>
        <w:t> </w:t>
      </w:r>
      <w:r>
        <w:rPr>
          <w:rFonts w:cs="Times New Roman"/>
          <w:bCs/>
          <w:szCs w:val="24"/>
        </w:rPr>
        <w:t xml:space="preserve">gadā Kurzemes </w:t>
      </w:r>
      <w:r w:rsidR="00034C36">
        <w:rPr>
          <w:rFonts w:cs="Times New Roman"/>
          <w:bCs/>
          <w:szCs w:val="24"/>
        </w:rPr>
        <w:t xml:space="preserve">tiesas apgabala prokuratūras darbības teritorijā ietilpstošo rajona līmeņa prokuratūru </w:t>
      </w:r>
      <w:r>
        <w:rPr>
          <w:rFonts w:cs="Times New Roman"/>
          <w:bCs/>
          <w:szCs w:val="24"/>
        </w:rPr>
        <w:t>prokurori īpašu uzmanību pievērsa kriminālprocesu pabeigšanai pēc iespējas īsākos termiņos (līdz 48</w:t>
      </w:r>
      <w:r w:rsidR="0085278C">
        <w:rPr>
          <w:rFonts w:cs="Times New Roman"/>
          <w:bCs/>
          <w:szCs w:val="24"/>
        </w:rPr>
        <w:t> </w:t>
      </w:r>
      <w:r>
        <w:rPr>
          <w:rFonts w:cs="Times New Roman"/>
          <w:bCs/>
          <w:szCs w:val="24"/>
        </w:rPr>
        <w:t>stundām no kriminālprocesa uzsākšanas brīža).</w:t>
      </w:r>
    </w:p>
    <w:p w14:paraId="4B23FBFC" w14:textId="77777777" w:rsidR="001208DF" w:rsidRPr="00577BF3" w:rsidRDefault="001208DF" w:rsidP="00DE53AD">
      <w:pPr>
        <w:spacing w:after="0"/>
        <w:jc w:val="both"/>
        <w:rPr>
          <w:rFonts w:cs="Times New Roman"/>
          <w:bCs/>
          <w:szCs w:val="24"/>
        </w:rPr>
      </w:pPr>
    </w:p>
    <w:p w14:paraId="31B810D2" w14:textId="1C0FDB89" w:rsidR="00E9389B" w:rsidRPr="005E1BAD" w:rsidRDefault="00F1709D" w:rsidP="00E329FC">
      <w:pPr>
        <w:pStyle w:val="ListParagraph"/>
        <w:numPr>
          <w:ilvl w:val="0"/>
          <w:numId w:val="16"/>
        </w:numPr>
        <w:spacing w:after="120"/>
        <w:ind w:left="714" w:hanging="357"/>
        <w:jc w:val="both"/>
        <w:rPr>
          <w:rFonts w:cs="Times New Roman"/>
          <w:b/>
          <w:szCs w:val="24"/>
        </w:rPr>
      </w:pPr>
      <w:r>
        <w:rPr>
          <w:rFonts w:cs="Times New Roman"/>
          <w:b/>
          <w:szCs w:val="24"/>
        </w:rPr>
        <w:t>Prokuroru u</w:t>
      </w:r>
      <w:r w:rsidR="00E9389B" w:rsidRPr="00577BF3">
        <w:rPr>
          <w:rFonts w:cs="Times New Roman"/>
          <w:b/>
          <w:szCs w:val="24"/>
        </w:rPr>
        <w:t>zraudzībā pieņemti kriminālprocesi</w:t>
      </w:r>
    </w:p>
    <w:p w14:paraId="671A324B" w14:textId="55E7F484" w:rsidR="00E9389B" w:rsidRDefault="00E9389B" w:rsidP="00AC1DDC">
      <w:pPr>
        <w:spacing w:after="0"/>
        <w:jc w:val="center"/>
        <w:rPr>
          <w:rFonts w:cs="Times New Roman"/>
          <w:bCs/>
          <w:szCs w:val="24"/>
        </w:rPr>
      </w:pPr>
      <w:r w:rsidRPr="00577BF3">
        <w:rPr>
          <w:rFonts w:cs="Times New Roman"/>
          <w:noProof/>
        </w:rPr>
        <w:drawing>
          <wp:inline distT="0" distB="0" distL="0" distR="0" wp14:anchorId="7D465E89" wp14:editId="0C738AB7">
            <wp:extent cx="5391150" cy="2082800"/>
            <wp:effectExtent l="0" t="0" r="0" b="12700"/>
            <wp:docPr id="18"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135BD31" w14:textId="77777777" w:rsidR="00872528" w:rsidRPr="00577BF3" w:rsidRDefault="00872528" w:rsidP="00872528">
      <w:pPr>
        <w:spacing w:after="0"/>
        <w:jc w:val="both"/>
        <w:rPr>
          <w:rFonts w:cs="Times New Roman"/>
          <w:bCs/>
          <w:szCs w:val="24"/>
        </w:rPr>
      </w:pPr>
    </w:p>
    <w:p w14:paraId="15261BBC" w14:textId="03A0FF8E" w:rsidR="00487667" w:rsidRDefault="00E9389B" w:rsidP="00C9340D">
      <w:pPr>
        <w:spacing w:after="0" w:line="240" w:lineRule="auto"/>
        <w:jc w:val="both"/>
        <w:rPr>
          <w:rFonts w:cs="Times New Roman"/>
          <w:szCs w:val="24"/>
        </w:rPr>
      </w:pPr>
      <w:r w:rsidRPr="00577BF3">
        <w:rPr>
          <w:rFonts w:cs="Times New Roman"/>
          <w:bCs/>
          <w:szCs w:val="24"/>
        </w:rPr>
        <w:tab/>
      </w:r>
      <w:r w:rsidR="00762FB2">
        <w:rPr>
          <w:rFonts w:cs="Times New Roman"/>
          <w:bCs/>
          <w:szCs w:val="24"/>
        </w:rPr>
        <w:t xml:space="preserve">Kurzemes </w:t>
      </w:r>
      <w:r w:rsidR="00034C36">
        <w:rPr>
          <w:rFonts w:cs="Times New Roman"/>
          <w:bCs/>
          <w:szCs w:val="24"/>
        </w:rPr>
        <w:t xml:space="preserve">tiesas apgabala prokuratūras darbības teritorijā ietilpstošajās rajona līmeņa prokuratūrās </w:t>
      </w:r>
      <w:r w:rsidR="000667E8">
        <w:rPr>
          <w:rFonts w:cs="Times New Roman"/>
          <w:bCs/>
          <w:szCs w:val="24"/>
        </w:rPr>
        <w:t>k</w:t>
      </w:r>
      <w:r w:rsidR="000667E8" w:rsidRPr="00577BF3">
        <w:rPr>
          <w:rFonts w:cs="Times New Roman"/>
          <w:bCs/>
          <w:szCs w:val="24"/>
        </w:rPr>
        <w:t xml:space="preserve">opējais </w:t>
      </w:r>
      <w:r w:rsidRPr="00577BF3">
        <w:rPr>
          <w:rFonts w:cs="Times New Roman"/>
          <w:bCs/>
          <w:szCs w:val="24"/>
        </w:rPr>
        <w:t>uzraudzībā pieņemto kriminālprocesu skaits samazinājies par 132</w:t>
      </w:r>
      <w:r w:rsidR="00034C36">
        <w:rPr>
          <w:rFonts w:cs="Times New Roman"/>
          <w:bCs/>
          <w:szCs w:val="24"/>
        </w:rPr>
        <w:t> </w:t>
      </w:r>
      <w:r w:rsidR="00B36C8E">
        <w:rPr>
          <w:rFonts w:cs="Times New Roman"/>
          <w:bCs/>
          <w:szCs w:val="24"/>
        </w:rPr>
        <w:t>kriminālprocesiem</w:t>
      </w:r>
      <w:r w:rsidR="00C83373">
        <w:rPr>
          <w:rFonts w:cs="Times New Roman"/>
          <w:bCs/>
          <w:szCs w:val="24"/>
        </w:rPr>
        <w:t>.</w:t>
      </w:r>
      <w:r w:rsidR="00F86827">
        <w:rPr>
          <w:rFonts w:cs="Times New Roman"/>
          <w:bCs/>
          <w:szCs w:val="24"/>
        </w:rPr>
        <w:t xml:space="preserve"> </w:t>
      </w:r>
      <w:r w:rsidRPr="00577BF3">
        <w:rPr>
          <w:rFonts w:cs="Times New Roman"/>
          <w:szCs w:val="24"/>
        </w:rPr>
        <w:t>Liepājā un Ventspilī</w:t>
      </w:r>
      <w:r w:rsidR="00C83373">
        <w:rPr>
          <w:rFonts w:cs="Times New Roman"/>
          <w:szCs w:val="24"/>
        </w:rPr>
        <w:t xml:space="preserve"> </w:t>
      </w:r>
      <w:r w:rsidR="00F86827">
        <w:rPr>
          <w:rFonts w:cs="Times New Roman"/>
          <w:szCs w:val="24"/>
        </w:rPr>
        <w:t xml:space="preserve">tas </w:t>
      </w:r>
      <w:r w:rsidRPr="00577BF3">
        <w:rPr>
          <w:rFonts w:cs="Times New Roman"/>
          <w:szCs w:val="24"/>
        </w:rPr>
        <w:t>skaidrojam</w:t>
      </w:r>
      <w:r w:rsidR="00C83373">
        <w:rPr>
          <w:rFonts w:cs="Times New Roman"/>
          <w:szCs w:val="24"/>
        </w:rPr>
        <w:t>s</w:t>
      </w:r>
      <w:r w:rsidRPr="00577BF3">
        <w:rPr>
          <w:rFonts w:cs="Times New Roman"/>
          <w:szCs w:val="24"/>
        </w:rPr>
        <w:t xml:space="preserve"> ar izdarīto noziedzīgo nodarījumu </w:t>
      </w:r>
      <w:r w:rsidR="00F34478" w:rsidRPr="00577BF3">
        <w:rPr>
          <w:rFonts w:cs="Times New Roman"/>
          <w:szCs w:val="24"/>
        </w:rPr>
        <w:t xml:space="preserve">nelielu </w:t>
      </w:r>
      <w:r w:rsidRPr="00577BF3">
        <w:rPr>
          <w:rFonts w:cs="Times New Roman"/>
          <w:szCs w:val="24"/>
        </w:rPr>
        <w:t>kritumu, kas ir Valsts policijas veikto preventīvo pasākumu rezultāts (tostarp Covid</w:t>
      </w:r>
      <w:r w:rsidR="00C83373">
        <w:rPr>
          <w:rFonts w:cs="Times New Roman"/>
          <w:szCs w:val="24"/>
        </w:rPr>
        <w:t>-</w:t>
      </w:r>
      <w:r w:rsidRPr="00577BF3">
        <w:rPr>
          <w:rFonts w:cs="Times New Roman"/>
          <w:szCs w:val="24"/>
        </w:rPr>
        <w:t>19 ierobežojumu kontrolē), kā arī abās pilsētās palielinājies atteikumu</w:t>
      </w:r>
      <w:r w:rsidR="00C07514">
        <w:rPr>
          <w:rFonts w:cs="Times New Roman"/>
          <w:szCs w:val="24"/>
        </w:rPr>
        <w:t xml:space="preserve"> uzsākt kriminālprocesu</w:t>
      </w:r>
      <w:r w:rsidRPr="00577BF3">
        <w:rPr>
          <w:rFonts w:cs="Times New Roman"/>
          <w:szCs w:val="24"/>
        </w:rPr>
        <w:t xml:space="preserve"> par “sīkajām” zādzībām</w:t>
      </w:r>
      <w:r w:rsidR="00BF5B62" w:rsidRPr="00BF5B62">
        <w:rPr>
          <w:rFonts w:cs="Times New Roman"/>
          <w:szCs w:val="24"/>
        </w:rPr>
        <w:t xml:space="preserve"> </w:t>
      </w:r>
      <w:r w:rsidR="00BF5B62" w:rsidRPr="00577BF3">
        <w:rPr>
          <w:rFonts w:cs="Times New Roman"/>
          <w:szCs w:val="24"/>
        </w:rPr>
        <w:t>skaits</w:t>
      </w:r>
      <w:r w:rsidRPr="00577BF3">
        <w:rPr>
          <w:rFonts w:cs="Times New Roman"/>
          <w:szCs w:val="24"/>
        </w:rPr>
        <w:t xml:space="preserve">, </w:t>
      </w:r>
      <w:r w:rsidR="00335D7B">
        <w:rPr>
          <w:rFonts w:eastAsia="Times New Roman"/>
          <w:szCs w:val="24"/>
          <w:lang w:eastAsia="lv-LV"/>
        </w:rPr>
        <w:t xml:space="preserve">izmantojot likumā paredzēto iespēju – ar prokurora piekrišanu atteikt kriminālprocesa uzsākšanu, ja izdarīts maznozīmīgs noziedzīgs nodarījums. </w:t>
      </w:r>
      <w:r w:rsidR="003755BA" w:rsidRPr="00577BF3">
        <w:rPr>
          <w:rFonts w:cs="Times New Roman"/>
          <w:szCs w:val="24"/>
        </w:rPr>
        <w:t xml:space="preserve"> </w:t>
      </w:r>
      <w:r w:rsidRPr="00577BF3">
        <w:rPr>
          <w:rFonts w:cs="Times New Roman"/>
          <w:szCs w:val="24"/>
        </w:rPr>
        <w:t>Pārējās prokuratūrās proporcionāli ir neliels uz</w:t>
      </w:r>
      <w:r w:rsidR="00AD289C">
        <w:rPr>
          <w:rFonts w:cs="Times New Roman"/>
          <w:szCs w:val="24"/>
        </w:rPr>
        <w:t xml:space="preserve">raudzībā pieņemto </w:t>
      </w:r>
      <w:r w:rsidRPr="00577BF3">
        <w:rPr>
          <w:rFonts w:cs="Times New Roman"/>
          <w:szCs w:val="24"/>
        </w:rPr>
        <w:t xml:space="preserve">kriminālprocesu palielinājums. </w:t>
      </w:r>
    </w:p>
    <w:p w14:paraId="206FED22" w14:textId="77777777" w:rsidR="00BC03EA" w:rsidRPr="00C83373" w:rsidRDefault="00BC03EA" w:rsidP="003A1BA9">
      <w:pPr>
        <w:spacing w:after="0" w:line="240" w:lineRule="auto"/>
        <w:jc w:val="both"/>
        <w:rPr>
          <w:rFonts w:cs="Times New Roman"/>
          <w:bCs/>
          <w:szCs w:val="24"/>
        </w:rPr>
      </w:pPr>
    </w:p>
    <w:p w14:paraId="3D507817" w14:textId="4E25DEB6" w:rsidR="00AF6823" w:rsidRPr="005E1BAD" w:rsidRDefault="00E9389B" w:rsidP="00E329FC">
      <w:pPr>
        <w:pStyle w:val="ListParagraph"/>
        <w:numPr>
          <w:ilvl w:val="0"/>
          <w:numId w:val="16"/>
        </w:numPr>
        <w:spacing w:after="120" w:line="240" w:lineRule="auto"/>
        <w:ind w:left="714" w:hanging="357"/>
        <w:jc w:val="both"/>
        <w:rPr>
          <w:rFonts w:cs="Times New Roman"/>
          <w:b/>
          <w:szCs w:val="24"/>
        </w:rPr>
      </w:pPr>
      <w:r w:rsidRPr="00577BF3">
        <w:rPr>
          <w:rFonts w:cs="Times New Roman"/>
          <w:b/>
          <w:szCs w:val="24"/>
        </w:rPr>
        <w:t>Ar prokurora piekrišanu atteikts uzsākt kriminālprocesu par maznozīmīgu noziedzīgu nodarījumu</w:t>
      </w:r>
    </w:p>
    <w:p w14:paraId="03B42A5C" w14:textId="3C5A8C05" w:rsidR="00E9389B" w:rsidRDefault="00E9389B" w:rsidP="00AC1DDC">
      <w:pPr>
        <w:spacing w:after="0"/>
        <w:jc w:val="center"/>
        <w:rPr>
          <w:rFonts w:cs="Times New Roman"/>
          <w:bCs/>
          <w:szCs w:val="24"/>
        </w:rPr>
      </w:pPr>
      <w:r w:rsidRPr="00577BF3">
        <w:rPr>
          <w:rFonts w:cs="Times New Roman"/>
          <w:noProof/>
        </w:rPr>
        <w:drawing>
          <wp:inline distT="0" distB="0" distL="0" distR="0" wp14:anchorId="0FA5B0F9" wp14:editId="41056ECB">
            <wp:extent cx="5378450" cy="2432050"/>
            <wp:effectExtent l="0" t="0" r="12700" b="6350"/>
            <wp:docPr id="15"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1E38F92" w14:textId="77777777" w:rsidR="006B2A28" w:rsidRPr="00577BF3" w:rsidRDefault="006B2A28" w:rsidP="006B2A28">
      <w:pPr>
        <w:spacing w:after="0"/>
        <w:jc w:val="both"/>
        <w:rPr>
          <w:rFonts w:cs="Times New Roman"/>
          <w:bCs/>
          <w:szCs w:val="24"/>
        </w:rPr>
      </w:pPr>
    </w:p>
    <w:p w14:paraId="220C81FB" w14:textId="6D2FBE9B" w:rsidR="00E9389B" w:rsidRDefault="00E9389B" w:rsidP="00C9340D">
      <w:pPr>
        <w:spacing w:after="0" w:line="240" w:lineRule="auto"/>
        <w:jc w:val="both"/>
        <w:rPr>
          <w:rFonts w:cs="Times New Roman"/>
          <w:bCs/>
          <w:szCs w:val="24"/>
        </w:rPr>
      </w:pPr>
      <w:r w:rsidRPr="00577BF3">
        <w:rPr>
          <w:rFonts w:cs="Times New Roman"/>
          <w:bCs/>
          <w:szCs w:val="24"/>
        </w:rPr>
        <w:tab/>
      </w:r>
      <w:r w:rsidR="008B0D05">
        <w:rPr>
          <w:rFonts w:cs="Times New Roman"/>
          <w:bCs/>
          <w:szCs w:val="24"/>
        </w:rPr>
        <w:t xml:space="preserve">Kurzemes </w:t>
      </w:r>
      <w:r w:rsidR="00034C36">
        <w:rPr>
          <w:rFonts w:cs="Times New Roman"/>
          <w:bCs/>
          <w:szCs w:val="24"/>
        </w:rPr>
        <w:t>tiesas apgabala prokuratūras darbības teritorijā ietilpstošajās rajona līmeņa prokuratūrās</w:t>
      </w:r>
      <w:r w:rsidR="008B0D05">
        <w:rPr>
          <w:rFonts w:cs="Times New Roman"/>
          <w:bCs/>
          <w:szCs w:val="24"/>
        </w:rPr>
        <w:t xml:space="preserve"> k</w:t>
      </w:r>
      <w:r w:rsidRPr="00577BF3">
        <w:rPr>
          <w:rFonts w:cs="Times New Roman"/>
          <w:bCs/>
          <w:szCs w:val="24"/>
        </w:rPr>
        <w:t>opumā vērojama arvien aktīvāka šī procesuālās ekonomijas instrumenta izmantošana situācijās, kad ar noziedzīg</w:t>
      </w:r>
      <w:r w:rsidR="00356D78">
        <w:rPr>
          <w:rFonts w:cs="Times New Roman"/>
          <w:bCs/>
          <w:szCs w:val="24"/>
        </w:rPr>
        <w:t>o</w:t>
      </w:r>
      <w:r w:rsidRPr="00577BF3">
        <w:rPr>
          <w:rFonts w:cs="Times New Roman"/>
          <w:bCs/>
          <w:szCs w:val="24"/>
        </w:rPr>
        <w:t xml:space="preserve"> nodarījumu radītais mantiskais zaudējums ir maznozīmīgs. Īpaši jāizceļ Talsu rajona prokuratūras izteiktais pārākums šajā rādītājā</w:t>
      </w:r>
      <w:r w:rsidR="009379DA">
        <w:rPr>
          <w:rFonts w:cs="Times New Roman"/>
          <w:bCs/>
          <w:szCs w:val="24"/>
        </w:rPr>
        <w:t xml:space="preserve"> pēdējo divu gadu</w:t>
      </w:r>
      <w:r w:rsidR="00727E66">
        <w:rPr>
          <w:rFonts w:cs="Times New Roman"/>
          <w:bCs/>
          <w:szCs w:val="24"/>
        </w:rPr>
        <w:t xml:space="preserve"> peri</w:t>
      </w:r>
      <w:r w:rsidR="009C0458">
        <w:rPr>
          <w:rFonts w:cs="Times New Roman"/>
          <w:bCs/>
          <w:szCs w:val="24"/>
        </w:rPr>
        <w:t>o</w:t>
      </w:r>
      <w:r w:rsidR="00727E66">
        <w:rPr>
          <w:rFonts w:cs="Times New Roman"/>
          <w:bCs/>
          <w:szCs w:val="24"/>
        </w:rPr>
        <w:t>dā</w:t>
      </w:r>
      <w:r w:rsidRPr="00577BF3">
        <w:rPr>
          <w:rFonts w:cs="Times New Roman"/>
          <w:bCs/>
          <w:szCs w:val="24"/>
        </w:rPr>
        <w:t>, kas liecina par izmek</w:t>
      </w:r>
      <w:r w:rsidR="006133E2">
        <w:rPr>
          <w:rFonts w:cs="Times New Roman"/>
          <w:bCs/>
          <w:szCs w:val="24"/>
        </w:rPr>
        <w:t>l</w:t>
      </w:r>
      <w:r w:rsidRPr="00577BF3">
        <w:rPr>
          <w:rFonts w:cs="Times New Roman"/>
          <w:bCs/>
          <w:szCs w:val="24"/>
        </w:rPr>
        <w:t xml:space="preserve">ētāju un prokuroru </w:t>
      </w:r>
      <w:r w:rsidR="009C0458" w:rsidRPr="00577BF3">
        <w:rPr>
          <w:rFonts w:cs="Times New Roman"/>
          <w:bCs/>
          <w:szCs w:val="24"/>
        </w:rPr>
        <w:t xml:space="preserve">labu </w:t>
      </w:r>
      <w:r w:rsidRPr="00577BF3">
        <w:rPr>
          <w:rFonts w:cs="Times New Roman"/>
          <w:bCs/>
          <w:szCs w:val="24"/>
        </w:rPr>
        <w:t xml:space="preserve">sadarbību, vienotu izpratni un noturīgu praksi. </w:t>
      </w:r>
    </w:p>
    <w:p w14:paraId="34D23E94" w14:textId="77777777" w:rsidR="006133E2" w:rsidRPr="00577BF3" w:rsidRDefault="006133E2" w:rsidP="00C9340D">
      <w:pPr>
        <w:spacing w:after="0" w:line="240" w:lineRule="auto"/>
        <w:jc w:val="both"/>
        <w:rPr>
          <w:rFonts w:cs="Times New Roman"/>
          <w:bCs/>
          <w:szCs w:val="24"/>
        </w:rPr>
      </w:pPr>
    </w:p>
    <w:p w14:paraId="04FE6C16" w14:textId="081ADA09" w:rsidR="006133E2" w:rsidRPr="005E1BAD" w:rsidRDefault="00E9389B" w:rsidP="00E329FC">
      <w:pPr>
        <w:pStyle w:val="ListParagraph"/>
        <w:numPr>
          <w:ilvl w:val="0"/>
          <w:numId w:val="16"/>
        </w:numPr>
        <w:spacing w:after="120"/>
        <w:ind w:left="714" w:hanging="357"/>
        <w:jc w:val="both"/>
        <w:rPr>
          <w:rFonts w:cs="Times New Roman"/>
          <w:b/>
          <w:szCs w:val="24"/>
        </w:rPr>
      </w:pPr>
      <w:r w:rsidRPr="00577BF3">
        <w:rPr>
          <w:rFonts w:cs="Times New Roman"/>
          <w:b/>
          <w:szCs w:val="24"/>
        </w:rPr>
        <w:lastRenderedPageBreak/>
        <w:t>Dota piekrišana kriminālprocesa apturēšanai izmeklēšanā</w:t>
      </w:r>
    </w:p>
    <w:p w14:paraId="2D9A38B1" w14:textId="22E8452E" w:rsidR="00E9389B" w:rsidRPr="00577BF3" w:rsidRDefault="00E9389B" w:rsidP="00DB614B">
      <w:pPr>
        <w:spacing w:after="0"/>
        <w:jc w:val="center"/>
        <w:rPr>
          <w:rFonts w:cs="Times New Roman"/>
          <w:b/>
          <w:szCs w:val="24"/>
        </w:rPr>
      </w:pPr>
      <w:r w:rsidRPr="00577BF3">
        <w:rPr>
          <w:rFonts w:cs="Times New Roman"/>
          <w:noProof/>
        </w:rPr>
        <w:drawing>
          <wp:inline distT="0" distB="0" distL="0" distR="0" wp14:anchorId="6282F607" wp14:editId="78704D8A">
            <wp:extent cx="5384800" cy="2978150"/>
            <wp:effectExtent l="0" t="0" r="6350" b="12700"/>
            <wp:docPr id="14"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07DB5F8" w14:textId="77777777" w:rsidR="00E9389B" w:rsidRPr="00DB614B" w:rsidRDefault="00E9389B" w:rsidP="00023379">
      <w:pPr>
        <w:spacing w:after="0"/>
        <w:jc w:val="both"/>
        <w:rPr>
          <w:rFonts w:cs="Times New Roman"/>
          <w:bCs/>
          <w:szCs w:val="24"/>
        </w:rPr>
      </w:pPr>
    </w:p>
    <w:p w14:paraId="0DB9FA76" w14:textId="4FCDF475" w:rsidR="00531552" w:rsidRDefault="00E9389B" w:rsidP="00395FF2">
      <w:pPr>
        <w:spacing w:after="0" w:line="240" w:lineRule="auto"/>
        <w:jc w:val="both"/>
        <w:rPr>
          <w:rFonts w:cs="Times New Roman"/>
          <w:bCs/>
          <w:szCs w:val="24"/>
        </w:rPr>
      </w:pPr>
      <w:r w:rsidRPr="00577BF3">
        <w:rPr>
          <w:rFonts w:cs="Times New Roman"/>
          <w:b/>
          <w:szCs w:val="24"/>
        </w:rPr>
        <w:tab/>
      </w:r>
      <w:r w:rsidRPr="00577BF3">
        <w:rPr>
          <w:rFonts w:cs="Times New Roman"/>
          <w:bCs/>
          <w:szCs w:val="24"/>
        </w:rPr>
        <w:t>2020.</w:t>
      </w:r>
      <w:r w:rsidR="00395FF2">
        <w:rPr>
          <w:rFonts w:cs="Times New Roman"/>
          <w:bCs/>
          <w:szCs w:val="24"/>
        </w:rPr>
        <w:t> </w:t>
      </w:r>
      <w:r w:rsidRPr="00577BF3">
        <w:rPr>
          <w:rFonts w:cs="Times New Roman"/>
          <w:bCs/>
          <w:szCs w:val="24"/>
        </w:rPr>
        <w:t>gada darba rādītāji par Kriminālprocesa likuma 400.</w:t>
      </w:r>
      <w:r w:rsidR="00395FF2">
        <w:rPr>
          <w:rFonts w:cs="Times New Roman"/>
          <w:bCs/>
          <w:szCs w:val="24"/>
        </w:rPr>
        <w:t> </w:t>
      </w:r>
      <w:r w:rsidRPr="00577BF3">
        <w:rPr>
          <w:rFonts w:cs="Times New Roman"/>
          <w:bCs/>
          <w:szCs w:val="24"/>
        </w:rPr>
        <w:t>panta piemērošanu</w:t>
      </w:r>
      <w:r w:rsidR="00395FF2">
        <w:rPr>
          <w:rFonts w:cs="Times New Roman"/>
          <w:bCs/>
          <w:szCs w:val="24"/>
        </w:rPr>
        <w:t xml:space="preserve"> </w:t>
      </w:r>
      <w:r w:rsidRPr="00577BF3">
        <w:rPr>
          <w:rFonts w:cs="Times New Roman"/>
          <w:bCs/>
          <w:szCs w:val="24"/>
        </w:rPr>
        <w:t xml:space="preserve">ļauj izdarīt secinājumu, ka </w:t>
      </w:r>
      <w:r w:rsidR="00034C36">
        <w:rPr>
          <w:rFonts w:cs="Times New Roman"/>
          <w:bCs/>
          <w:szCs w:val="24"/>
        </w:rPr>
        <w:t xml:space="preserve">Kurzemes tiesas apgabala prokuratūras darbības teritorijā ietilpstošajās rajona līmeņa prokuratūrās </w:t>
      </w:r>
      <w:r w:rsidRPr="00577BF3">
        <w:rPr>
          <w:rFonts w:cs="Times New Roman"/>
          <w:bCs/>
          <w:szCs w:val="24"/>
        </w:rPr>
        <w:t>prokuroru vidū ir nostabilizējusies izpratne par kriminālprocesa apturēšanas procesuālo nozīmi. Jāatzīmē, ka Ventspils prokuratūras rādītāji šajā jomā būtiski uzlabojušies darba organizācijas un sadarbības ar izmeklēšanas iestādēm maiņas rezultātā.</w:t>
      </w:r>
    </w:p>
    <w:p w14:paraId="2D2AE4D5" w14:textId="77777777" w:rsidR="001A11B2" w:rsidRPr="00577BF3" w:rsidRDefault="001A11B2" w:rsidP="00395FF2">
      <w:pPr>
        <w:spacing w:after="0" w:line="240" w:lineRule="auto"/>
        <w:jc w:val="both"/>
        <w:rPr>
          <w:rFonts w:cs="Times New Roman"/>
          <w:bCs/>
          <w:szCs w:val="24"/>
        </w:rPr>
      </w:pPr>
    </w:p>
    <w:p w14:paraId="6255BA63" w14:textId="1C79981D" w:rsidR="00E9389B" w:rsidRPr="005E1BAD" w:rsidRDefault="00E9389B" w:rsidP="00E329FC">
      <w:pPr>
        <w:pStyle w:val="ListParagraph"/>
        <w:numPr>
          <w:ilvl w:val="0"/>
          <w:numId w:val="16"/>
        </w:numPr>
        <w:spacing w:after="120"/>
        <w:ind w:left="714" w:hanging="357"/>
        <w:jc w:val="both"/>
        <w:rPr>
          <w:rFonts w:cs="Times New Roman"/>
          <w:b/>
          <w:szCs w:val="24"/>
        </w:rPr>
      </w:pPr>
      <w:r w:rsidRPr="00577BF3">
        <w:rPr>
          <w:rFonts w:cs="Times New Roman"/>
          <w:b/>
          <w:szCs w:val="24"/>
        </w:rPr>
        <w:t>Prokuroru dotie norādījumi</w:t>
      </w:r>
    </w:p>
    <w:p w14:paraId="57173F06" w14:textId="096F35F7" w:rsidR="00E9389B" w:rsidRDefault="00E9389B" w:rsidP="00DB614B">
      <w:pPr>
        <w:spacing w:after="0"/>
        <w:jc w:val="center"/>
        <w:rPr>
          <w:rFonts w:cs="Times New Roman"/>
          <w:b/>
          <w:szCs w:val="24"/>
        </w:rPr>
      </w:pPr>
      <w:r w:rsidRPr="00577BF3">
        <w:rPr>
          <w:rFonts w:cs="Times New Roman"/>
          <w:noProof/>
        </w:rPr>
        <w:drawing>
          <wp:inline distT="0" distB="0" distL="0" distR="0" wp14:anchorId="552565E0" wp14:editId="2AE7781C">
            <wp:extent cx="5397500" cy="2933700"/>
            <wp:effectExtent l="0" t="0" r="12700" b="0"/>
            <wp:docPr id="1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8750A38" w14:textId="77777777" w:rsidR="008530D0" w:rsidRPr="00577BF3" w:rsidRDefault="008530D0" w:rsidP="00A36427">
      <w:pPr>
        <w:spacing w:after="0"/>
        <w:jc w:val="both"/>
        <w:rPr>
          <w:rFonts w:cs="Times New Roman"/>
          <w:b/>
          <w:szCs w:val="24"/>
        </w:rPr>
      </w:pPr>
    </w:p>
    <w:p w14:paraId="27596E3D" w14:textId="097D08A5" w:rsidR="00E9389B" w:rsidRDefault="00E9389B" w:rsidP="00805FE2">
      <w:pPr>
        <w:spacing w:after="0"/>
        <w:jc w:val="both"/>
        <w:rPr>
          <w:rFonts w:cs="Times New Roman"/>
          <w:bCs/>
          <w:szCs w:val="24"/>
        </w:rPr>
      </w:pPr>
      <w:r w:rsidRPr="00577BF3">
        <w:rPr>
          <w:rFonts w:cs="Times New Roman"/>
          <w:bCs/>
          <w:szCs w:val="24"/>
        </w:rPr>
        <w:tab/>
      </w:r>
      <w:r w:rsidR="00B65FF4">
        <w:rPr>
          <w:rFonts w:cs="Times New Roman"/>
          <w:bCs/>
          <w:szCs w:val="24"/>
        </w:rPr>
        <w:t xml:space="preserve">Kurzemes </w:t>
      </w:r>
      <w:r w:rsidR="00034C36">
        <w:rPr>
          <w:rFonts w:cs="Times New Roman"/>
          <w:bCs/>
          <w:szCs w:val="24"/>
        </w:rPr>
        <w:t xml:space="preserve">tiesas apgabala prokuratūras darbības teritorijā ietilpstošo rajona līmeņa prokuratūru </w:t>
      </w:r>
      <w:r w:rsidRPr="00577BF3">
        <w:rPr>
          <w:rFonts w:cs="Times New Roman"/>
          <w:bCs/>
          <w:szCs w:val="24"/>
        </w:rPr>
        <w:t>prokurori nemainīgi aktīvi izmanto galveno izmeklēšanas uzraudzības līdzekli – prokurora norādījumus par izmeklēšanas virzienu un izmeklēšanas darbību veikšanu. Jāatzīmē, ka šajos rādītājos Ventspils prokuratūrā vērojams būtisks pieaugums, kas ir darba organizācijas un sadarbības ar izmeklēšanas iestādēm maiņas rezultāts</w:t>
      </w:r>
      <w:r w:rsidR="008E6914">
        <w:rPr>
          <w:rFonts w:cs="Times New Roman"/>
          <w:bCs/>
          <w:szCs w:val="24"/>
        </w:rPr>
        <w:t>.</w:t>
      </w:r>
    </w:p>
    <w:p w14:paraId="1CC1611C" w14:textId="41B7275E" w:rsidR="00DB614B" w:rsidRDefault="00DB614B" w:rsidP="00E9389B">
      <w:pPr>
        <w:jc w:val="both"/>
        <w:rPr>
          <w:rFonts w:cs="Times New Roman"/>
          <w:bCs/>
          <w:szCs w:val="24"/>
        </w:rPr>
      </w:pPr>
    </w:p>
    <w:p w14:paraId="312BCCB1" w14:textId="70CDFC65" w:rsidR="00E9389B" w:rsidRPr="005E1BAD" w:rsidRDefault="00E9389B" w:rsidP="00E329FC">
      <w:pPr>
        <w:pStyle w:val="ListParagraph"/>
        <w:numPr>
          <w:ilvl w:val="0"/>
          <w:numId w:val="16"/>
        </w:numPr>
        <w:spacing w:after="120" w:line="240" w:lineRule="auto"/>
        <w:ind w:left="714" w:hanging="357"/>
        <w:jc w:val="both"/>
        <w:rPr>
          <w:rFonts w:cs="Times New Roman"/>
          <w:b/>
          <w:szCs w:val="24"/>
        </w:rPr>
      </w:pPr>
      <w:r w:rsidRPr="00577BF3">
        <w:rPr>
          <w:rFonts w:cs="Times New Roman"/>
          <w:b/>
          <w:szCs w:val="24"/>
        </w:rPr>
        <w:lastRenderedPageBreak/>
        <w:t xml:space="preserve">Valsts apsūdzības uzturēšana </w:t>
      </w:r>
      <w:r w:rsidR="00A36335" w:rsidRPr="00577BF3">
        <w:rPr>
          <w:rFonts w:cs="Times New Roman"/>
          <w:b/>
          <w:szCs w:val="24"/>
        </w:rPr>
        <w:t xml:space="preserve">pirmās </w:t>
      </w:r>
      <w:r w:rsidRPr="00577BF3">
        <w:rPr>
          <w:rFonts w:cs="Times New Roman"/>
          <w:b/>
          <w:szCs w:val="24"/>
        </w:rPr>
        <w:t xml:space="preserve">instances tiesā (izskatītas </w:t>
      </w:r>
      <w:r w:rsidR="006A5C2B">
        <w:rPr>
          <w:rFonts w:cs="Times New Roman"/>
          <w:b/>
          <w:szCs w:val="24"/>
        </w:rPr>
        <w:t>krimināl</w:t>
      </w:r>
      <w:r w:rsidRPr="00577BF3">
        <w:rPr>
          <w:rFonts w:cs="Times New Roman"/>
          <w:b/>
          <w:szCs w:val="24"/>
        </w:rPr>
        <w:t>lietas), no tām bez pierādījumu pārbaudes</w:t>
      </w:r>
    </w:p>
    <w:p w14:paraId="78588055" w14:textId="6C5CA3EC" w:rsidR="00E9389B" w:rsidRPr="00577BF3" w:rsidRDefault="00E9389B" w:rsidP="00DB614B">
      <w:pPr>
        <w:spacing w:after="0"/>
        <w:jc w:val="center"/>
        <w:rPr>
          <w:rFonts w:cs="Times New Roman"/>
          <w:b/>
          <w:szCs w:val="24"/>
        </w:rPr>
      </w:pPr>
      <w:r w:rsidRPr="00577BF3">
        <w:rPr>
          <w:rFonts w:cs="Times New Roman"/>
          <w:noProof/>
        </w:rPr>
        <w:drawing>
          <wp:inline distT="0" distB="0" distL="0" distR="0" wp14:anchorId="16C21B78" wp14:editId="60DB8BF5">
            <wp:extent cx="5397500" cy="2609850"/>
            <wp:effectExtent l="0" t="0" r="6350" b="0"/>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6403B81" w14:textId="77777777" w:rsidR="00E9389B" w:rsidRPr="00577BF3" w:rsidRDefault="00E9389B" w:rsidP="00A36427">
      <w:pPr>
        <w:spacing w:after="0"/>
        <w:jc w:val="both"/>
        <w:rPr>
          <w:rFonts w:cs="Times New Roman"/>
          <w:b/>
          <w:szCs w:val="24"/>
        </w:rPr>
      </w:pPr>
    </w:p>
    <w:p w14:paraId="0B47137A" w14:textId="1864181A" w:rsidR="00E9389B" w:rsidRDefault="00E9389B" w:rsidP="009E7742">
      <w:pPr>
        <w:spacing w:after="0" w:line="240" w:lineRule="auto"/>
        <w:jc w:val="both"/>
        <w:rPr>
          <w:rFonts w:cs="Times New Roman"/>
          <w:bCs/>
          <w:szCs w:val="24"/>
        </w:rPr>
      </w:pPr>
      <w:r w:rsidRPr="00577BF3">
        <w:rPr>
          <w:rFonts w:cs="Times New Roman"/>
          <w:b/>
          <w:szCs w:val="24"/>
        </w:rPr>
        <w:tab/>
      </w:r>
      <w:r w:rsidRPr="00577BF3">
        <w:rPr>
          <w:rFonts w:cs="Times New Roman"/>
          <w:bCs/>
          <w:szCs w:val="24"/>
        </w:rPr>
        <w:t>Vis</w:t>
      </w:r>
      <w:r w:rsidR="006F2AE4">
        <w:rPr>
          <w:rFonts w:cs="Times New Roman"/>
          <w:bCs/>
          <w:szCs w:val="24"/>
        </w:rPr>
        <w:t>u</w:t>
      </w:r>
      <w:r w:rsidRPr="00577BF3">
        <w:rPr>
          <w:rFonts w:cs="Times New Roman"/>
          <w:bCs/>
          <w:szCs w:val="24"/>
        </w:rPr>
        <w:t xml:space="preserve"> </w:t>
      </w:r>
      <w:r w:rsidR="00F94773">
        <w:rPr>
          <w:rFonts w:cs="Times New Roman"/>
          <w:bCs/>
          <w:szCs w:val="24"/>
        </w:rPr>
        <w:t xml:space="preserve">Kurzemes </w:t>
      </w:r>
      <w:r w:rsidR="00034C36">
        <w:rPr>
          <w:rFonts w:cs="Times New Roman"/>
          <w:bCs/>
          <w:szCs w:val="24"/>
        </w:rPr>
        <w:t xml:space="preserve">tiesas apgabala prokuratūras darbības teritorijā ietilpstošo rajona līmeņa prokuratūru </w:t>
      </w:r>
      <w:r w:rsidR="006F2AE4">
        <w:rPr>
          <w:rFonts w:cs="Times New Roman"/>
          <w:bCs/>
          <w:szCs w:val="24"/>
        </w:rPr>
        <w:t>apkopotie dati</w:t>
      </w:r>
      <w:r w:rsidR="00EE77E0">
        <w:rPr>
          <w:rFonts w:cs="Times New Roman"/>
          <w:bCs/>
          <w:szCs w:val="24"/>
        </w:rPr>
        <w:t xml:space="preserve"> norāda uz</w:t>
      </w:r>
      <w:r w:rsidRPr="00577BF3">
        <w:rPr>
          <w:rFonts w:cs="Times New Roman"/>
          <w:bCs/>
          <w:szCs w:val="24"/>
        </w:rPr>
        <w:t xml:space="preserve"> </w:t>
      </w:r>
      <w:r w:rsidR="00DE5704">
        <w:rPr>
          <w:rFonts w:cs="Times New Roman"/>
          <w:bCs/>
          <w:szCs w:val="24"/>
        </w:rPr>
        <w:t>pirm</w:t>
      </w:r>
      <w:r w:rsidR="00F94773">
        <w:rPr>
          <w:rFonts w:cs="Times New Roman"/>
          <w:bCs/>
          <w:szCs w:val="24"/>
        </w:rPr>
        <w:t xml:space="preserve">ās </w:t>
      </w:r>
      <w:r w:rsidRPr="00577BF3">
        <w:rPr>
          <w:rFonts w:cs="Times New Roman"/>
          <w:bCs/>
          <w:szCs w:val="24"/>
        </w:rPr>
        <w:t>instanc</w:t>
      </w:r>
      <w:r w:rsidR="006F12BA">
        <w:rPr>
          <w:rFonts w:cs="Times New Roman"/>
          <w:bCs/>
          <w:szCs w:val="24"/>
        </w:rPr>
        <w:t>es tiesā</w:t>
      </w:r>
      <w:r w:rsidRPr="00577BF3">
        <w:rPr>
          <w:rFonts w:cs="Times New Roman"/>
          <w:bCs/>
          <w:szCs w:val="24"/>
        </w:rPr>
        <w:t xml:space="preserve"> iztiesāto </w:t>
      </w:r>
      <w:r w:rsidR="00034C36">
        <w:rPr>
          <w:rFonts w:cs="Times New Roman"/>
          <w:bCs/>
          <w:szCs w:val="24"/>
        </w:rPr>
        <w:t>krimināl</w:t>
      </w:r>
      <w:r w:rsidRPr="00577BF3">
        <w:rPr>
          <w:rFonts w:cs="Times New Roman"/>
          <w:bCs/>
          <w:szCs w:val="24"/>
        </w:rPr>
        <w:t>lietu skaita samazinājum</w:t>
      </w:r>
      <w:r w:rsidR="005B0941">
        <w:rPr>
          <w:rFonts w:cs="Times New Roman"/>
          <w:bCs/>
          <w:szCs w:val="24"/>
        </w:rPr>
        <w:t>u</w:t>
      </w:r>
      <w:r w:rsidRPr="00577BF3">
        <w:rPr>
          <w:rFonts w:cs="Times New Roman"/>
          <w:bCs/>
          <w:szCs w:val="24"/>
        </w:rPr>
        <w:t xml:space="preserve">. Valstī noteiktie pasākumi </w:t>
      </w:r>
      <w:r w:rsidR="00270EF9">
        <w:rPr>
          <w:rFonts w:cs="Times New Roman"/>
          <w:bCs/>
          <w:szCs w:val="24"/>
        </w:rPr>
        <w:t>Covid-19</w:t>
      </w:r>
      <w:r w:rsidRPr="00577BF3">
        <w:rPr>
          <w:rFonts w:cs="Times New Roman"/>
          <w:bCs/>
          <w:szCs w:val="24"/>
        </w:rPr>
        <w:t xml:space="preserve"> izplatības ierobežošanai atstājuši ietekmi uz </w:t>
      </w:r>
      <w:r w:rsidR="00A36335" w:rsidRPr="00577BF3">
        <w:rPr>
          <w:rFonts w:cs="Times New Roman"/>
          <w:bCs/>
          <w:szCs w:val="24"/>
        </w:rPr>
        <w:t xml:space="preserve">pirmās </w:t>
      </w:r>
      <w:r w:rsidRPr="00577BF3">
        <w:rPr>
          <w:rFonts w:cs="Times New Roman"/>
          <w:bCs/>
          <w:szCs w:val="24"/>
        </w:rPr>
        <w:t xml:space="preserve">instances tiesā iztiesāto krimināllietu skaitu. Iztiesāšanā esošo </w:t>
      </w:r>
      <w:r w:rsidR="00034C36">
        <w:rPr>
          <w:rFonts w:cs="Times New Roman"/>
          <w:bCs/>
          <w:szCs w:val="24"/>
        </w:rPr>
        <w:t>krimināl</w:t>
      </w:r>
      <w:r w:rsidRPr="00577BF3">
        <w:rPr>
          <w:rFonts w:cs="Times New Roman"/>
          <w:bCs/>
          <w:szCs w:val="24"/>
        </w:rPr>
        <w:t xml:space="preserve">lietu uzkrājums palielinās. </w:t>
      </w:r>
      <w:r w:rsidR="009E7742">
        <w:rPr>
          <w:rFonts w:cs="Times New Roman"/>
          <w:bCs/>
          <w:szCs w:val="24"/>
        </w:rPr>
        <w:t>Tajā pašā laikā n</w:t>
      </w:r>
      <w:r w:rsidRPr="00577BF3">
        <w:rPr>
          <w:rFonts w:cs="Times New Roman"/>
          <w:bCs/>
          <w:szCs w:val="24"/>
        </w:rPr>
        <w:t xml:space="preserve">emainīgi </w:t>
      </w:r>
      <w:r w:rsidR="00D314FA">
        <w:rPr>
          <w:rFonts w:cs="Times New Roman"/>
          <w:bCs/>
          <w:szCs w:val="24"/>
        </w:rPr>
        <w:t>–</w:t>
      </w:r>
      <w:r w:rsidR="005B0941">
        <w:rPr>
          <w:rFonts w:cs="Times New Roman"/>
          <w:bCs/>
          <w:szCs w:val="24"/>
        </w:rPr>
        <w:t xml:space="preserve"> </w:t>
      </w:r>
      <w:r w:rsidR="00A5456F">
        <w:rPr>
          <w:rFonts w:cs="Times New Roman"/>
          <w:bCs/>
          <w:szCs w:val="24"/>
        </w:rPr>
        <w:t>tāpat kā</w:t>
      </w:r>
      <w:r w:rsidR="006E5E53">
        <w:rPr>
          <w:rFonts w:cs="Times New Roman"/>
          <w:bCs/>
          <w:szCs w:val="24"/>
        </w:rPr>
        <w:t xml:space="preserve"> 2019. gad</w:t>
      </w:r>
      <w:r w:rsidR="00A5456F">
        <w:rPr>
          <w:rFonts w:cs="Times New Roman"/>
          <w:bCs/>
          <w:szCs w:val="24"/>
        </w:rPr>
        <w:t>ā</w:t>
      </w:r>
      <w:r w:rsidR="00D314FA">
        <w:rPr>
          <w:rFonts w:cs="Times New Roman"/>
          <w:bCs/>
          <w:szCs w:val="24"/>
        </w:rPr>
        <w:t xml:space="preserve"> – </w:t>
      </w:r>
      <w:r w:rsidR="009307F0">
        <w:rPr>
          <w:rFonts w:cs="Times New Roman"/>
          <w:bCs/>
          <w:szCs w:val="24"/>
        </w:rPr>
        <w:t xml:space="preserve"> </w:t>
      </w:r>
      <w:r w:rsidRPr="00577BF3">
        <w:rPr>
          <w:rFonts w:cs="Times New Roman"/>
          <w:bCs/>
          <w:szCs w:val="24"/>
        </w:rPr>
        <w:t>vidēji 76</w:t>
      </w:r>
      <w:r w:rsidR="009307F0">
        <w:rPr>
          <w:rFonts w:cs="Times New Roman"/>
          <w:bCs/>
          <w:szCs w:val="24"/>
        </w:rPr>
        <w:t> </w:t>
      </w:r>
      <w:r w:rsidRPr="00577BF3">
        <w:rPr>
          <w:rFonts w:cs="Times New Roman"/>
          <w:bCs/>
          <w:szCs w:val="24"/>
        </w:rPr>
        <w:t xml:space="preserve">% </w:t>
      </w:r>
      <w:r w:rsidR="00034C36">
        <w:rPr>
          <w:rFonts w:cs="Times New Roman"/>
          <w:bCs/>
          <w:szCs w:val="24"/>
        </w:rPr>
        <w:t>krimināl</w:t>
      </w:r>
      <w:r w:rsidRPr="00577BF3">
        <w:rPr>
          <w:rFonts w:cs="Times New Roman"/>
          <w:bCs/>
          <w:szCs w:val="24"/>
        </w:rPr>
        <w:t>lietu tik</w:t>
      </w:r>
      <w:r w:rsidR="002638D4">
        <w:rPr>
          <w:rFonts w:cs="Times New Roman"/>
          <w:bCs/>
          <w:szCs w:val="24"/>
        </w:rPr>
        <w:t>a</w:t>
      </w:r>
      <w:r w:rsidRPr="00577BF3">
        <w:rPr>
          <w:rFonts w:cs="Times New Roman"/>
          <w:bCs/>
          <w:szCs w:val="24"/>
        </w:rPr>
        <w:t xml:space="preserve"> iztiesātas bez pierādījumu pārbaudes. </w:t>
      </w:r>
    </w:p>
    <w:p w14:paraId="7E9ED634" w14:textId="77777777" w:rsidR="008530D0" w:rsidRDefault="008530D0" w:rsidP="009E7742">
      <w:pPr>
        <w:spacing w:after="0" w:line="240" w:lineRule="auto"/>
        <w:jc w:val="both"/>
        <w:rPr>
          <w:rFonts w:cs="Times New Roman"/>
          <w:bCs/>
          <w:szCs w:val="24"/>
        </w:rPr>
      </w:pPr>
    </w:p>
    <w:p w14:paraId="1226FF65" w14:textId="049FEEC9" w:rsidR="00E9389B" w:rsidRPr="00EC0341" w:rsidRDefault="00E9389B" w:rsidP="00E329FC">
      <w:pPr>
        <w:pStyle w:val="ListParagraph"/>
        <w:numPr>
          <w:ilvl w:val="0"/>
          <w:numId w:val="16"/>
        </w:numPr>
        <w:spacing w:after="120" w:line="240" w:lineRule="auto"/>
        <w:ind w:left="714" w:hanging="357"/>
        <w:jc w:val="both"/>
        <w:rPr>
          <w:rFonts w:cs="Times New Roman"/>
          <w:b/>
          <w:szCs w:val="24"/>
        </w:rPr>
      </w:pPr>
      <w:r w:rsidRPr="00EC0341">
        <w:rPr>
          <w:rFonts w:cs="Times New Roman"/>
          <w:b/>
          <w:szCs w:val="24"/>
        </w:rPr>
        <w:t>Iesniegti</w:t>
      </w:r>
      <w:r w:rsidR="00C74EA8" w:rsidRPr="00EC0341">
        <w:rPr>
          <w:rFonts w:cs="Times New Roman"/>
          <w:b/>
          <w:szCs w:val="24"/>
        </w:rPr>
        <w:t xml:space="preserve"> </w:t>
      </w:r>
      <w:r w:rsidRPr="00EC0341">
        <w:rPr>
          <w:rFonts w:cs="Times New Roman"/>
          <w:b/>
          <w:szCs w:val="24"/>
        </w:rPr>
        <w:t xml:space="preserve">protesti, no </w:t>
      </w:r>
      <w:r w:rsidR="00C74EA8" w:rsidRPr="00EC0341">
        <w:rPr>
          <w:rFonts w:cs="Times New Roman"/>
          <w:b/>
          <w:szCs w:val="24"/>
        </w:rPr>
        <w:t>tiem</w:t>
      </w:r>
      <w:r w:rsidRPr="00EC0341">
        <w:rPr>
          <w:rFonts w:cs="Times New Roman"/>
          <w:b/>
          <w:szCs w:val="24"/>
        </w:rPr>
        <w:t xml:space="preserve"> apmierināti</w:t>
      </w:r>
    </w:p>
    <w:p w14:paraId="7D206F59" w14:textId="5B8DD566" w:rsidR="00E9389B" w:rsidRPr="00577BF3" w:rsidRDefault="00E9389B" w:rsidP="00906D6C">
      <w:pPr>
        <w:spacing w:after="0"/>
        <w:jc w:val="center"/>
        <w:rPr>
          <w:rFonts w:cs="Times New Roman"/>
          <w:bCs/>
          <w:szCs w:val="24"/>
        </w:rPr>
      </w:pPr>
      <w:r w:rsidRPr="00577BF3">
        <w:rPr>
          <w:rFonts w:cs="Times New Roman"/>
          <w:noProof/>
        </w:rPr>
        <w:drawing>
          <wp:inline distT="0" distB="0" distL="0" distR="0" wp14:anchorId="2FA47CF2" wp14:editId="337AA225">
            <wp:extent cx="5403850" cy="2654300"/>
            <wp:effectExtent l="0" t="0" r="6350" b="12700"/>
            <wp:docPr id="11"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05CA93C" w14:textId="77777777" w:rsidR="00E9389B" w:rsidRPr="00577BF3" w:rsidRDefault="00E9389B" w:rsidP="008E6914">
      <w:pPr>
        <w:spacing w:after="0"/>
        <w:jc w:val="both"/>
        <w:rPr>
          <w:rFonts w:cs="Times New Roman"/>
          <w:bCs/>
          <w:szCs w:val="24"/>
        </w:rPr>
      </w:pPr>
    </w:p>
    <w:p w14:paraId="5DD53F08" w14:textId="54609223" w:rsidR="00E9389B" w:rsidRPr="00577BF3" w:rsidRDefault="00E9389B" w:rsidP="008E6914">
      <w:pPr>
        <w:spacing w:after="0" w:line="240" w:lineRule="auto"/>
        <w:jc w:val="both"/>
        <w:rPr>
          <w:rFonts w:cs="Times New Roman"/>
          <w:bCs/>
          <w:szCs w:val="24"/>
        </w:rPr>
      </w:pPr>
      <w:r w:rsidRPr="00577BF3">
        <w:rPr>
          <w:rFonts w:cs="Times New Roman"/>
          <w:bCs/>
          <w:szCs w:val="24"/>
        </w:rPr>
        <w:tab/>
        <w:t xml:space="preserve">Kontekstā ar iztiesāto </w:t>
      </w:r>
      <w:r w:rsidR="00034C36">
        <w:rPr>
          <w:rFonts w:cs="Times New Roman"/>
          <w:bCs/>
          <w:szCs w:val="24"/>
        </w:rPr>
        <w:t>krimināl</w:t>
      </w:r>
      <w:r w:rsidRPr="00577BF3">
        <w:rPr>
          <w:rFonts w:cs="Times New Roman"/>
          <w:bCs/>
          <w:szCs w:val="24"/>
        </w:rPr>
        <w:t xml:space="preserve">lietu skaita samazinājumu likumsakarīgs ir </w:t>
      </w:r>
      <w:r w:rsidR="00034C36">
        <w:rPr>
          <w:rFonts w:cs="Times New Roman"/>
          <w:bCs/>
          <w:szCs w:val="24"/>
        </w:rPr>
        <w:t xml:space="preserve">prokuroru </w:t>
      </w:r>
      <w:r w:rsidRPr="00577BF3">
        <w:rPr>
          <w:rFonts w:cs="Times New Roman"/>
          <w:bCs/>
          <w:szCs w:val="24"/>
        </w:rPr>
        <w:t xml:space="preserve">iesniegto protestu skaita samazinājums. Izņēmums ir Liepājas prokuratūra, kur iesniegto protestu skaits palielinājies vairāk </w:t>
      </w:r>
      <w:r w:rsidR="00003227">
        <w:rPr>
          <w:rFonts w:cs="Times New Roman"/>
          <w:bCs/>
          <w:szCs w:val="24"/>
        </w:rPr>
        <w:t>ne</w:t>
      </w:r>
      <w:r w:rsidRPr="00577BF3">
        <w:rPr>
          <w:rFonts w:cs="Times New Roman"/>
          <w:bCs/>
          <w:szCs w:val="24"/>
        </w:rPr>
        <w:t>kā divas reizes. Prokurori aktīvāk iesniedz protestus par tiesas noteikto sodu krimināllietās par ekonomiskajiem noz</w:t>
      </w:r>
      <w:r w:rsidR="00034C36">
        <w:rPr>
          <w:rFonts w:cs="Times New Roman"/>
          <w:bCs/>
          <w:szCs w:val="24"/>
        </w:rPr>
        <w:t>iedzīgajiem nodarījumiem</w:t>
      </w:r>
      <w:r w:rsidR="00C74EA8">
        <w:rPr>
          <w:rFonts w:cs="Times New Roman"/>
          <w:bCs/>
          <w:szCs w:val="24"/>
        </w:rPr>
        <w:t xml:space="preserve"> un</w:t>
      </w:r>
      <w:r w:rsidRPr="00577BF3">
        <w:rPr>
          <w:rFonts w:cs="Times New Roman"/>
          <w:bCs/>
          <w:szCs w:val="24"/>
        </w:rPr>
        <w:t xml:space="preserve"> tiesas pieļautajiem procesuālajiem pārkāpumiem. </w:t>
      </w:r>
    </w:p>
    <w:p w14:paraId="2030CE26" w14:textId="754AD895" w:rsidR="000F7E68" w:rsidRDefault="00E9389B" w:rsidP="000F7E68">
      <w:pPr>
        <w:spacing w:after="0" w:line="240" w:lineRule="auto"/>
        <w:jc w:val="both"/>
        <w:rPr>
          <w:rFonts w:cs="Times New Roman"/>
          <w:bCs/>
          <w:szCs w:val="24"/>
        </w:rPr>
      </w:pPr>
      <w:r w:rsidRPr="00577BF3">
        <w:rPr>
          <w:rFonts w:cs="Times New Roman"/>
          <w:bCs/>
          <w:szCs w:val="24"/>
        </w:rPr>
        <w:tab/>
        <w:t xml:space="preserve">Apmierināto protestu īpatsvars attiecībā pret iepriekšējos periodos iesniegtajiem protestiem ir pietiekami augsts, kas norāda, ka prokurori objektīvi izvērtē sprieduma pārsūdzēšanas pamatotību. </w:t>
      </w:r>
    </w:p>
    <w:p w14:paraId="5363C1EA" w14:textId="77777777" w:rsidR="000F7E68" w:rsidRDefault="000F7E68" w:rsidP="000F7E68">
      <w:pPr>
        <w:spacing w:after="0" w:line="240" w:lineRule="auto"/>
        <w:jc w:val="both"/>
        <w:rPr>
          <w:rFonts w:cs="Times New Roman"/>
          <w:bCs/>
          <w:szCs w:val="24"/>
        </w:rPr>
      </w:pPr>
    </w:p>
    <w:p w14:paraId="4A99C946" w14:textId="669D4C87" w:rsidR="00E9389B" w:rsidRPr="002B1252" w:rsidRDefault="00E9389B" w:rsidP="00E329FC">
      <w:pPr>
        <w:pStyle w:val="ListParagraph"/>
        <w:numPr>
          <w:ilvl w:val="0"/>
          <w:numId w:val="16"/>
        </w:numPr>
        <w:spacing w:after="120" w:line="240" w:lineRule="auto"/>
        <w:ind w:left="714" w:hanging="357"/>
        <w:jc w:val="both"/>
        <w:rPr>
          <w:rFonts w:cs="Times New Roman"/>
          <w:b/>
          <w:szCs w:val="24"/>
        </w:rPr>
      </w:pPr>
      <w:r w:rsidRPr="000F7E68">
        <w:rPr>
          <w:rFonts w:cs="Times New Roman"/>
          <w:b/>
          <w:szCs w:val="24"/>
        </w:rPr>
        <w:lastRenderedPageBreak/>
        <w:t>Izlemt</w:t>
      </w:r>
      <w:r w:rsidR="005B2340">
        <w:rPr>
          <w:rFonts w:cs="Times New Roman"/>
          <w:b/>
          <w:szCs w:val="24"/>
        </w:rPr>
        <w:t>a</w:t>
      </w:r>
      <w:r w:rsidRPr="000F7E68">
        <w:rPr>
          <w:rFonts w:cs="Times New Roman"/>
          <w:b/>
          <w:szCs w:val="24"/>
        </w:rPr>
        <w:t>s sūdzības, no tām apmierinātas</w:t>
      </w:r>
    </w:p>
    <w:p w14:paraId="08CB5095" w14:textId="260FC75C" w:rsidR="00E9389B" w:rsidRPr="00577BF3" w:rsidRDefault="00E9389B" w:rsidP="00906D6C">
      <w:pPr>
        <w:spacing w:after="0"/>
        <w:jc w:val="center"/>
        <w:rPr>
          <w:rFonts w:cs="Times New Roman"/>
          <w:b/>
          <w:szCs w:val="24"/>
        </w:rPr>
      </w:pPr>
      <w:r w:rsidRPr="00577BF3">
        <w:rPr>
          <w:rFonts w:cs="Times New Roman"/>
          <w:noProof/>
        </w:rPr>
        <w:drawing>
          <wp:inline distT="0" distB="0" distL="0" distR="0" wp14:anchorId="545A2C26" wp14:editId="78D0E9D5">
            <wp:extent cx="5391150" cy="2546350"/>
            <wp:effectExtent l="0" t="0" r="0" b="6350"/>
            <wp:docPr id="10"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ADF28E9" w14:textId="77777777" w:rsidR="00E9389B" w:rsidRPr="00577BF3" w:rsidRDefault="00E9389B" w:rsidP="002A2C4B">
      <w:pPr>
        <w:spacing w:after="0"/>
        <w:jc w:val="both"/>
        <w:rPr>
          <w:rFonts w:cs="Times New Roman"/>
          <w:bCs/>
          <w:szCs w:val="24"/>
        </w:rPr>
      </w:pPr>
    </w:p>
    <w:p w14:paraId="3CDA57FB" w14:textId="1F6E0A28" w:rsidR="00034C36" w:rsidRDefault="00E9389B" w:rsidP="00034C36">
      <w:pPr>
        <w:spacing w:after="0" w:line="240" w:lineRule="auto"/>
        <w:jc w:val="both"/>
        <w:rPr>
          <w:rFonts w:cs="Times New Roman"/>
          <w:szCs w:val="24"/>
        </w:rPr>
      </w:pPr>
      <w:r w:rsidRPr="00577BF3">
        <w:rPr>
          <w:rFonts w:cs="Times New Roman"/>
        </w:rPr>
        <w:tab/>
      </w:r>
      <w:r w:rsidRPr="00577BF3">
        <w:rPr>
          <w:rFonts w:cs="Times New Roman"/>
          <w:szCs w:val="24"/>
        </w:rPr>
        <w:t xml:space="preserve">Izlemto sūdzību skaits arī </w:t>
      </w:r>
      <w:r w:rsidR="00102DE4">
        <w:rPr>
          <w:rFonts w:cs="Times New Roman"/>
          <w:szCs w:val="24"/>
        </w:rPr>
        <w:t xml:space="preserve">Kurzemes </w:t>
      </w:r>
      <w:r w:rsidR="00034C36">
        <w:rPr>
          <w:rFonts w:cs="Times New Roman"/>
          <w:bCs/>
          <w:szCs w:val="24"/>
        </w:rPr>
        <w:t xml:space="preserve">tiesas apgabala prokuratūras darbības teritorijā ietilpstošajās rajona līmeņa prokuratūrās </w:t>
      </w:r>
      <w:r w:rsidRPr="00577BF3">
        <w:rPr>
          <w:rFonts w:cs="Times New Roman"/>
          <w:szCs w:val="24"/>
        </w:rPr>
        <w:t xml:space="preserve">saglabājies izteikti augsts. Vienlaikus Saldus rajona prokuratūras rādītāji sūdzību izlemšanā </w:t>
      </w:r>
      <w:r w:rsidR="00E419A6">
        <w:rPr>
          <w:rFonts w:cs="Times New Roman"/>
          <w:szCs w:val="24"/>
        </w:rPr>
        <w:t xml:space="preserve">pēdējo divu gadu laikā </w:t>
      </w:r>
      <w:r w:rsidRPr="00577BF3">
        <w:rPr>
          <w:rFonts w:cs="Times New Roman"/>
          <w:szCs w:val="24"/>
        </w:rPr>
        <w:t xml:space="preserve">ļauj domāt, ka sūdzību skaita samazinājuma risinājumi tomēr ir iespējami. </w:t>
      </w:r>
    </w:p>
    <w:p w14:paraId="5B886F6E" w14:textId="77777777" w:rsidR="00034C36" w:rsidRDefault="00034C36" w:rsidP="00034C36">
      <w:pPr>
        <w:spacing w:after="0" w:line="240" w:lineRule="auto"/>
        <w:jc w:val="both"/>
        <w:rPr>
          <w:rFonts w:cs="Times New Roman"/>
          <w:szCs w:val="24"/>
        </w:rPr>
      </w:pPr>
    </w:p>
    <w:p w14:paraId="5180D9B1" w14:textId="2E7B7BF3" w:rsidR="0090632F" w:rsidRPr="00034C36" w:rsidRDefault="0090632F" w:rsidP="00034C36">
      <w:pPr>
        <w:spacing w:after="0" w:line="240" w:lineRule="auto"/>
        <w:ind w:firstLine="709"/>
        <w:jc w:val="both"/>
        <w:rPr>
          <w:rFonts w:cs="Times New Roman"/>
          <w:szCs w:val="24"/>
        </w:rPr>
      </w:pPr>
      <w:r>
        <w:rPr>
          <w:rFonts w:cs="Times New Roman"/>
          <w:szCs w:val="24"/>
        </w:rPr>
        <w:t>Kopumā jā</w:t>
      </w:r>
      <w:r w:rsidR="006A5C2B">
        <w:rPr>
          <w:rFonts w:cs="Times New Roman"/>
          <w:szCs w:val="24"/>
        </w:rPr>
        <w:t>at</w:t>
      </w:r>
      <w:r>
        <w:rPr>
          <w:rFonts w:cs="Times New Roman"/>
          <w:szCs w:val="24"/>
        </w:rPr>
        <w:t xml:space="preserve">zīmē, ka </w:t>
      </w:r>
      <w:r>
        <w:rPr>
          <w:szCs w:val="24"/>
        </w:rPr>
        <w:t>Kurzemes</w:t>
      </w:r>
      <w:r w:rsidRPr="00FA018F">
        <w:rPr>
          <w:szCs w:val="24"/>
        </w:rPr>
        <w:t xml:space="preserve"> </w:t>
      </w:r>
      <w:r w:rsidR="00034C36">
        <w:rPr>
          <w:rFonts w:cs="Times New Roman"/>
          <w:bCs/>
          <w:szCs w:val="24"/>
        </w:rPr>
        <w:t xml:space="preserve">tiesas apgabala prokuratūras </w:t>
      </w:r>
      <w:r w:rsidR="006A5C2B">
        <w:rPr>
          <w:rFonts w:cs="Times New Roman"/>
          <w:bCs/>
          <w:szCs w:val="24"/>
        </w:rPr>
        <w:t xml:space="preserve">un tās </w:t>
      </w:r>
      <w:r w:rsidR="00034C36">
        <w:rPr>
          <w:rFonts w:cs="Times New Roman"/>
          <w:bCs/>
          <w:szCs w:val="24"/>
        </w:rPr>
        <w:t>darbības teritorijā ietilpstošo rajona līmeņa prokuratūr</w:t>
      </w:r>
      <w:r w:rsidR="008530D0">
        <w:rPr>
          <w:rFonts w:cs="Times New Roman"/>
          <w:bCs/>
          <w:szCs w:val="24"/>
        </w:rPr>
        <w:t>u</w:t>
      </w:r>
      <w:r w:rsidR="00034C36">
        <w:rPr>
          <w:rFonts w:cs="Times New Roman"/>
          <w:bCs/>
          <w:szCs w:val="24"/>
        </w:rPr>
        <w:t xml:space="preserve"> </w:t>
      </w:r>
      <w:r w:rsidRPr="00FA018F">
        <w:rPr>
          <w:szCs w:val="24"/>
        </w:rPr>
        <w:t>prokurori uzrauga</w:t>
      </w:r>
      <w:r w:rsidR="00034C36">
        <w:rPr>
          <w:szCs w:val="24"/>
        </w:rPr>
        <w:t xml:space="preserve"> izmeklēšanu</w:t>
      </w:r>
      <w:r w:rsidRPr="00FA018F">
        <w:rPr>
          <w:szCs w:val="24"/>
        </w:rPr>
        <w:t xml:space="preserve">, veic kriminālvajāšanu un uztur valsts apsūdzību </w:t>
      </w:r>
      <w:r w:rsidR="006A5C2B">
        <w:t xml:space="preserve">par </w:t>
      </w:r>
      <w:r w:rsidR="006A5C2B" w:rsidRPr="00B41DBE">
        <w:t>visu kategoriju</w:t>
      </w:r>
      <w:r w:rsidR="006A5C2B">
        <w:t xml:space="preserve"> noziedzīgajiem nodarījumiem </w:t>
      </w:r>
      <w:r w:rsidR="006A5C2B" w:rsidRPr="00B41DBE">
        <w:t>dažādas sarežģītības pakāpes</w:t>
      </w:r>
      <w:r w:rsidR="006A5C2B">
        <w:t xml:space="preserve"> </w:t>
      </w:r>
      <w:r w:rsidR="006A5C2B" w:rsidRPr="00B41DBE">
        <w:t>kriminālprocesos</w:t>
      </w:r>
      <w:r w:rsidRPr="00FA018F">
        <w:rPr>
          <w:szCs w:val="24"/>
        </w:rPr>
        <w:t>, tai skaitā par nonāvēšanu, noziedzīgiem nodarījumiem  pret personas veselību, īpašumu, personas brīvību, godu, cieņu, noziedzīgiem  nodarījumiem tautsaimniecības jomā, noziedzīgiem nodarījumiem pret vispārējo drošību un sabiedrisko kārtību, pret satiksmes drošību un pārvaldības kārtību, jurisdikciju, kā arī noziedzīgiem nodarījumiem valsts institūciju dienestā.</w:t>
      </w:r>
    </w:p>
    <w:p w14:paraId="59A9B4D3" w14:textId="008FA094" w:rsidR="0090632F" w:rsidRDefault="006A5C2B" w:rsidP="00034C36">
      <w:pPr>
        <w:spacing w:after="0" w:line="240" w:lineRule="auto"/>
        <w:ind w:firstLine="709"/>
        <w:jc w:val="both"/>
        <w:rPr>
          <w:iCs/>
          <w:szCs w:val="24"/>
        </w:rPr>
      </w:pPr>
      <w:bookmarkStart w:id="28" w:name="_Hlk62241519"/>
      <w:r>
        <w:rPr>
          <w:szCs w:val="24"/>
        </w:rPr>
        <w:t>Kurzemes</w:t>
      </w:r>
      <w:r w:rsidRPr="00FA018F">
        <w:rPr>
          <w:szCs w:val="24"/>
        </w:rPr>
        <w:t xml:space="preserve"> </w:t>
      </w:r>
      <w:r>
        <w:rPr>
          <w:rFonts w:cs="Times New Roman"/>
          <w:bCs/>
          <w:szCs w:val="24"/>
        </w:rPr>
        <w:t>tiesas apgabala prokuratūras un tās darbības teritorijā ietilpstošo rajona līmeņa prokuratūru</w:t>
      </w:r>
      <w:r w:rsidR="00034C36">
        <w:rPr>
          <w:rFonts w:cs="Times New Roman"/>
          <w:bCs/>
          <w:szCs w:val="24"/>
        </w:rPr>
        <w:t xml:space="preserve"> </w:t>
      </w:r>
      <w:r w:rsidR="0090632F" w:rsidRPr="00FA018F">
        <w:rPr>
          <w:szCs w:val="24"/>
        </w:rPr>
        <w:t>prokurori</w:t>
      </w:r>
      <w:r w:rsidR="0090632F">
        <w:rPr>
          <w:szCs w:val="24"/>
        </w:rPr>
        <w:t>em noteikts, ka</w:t>
      </w:r>
      <w:r w:rsidR="0090632F" w:rsidRPr="00FA018F">
        <w:rPr>
          <w:szCs w:val="24"/>
        </w:rPr>
        <w:t xml:space="preserve"> </w:t>
      </w:r>
      <w:bookmarkEnd w:id="28"/>
      <w:r w:rsidR="0090632F">
        <w:rPr>
          <w:szCs w:val="24"/>
        </w:rPr>
        <w:t xml:space="preserve">īpaša uzmanība jāpievērš kriminālprocesiem par </w:t>
      </w:r>
      <w:r w:rsidR="0090632F" w:rsidRPr="00FA018F">
        <w:rPr>
          <w:szCs w:val="24"/>
        </w:rPr>
        <w:t>noziedzīg</w:t>
      </w:r>
      <w:r w:rsidR="0090632F">
        <w:rPr>
          <w:szCs w:val="24"/>
        </w:rPr>
        <w:t>iem</w:t>
      </w:r>
      <w:r w:rsidR="0090632F" w:rsidRPr="00FA018F">
        <w:rPr>
          <w:szCs w:val="24"/>
        </w:rPr>
        <w:t xml:space="preserve"> nodarījum</w:t>
      </w:r>
      <w:r w:rsidR="0090632F">
        <w:rPr>
          <w:szCs w:val="24"/>
        </w:rPr>
        <w:t>iem</w:t>
      </w:r>
      <w:r w:rsidR="0090632F" w:rsidRPr="00FA018F">
        <w:rPr>
          <w:szCs w:val="24"/>
        </w:rPr>
        <w:t xml:space="preserve">, kuri </w:t>
      </w:r>
      <w:r>
        <w:rPr>
          <w:szCs w:val="24"/>
        </w:rPr>
        <w:t xml:space="preserve">par īpaši aktuāliem atzīti </w:t>
      </w:r>
      <w:r w:rsidR="0090632F" w:rsidRPr="00FA018F">
        <w:rPr>
          <w:szCs w:val="24"/>
        </w:rPr>
        <w:t xml:space="preserve">saskaņā ar Ģenerālprokuratūras Krimināltiesiskā departamenta virsprokurora rīkojumu </w:t>
      </w:r>
      <w:r w:rsidR="0090632F" w:rsidRPr="00FA018F">
        <w:rPr>
          <w:i/>
          <w:szCs w:val="24"/>
        </w:rPr>
        <w:t>Par īpaši aktuālām krimināllietām</w:t>
      </w:r>
      <w:r w:rsidR="0090632F" w:rsidRPr="00FA018F">
        <w:rPr>
          <w:iCs/>
          <w:szCs w:val="24"/>
        </w:rPr>
        <w:t xml:space="preserve">. </w:t>
      </w:r>
      <w:r w:rsidR="00034C36">
        <w:rPr>
          <w:rFonts w:cs="Times New Roman"/>
          <w:bCs/>
          <w:szCs w:val="24"/>
        </w:rPr>
        <w:t xml:space="preserve">2020. gadā </w:t>
      </w:r>
      <w:r w:rsidR="00132D0B">
        <w:rPr>
          <w:iCs/>
          <w:szCs w:val="24"/>
        </w:rPr>
        <w:t>prokurori</w:t>
      </w:r>
      <w:r w:rsidR="00034C36">
        <w:rPr>
          <w:iCs/>
          <w:szCs w:val="24"/>
        </w:rPr>
        <w:t xml:space="preserve"> </w:t>
      </w:r>
      <w:r w:rsidR="0090632F">
        <w:t>kopā pabei</w:t>
      </w:r>
      <w:r w:rsidR="00034C36">
        <w:t>guši</w:t>
      </w:r>
      <w:r w:rsidR="0090632F">
        <w:t xml:space="preserve"> 38</w:t>
      </w:r>
      <w:r w:rsidR="00034C36">
        <w:t> </w:t>
      </w:r>
      <w:r w:rsidR="0090632F">
        <w:t>krimināl</w:t>
      </w:r>
      <w:r w:rsidR="00132D0B">
        <w:t>procesus</w:t>
      </w:r>
      <w:r w:rsidR="0090632F">
        <w:t xml:space="preserve"> par īpaši aktuāliem noziedzīgiem nodarījumiem. </w:t>
      </w:r>
    </w:p>
    <w:p w14:paraId="69655839" w14:textId="77777777" w:rsidR="00034C36" w:rsidRPr="00034C36" w:rsidRDefault="00034C36" w:rsidP="00034C36">
      <w:pPr>
        <w:spacing w:after="0" w:line="240" w:lineRule="auto"/>
        <w:ind w:firstLine="709"/>
        <w:jc w:val="both"/>
        <w:rPr>
          <w:iCs/>
          <w:szCs w:val="24"/>
        </w:rPr>
      </w:pPr>
    </w:p>
    <w:p w14:paraId="37452844" w14:textId="1DF2C762" w:rsidR="002B1252" w:rsidRDefault="002B1252" w:rsidP="002B1252">
      <w:pPr>
        <w:spacing w:after="0" w:line="240" w:lineRule="auto"/>
        <w:jc w:val="both"/>
        <w:rPr>
          <w:rFonts w:cs="Times New Roman"/>
          <w:b/>
          <w:bCs/>
          <w:szCs w:val="24"/>
        </w:rPr>
      </w:pPr>
      <w:r>
        <w:rPr>
          <w:rFonts w:cs="Times New Roman"/>
          <w:b/>
          <w:bCs/>
          <w:szCs w:val="24"/>
        </w:rPr>
        <w:t>Kurzemes tiesas apgabala prokuratūras virsprokurore I. Ašmane</w:t>
      </w:r>
    </w:p>
    <w:p w14:paraId="0AA9ECE6" w14:textId="3B8DCCE8" w:rsidR="00EC0341" w:rsidRPr="002474F4" w:rsidRDefault="002B1252" w:rsidP="007C2C7B">
      <w:pPr>
        <w:spacing w:after="0" w:line="240" w:lineRule="auto"/>
        <w:jc w:val="both"/>
        <w:rPr>
          <w:rFonts w:cs="Times New Roman"/>
          <w:b/>
          <w:bCs/>
          <w:szCs w:val="24"/>
        </w:rPr>
      </w:pPr>
      <w:r>
        <w:rPr>
          <w:rFonts w:cs="Times New Roman"/>
          <w:b/>
          <w:bCs/>
          <w:szCs w:val="24"/>
        </w:rPr>
        <w:t>Liepājā</w:t>
      </w:r>
      <w:r w:rsidR="00F97E9A">
        <w:rPr>
          <w:rFonts w:cs="Times New Roman"/>
          <w:b/>
          <w:bCs/>
          <w:szCs w:val="24"/>
        </w:rPr>
        <w:t xml:space="preserve"> </w:t>
      </w:r>
      <w:r>
        <w:rPr>
          <w:rFonts w:cs="Times New Roman"/>
          <w:b/>
          <w:bCs/>
          <w:szCs w:val="24"/>
        </w:rPr>
        <w:t xml:space="preserve">2021. gada </w:t>
      </w:r>
      <w:r w:rsidR="002474F4">
        <w:rPr>
          <w:rFonts w:cs="Times New Roman"/>
          <w:b/>
          <w:bCs/>
          <w:szCs w:val="24"/>
        </w:rPr>
        <w:t>10. februārī</w:t>
      </w:r>
      <w:bookmarkEnd w:id="22"/>
    </w:p>
    <w:p w14:paraId="4AACC662" w14:textId="77777777" w:rsidR="006F6614" w:rsidRDefault="006F6614">
      <w:pPr>
        <w:rPr>
          <w:rFonts w:cs="Times New Roman"/>
          <w:b/>
          <w:sz w:val="32"/>
          <w:szCs w:val="32"/>
        </w:rPr>
      </w:pPr>
      <w:bookmarkStart w:id="29" w:name="_Hlk63691822"/>
      <w:bookmarkEnd w:id="23"/>
      <w:r>
        <w:rPr>
          <w:rFonts w:cs="Times New Roman"/>
          <w:b/>
          <w:sz w:val="32"/>
          <w:szCs w:val="32"/>
        </w:rPr>
        <w:br w:type="page"/>
      </w:r>
    </w:p>
    <w:p w14:paraId="355BA479" w14:textId="3F2E2B7F" w:rsidR="00CC2748" w:rsidRPr="00577BF3" w:rsidRDefault="00CC2748" w:rsidP="00CF4214">
      <w:pPr>
        <w:spacing w:after="0" w:line="240" w:lineRule="auto"/>
        <w:jc w:val="center"/>
        <w:rPr>
          <w:rFonts w:cs="Times New Roman"/>
          <w:b/>
          <w:sz w:val="32"/>
          <w:szCs w:val="32"/>
        </w:rPr>
      </w:pPr>
      <w:r w:rsidRPr="00577BF3">
        <w:rPr>
          <w:rFonts w:cs="Times New Roman"/>
          <w:b/>
          <w:sz w:val="32"/>
          <w:szCs w:val="32"/>
        </w:rPr>
        <w:lastRenderedPageBreak/>
        <w:t xml:space="preserve">Latgales tiesas apgabala prokuratūras un tās darbības teritorijā </w:t>
      </w:r>
      <w:r w:rsidR="008530D0">
        <w:rPr>
          <w:rFonts w:cs="Times New Roman"/>
          <w:b/>
          <w:sz w:val="32"/>
          <w:szCs w:val="32"/>
        </w:rPr>
        <w:t>ietilpstošo</w:t>
      </w:r>
      <w:r w:rsidRPr="00577BF3">
        <w:rPr>
          <w:rFonts w:cs="Times New Roman"/>
          <w:b/>
          <w:sz w:val="32"/>
          <w:szCs w:val="32"/>
        </w:rPr>
        <w:t xml:space="preserve"> rajona līmeņa prokuratūru pārskats par 2020. gada darba rezultātiem</w:t>
      </w:r>
    </w:p>
    <w:p w14:paraId="25C5DFEB" w14:textId="77777777" w:rsidR="00F544C2" w:rsidRPr="008530D0" w:rsidRDefault="00F544C2" w:rsidP="00CF4214">
      <w:pPr>
        <w:spacing w:after="0" w:line="240" w:lineRule="auto"/>
        <w:jc w:val="center"/>
        <w:rPr>
          <w:rFonts w:cs="Times New Roman"/>
          <w:b/>
          <w:szCs w:val="24"/>
        </w:rPr>
      </w:pPr>
    </w:p>
    <w:p w14:paraId="763807FB" w14:textId="48F3A7A0" w:rsidR="00CC2748" w:rsidRPr="00577BF3" w:rsidRDefault="00F544C2" w:rsidP="00CF4214">
      <w:pPr>
        <w:pStyle w:val="ListParagraph"/>
        <w:spacing w:after="0" w:line="240" w:lineRule="auto"/>
        <w:ind w:left="1077"/>
        <w:jc w:val="center"/>
        <w:rPr>
          <w:rFonts w:cs="Times New Roman"/>
          <w:b/>
          <w:bCs/>
          <w:sz w:val="28"/>
          <w:szCs w:val="28"/>
        </w:rPr>
      </w:pPr>
      <w:r w:rsidRPr="00577BF3">
        <w:rPr>
          <w:rFonts w:cs="Times New Roman"/>
          <w:b/>
          <w:bCs/>
          <w:sz w:val="28"/>
          <w:szCs w:val="28"/>
        </w:rPr>
        <w:t>I. </w:t>
      </w:r>
      <w:r w:rsidR="00CC2748" w:rsidRPr="00577BF3">
        <w:rPr>
          <w:rFonts w:cs="Times New Roman"/>
          <w:b/>
          <w:bCs/>
          <w:sz w:val="28"/>
          <w:szCs w:val="28"/>
        </w:rPr>
        <w:t>Strukturālais modelis un prokuroru personālsastāvs</w:t>
      </w:r>
    </w:p>
    <w:p w14:paraId="5B0E4D87" w14:textId="77777777" w:rsidR="00F544C2" w:rsidRPr="008530D0" w:rsidRDefault="00F544C2" w:rsidP="00CF4214">
      <w:pPr>
        <w:pStyle w:val="ListParagraph"/>
        <w:spacing w:after="0" w:line="240" w:lineRule="auto"/>
        <w:ind w:left="1077"/>
        <w:rPr>
          <w:rFonts w:cs="Times New Roman"/>
          <w:b/>
          <w:bCs/>
          <w:szCs w:val="24"/>
        </w:rPr>
      </w:pPr>
    </w:p>
    <w:p w14:paraId="5E970C96" w14:textId="00AF346A" w:rsidR="00CC2748" w:rsidRPr="00577BF3" w:rsidRDefault="00CC2748" w:rsidP="00CF4214">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sidR="00954FFC">
        <w:rPr>
          <w:rFonts w:cs="Times New Roman"/>
          <w:szCs w:val="24"/>
        </w:rPr>
        <w:t>2020. gada</w:t>
      </w:r>
      <w:r w:rsidR="00581993">
        <w:rPr>
          <w:rFonts w:cs="Times New Roman"/>
          <w:szCs w:val="24"/>
        </w:rPr>
        <w:t xml:space="preserve"> 28. oktobra redakcijā </w:t>
      </w:r>
      <w:r w:rsidRPr="00577BF3">
        <w:rPr>
          <w:rFonts w:cs="Times New Roman"/>
          <w:szCs w:val="24"/>
        </w:rPr>
        <w:t>Latgales tiesas apgabalā 2020. gadā darbojās 1 apgabala līmeņa teritoriālā prokuratūra</w:t>
      </w:r>
      <w:r w:rsidR="00BC172F" w:rsidRPr="00577BF3">
        <w:rPr>
          <w:rFonts w:cs="Times New Roman"/>
          <w:szCs w:val="24"/>
        </w:rPr>
        <w:t>s struktūrvienība</w:t>
      </w:r>
      <w:r w:rsidRPr="00577BF3">
        <w:rPr>
          <w:rFonts w:cs="Times New Roman"/>
          <w:szCs w:val="24"/>
        </w:rPr>
        <w:t xml:space="preserve"> un </w:t>
      </w:r>
      <w:r w:rsidR="0050450E" w:rsidRPr="00577BF3">
        <w:rPr>
          <w:rFonts w:cs="Times New Roman"/>
          <w:szCs w:val="24"/>
        </w:rPr>
        <w:t>6 </w:t>
      </w:r>
      <w:r w:rsidRPr="00577BF3">
        <w:rPr>
          <w:rFonts w:cs="Times New Roman"/>
          <w:szCs w:val="24"/>
        </w:rPr>
        <w:t xml:space="preserve">rajona līmeņa teritoriālās prokuratūras struktūrvienības </w:t>
      </w:r>
      <w:r w:rsidR="00BC172F" w:rsidRPr="00577BF3">
        <w:rPr>
          <w:rFonts w:cs="Times New Roman"/>
          <w:szCs w:val="24"/>
        </w:rPr>
        <w:t xml:space="preserve">pie </w:t>
      </w:r>
      <w:r w:rsidRPr="00577BF3">
        <w:rPr>
          <w:rFonts w:cs="Times New Roman"/>
          <w:szCs w:val="24"/>
        </w:rPr>
        <w:t>šād</w:t>
      </w:r>
      <w:r w:rsidR="00BC172F" w:rsidRPr="00577BF3">
        <w:rPr>
          <w:rFonts w:cs="Times New Roman"/>
          <w:szCs w:val="24"/>
        </w:rPr>
        <w:t>a</w:t>
      </w:r>
      <w:r w:rsidRPr="00577BF3">
        <w:rPr>
          <w:rFonts w:cs="Times New Roman"/>
          <w:szCs w:val="24"/>
        </w:rPr>
        <w:t xml:space="preserve"> prokuror</w:t>
      </w:r>
      <w:r w:rsidR="002171C6" w:rsidRPr="00577BF3">
        <w:rPr>
          <w:rFonts w:cs="Times New Roman"/>
          <w:szCs w:val="24"/>
        </w:rPr>
        <w:t>a amata</w:t>
      </w:r>
      <w:r w:rsidRPr="00577BF3">
        <w:rPr>
          <w:rFonts w:cs="Times New Roman"/>
          <w:szCs w:val="24"/>
        </w:rPr>
        <w:t xml:space="preserve"> vietu </w:t>
      </w:r>
      <w:r w:rsidR="002F4C67" w:rsidRPr="00577BF3">
        <w:rPr>
          <w:rFonts w:cs="Times New Roman"/>
          <w:szCs w:val="24"/>
        </w:rPr>
        <w:t>sa</w:t>
      </w:r>
      <w:r w:rsidRPr="00577BF3">
        <w:rPr>
          <w:rFonts w:cs="Times New Roman"/>
          <w:szCs w:val="24"/>
        </w:rPr>
        <w:t>dalījum</w:t>
      </w:r>
      <w:r w:rsidR="00BC172F" w:rsidRPr="00577BF3">
        <w:rPr>
          <w:rFonts w:cs="Times New Roman"/>
          <w:szCs w:val="24"/>
        </w:rPr>
        <w:t>a</w:t>
      </w:r>
      <w:r w:rsidRPr="00577BF3">
        <w:rPr>
          <w:rFonts w:cs="Times New Roman"/>
          <w:szCs w:val="24"/>
        </w:rPr>
        <w:t>:</w:t>
      </w:r>
    </w:p>
    <w:p w14:paraId="63CABF9D" w14:textId="27E7CD25" w:rsidR="00CC2748" w:rsidRPr="00577BF3" w:rsidRDefault="0050450E" w:rsidP="00B16727">
      <w:pPr>
        <w:pStyle w:val="ListParagraph"/>
        <w:numPr>
          <w:ilvl w:val="0"/>
          <w:numId w:val="1"/>
        </w:numPr>
        <w:spacing w:after="0" w:line="240" w:lineRule="auto"/>
        <w:jc w:val="both"/>
        <w:rPr>
          <w:rFonts w:cs="Times New Roman"/>
          <w:szCs w:val="24"/>
        </w:rPr>
      </w:pPr>
      <w:r w:rsidRPr="00577BF3">
        <w:rPr>
          <w:rFonts w:cs="Times New Roman"/>
          <w:szCs w:val="24"/>
        </w:rPr>
        <w:t>Latgales</w:t>
      </w:r>
      <w:r w:rsidR="00CC2748" w:rsidRPr="00577BF3">
        <w:rPr>
          <w:rFonts w:cs="Times New Roman"/>
          <w:szCs w:val="24"/>
        </w:rPr>
        <w:t xml:space="preserve"> tiesas apgabala prokuratūra – </w:t>
      </w:r>
      <w:r w:rsidRPr="00577BF3">
        <w:rPr>
          <w:rFonts w:cs="Times New Roman"/>
          <w:szCs w:val="24"/>
        </w:rPr>
        <w:t>9 </w:t>
      </w:r>
      <w:r w:rsidR="00CC2748" w:rsidRPr="00577BF3">
        <w:rPr>
          <w:rFonts w:cs="Times New Roman"/>
          <w:szCs w:val="24"/>
        </w:rPr>
        <w:t xml:space="preserve">prokurora amata vietas (1 virsprokurora un </w:t>
      </w:r>
      <w:r w:rsidRPr="00577BF3">
        <w:rPr>
          <w:rFonts w:cs="Times New Roman"/>
          <w:szCs w:val="24"/>
        </w:rPr>
        <w:t>8 </w:t>
      </w:r>
      <w:r w:rsidR="00CC2748" w:rsidRPr="00577BF3">
        <w:rPr>
          <w:rFonts w:cs="Times New Roman"/>
          <w:szCs w:val="24"/>
        </w:rPr>
        <w:t xml:space="preserve">prokurora štata vietas, no tām </w:t>
      </w:r>
      <w:r w:rsidRPr="00577BF3">
        <w:rPr>
          <w:rFonts w:cs="Times New Roman"/>
          <w:lang w:eastAsia="lv-LV"/>
        </w:rPr>
        <w:t>4</w:t>
      </w:r>
      <w:r w:rsidR="00CC2748" w:rsidRPr="00577BF3">
        <w:rPr>
          <w:rFonts w:cs="Times New Roman"/>
          <w:lang w:eastAsia="lv-LV"/>
        </w:rPr>
        <w:t xml:space="preserve"> prokurora štata vietas ar pastāvīgo darbavietu </w:t>
      </w:r>
      <w:r w:rsidRPr="00577BF3">
        <w:rPr>
          <w:rFonts w:cs="Times New Roman"/>
          <w:lang w:eastAsia="lv-LV"/>
        </w:rPr>
        <w:t>Daugavpilī</w:t>
      </w:r>
      <w:r w:rsidR="00CC2748" w:rsidRPr="00577BF3">
        <w:rPr>
          <w:rFonts w:cs="Times New Roman"/>
          <w:lang w:eastAsia="lv-LV"/>
        </w:rPr>
        <w:t xml:space="preserve">, </w:t>
      </w:r>
      <w:r w:rsidRPr="00577BF3">
        <w:rPr>
          <w:rFonts w:cs="Times New Roman"/>
          <w:lang w:eastAsia="lv-LV"/>
        </w:rPr>
        <w:t>4 </w:t>
      </w:r>
      <w:r w:rsidR="00CC2748" w:rsidRPr="00577BF3">
        <w:rPr>
          <w:rFonts w:cs="Times New Roman"/>
          <w:lang w:eastAsia="lv-LV"/>
        </w:rPr>
        <w:t>prokurora štata vieta</w:t>
      </w:r>
      <w:r w:rsidRPr="00577BF3">
        <w:rPr>
          <w:rFonts w:cs="Times New Roman"/>
          <w:lang w:eastAsia="lv-LV"/>
        </w:rPr>
        <w:t>s</w:t>
      </w:r>
      <w:r w:rsidR="00CC2748" w:rsidRPr="00577BF3">
        <w:rPr>
          <w:rFonts w:cs="Times New Roman"/>
          <w:lang w:eastAsia="lv-LV"/>
        </w:rPr>
        <w:t xml:space="preserve"> ar pastāvīgo darbavietu</w:t>
      </w:r>
      <w:r w:rsidRPr="00577BF3">
        <w:rPr>
          <w:rFonts w:cs="Times New Roman"/>
          <w:lang w:eastAsia="lv-LV"/>
        </w:rPr>
        <w:t xml:space="preserve"> Rēzeknē</w:t>
      </w:r>
      <w:r w:rsidR="00CC2748" w:rsidRPr="00577BF3">
        <w:rPr>
          <w:rFonts w:cs="Times New Roman"/>
          <w:szCs w:val="24"/>
        </w:rPr>
        <w:t>);</w:t>
      </w:r>
    </w:p>
    <w:p w14:paraId="7425E42A" w14:textId="167BC946" w:rsidR="00CC2748" w:rsidRPr="00577BF3" w:rsidRDefault="00C05360" w:rsidP="00B16727">
      <w:pPr>
        <w:pStyle w:val="ListParagraph"/>
        <w:numPr>
          <w:ilvl w:val="0"/>
          <w:numId w:val="1"/>
        </w:numPr>
        <w:spacing w:after="0" w:line="240" w:lineRule="auto"/>
        <w:jc w:val="both"/>
        <w:rPr>
          <w:rFonts w:cs="Times New Roman"/>
          <w:szCs w:val="24"/>
        </w:rPr>
      </w:pPr>
      <w:r w:rsidRPr="00577BF3">
        <w:rPr>
          <w:rFonts w:cs="Times New Roman"/>
          <w:szCs w:val="24"/>
        </w:rPr>
        <w:t>Balvu</w:t>
      </w:r>
      <w:r w:rsidR="00CC2748" w:rsidRPr="00577BF3">
        <w:rPr>
          <w:rFonts w:cs="Times New Roman"/>
          <w:szCs w:val="24"/>
        </w:rPr>
        <w:t xml:space="preserve"> rajona prokuratūra – </w:t>
      </w:r>
      <w:r w:rsidRPr="00577BF3">
        <w:rPr>
          <w:rFonts w:cs="Times New Roman"/>
        </w:rPr>
        <w:t>5 </w:t>
      </w:r>
      <w:r w:rsidR="00CC2748" w:rsidRPr="00577BF3">
        <w:rPr>
          <w:rFonts w:cs="Times New Roman"/>
        </w:rPr>
        <w:t>prokurora</w:t>
      </w:r>
      <w:r w:rsidR="00CC2748" w:rsidRPr="00577BF3">
        <w:rPr>
          <w:rFonts w:cs="Times New Roman"/>
          <w:szCs w:val="24"/>
        </w:rPr>
        <w:t xml:space="preserve"> amata vietas  (1 virsprokurora un </w:t>
      </w:r>
      <w:r w:rsidRPr="00577BF3">
        <w:rPr>
          <w:rFonts w:cs="Times New Roman"/>
        </w:rPr>
        <w:t>4 </w:t>
      </w:r>
      <w:r w:rsidR="00CC2748" w:rsidRPr="00577BF3">
        <w:rPr>
          <w:rFonts w:cs="Times New Roman"/>
        </w:rPr>
        <w:t>prokurora</w:t>
      </w:r>
      <w:r w:rsidR="00CC2748" w:rsidRPr="00577BF3">
        <w:rPr>
          <w:rFonts w:cs="Times New Roman"/>
          <w:szCs w:val="24"/>
        </w:rPr>
        <w:t xml:space="preserve"> štata vietas);</w:t>
      </w:r>
    </w:p>
    <w:p w14:paraId="6CAF224E" w14:textId="750C813B" w:rsidR="00CC2748" w:rsidRPr="00577BF3" w:rsidRDefault="00C05360"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Daugavpils </w:t>
      </w:r>
      <w:r w:rsidR="00CC2748" w:rsidRPr="00577BF3">
        <w:rPr>
          <w:rFonts w:cs="Times New Roman"/>
          <w:szCs w:val="24"/>
        </w:rPr>
        <w:t>prokuratūra – 1</w:t>
      </w:r>
      <w:r w:rsidRPr="00577BF3">
        <w:rPr>
          <w:rFonts w:cs="Times New Roman"/>
          <w:szCs w:val="24"/>
        </w:rPr>
        <w:t>8</w:t>
      </w:r>
      <w:r w:rsidR="00CC2748" w:rsidRPr="00577BF3">
        <w:rPr>
          <w:rFonts w:cs="Times New Roman"/>
          <w:szCs w:val="24"/>
        </w:rPr>
        <w:t> prokurora amata vietas (1 virsprokurora</w:t>
      </w:r>
      <w:r w:rsidRPr="00577BF3">
        <w:rPr>
          <w:rFonts w:cs="Times New Roman"/>
          <w:szCs w:val="24"/>
        </w:rPr>
        <w:t>, 1 virsprokurora vietnieka</w:t>
      </w:r>
      <w:r w:rsidR="00CC2748" w:rsidRPr="00577BF3">
        <w:rPr>
          <w:rFonts w:cs="Times New Roman"/>
          <w:szCs w:val="24"/>
        </w:rPr>
        <w:t xml:space="preserve"> un 1</w:t>
      </w:r>
      <w:r w:rsidRPr="00577BF3">
        <w:rPr>
          <w:rFonts w:cs="Times New Roman"/>
          <w:szCs w:val="24"/>
        </w:rPr>
        <w:t>6 </w:t>
      </w:r>
      <w:r w:rsidR="00CC2748" w:rsidRPr="00577BF3">
        <w:rPr>
          <w:rFonts w:cs="Times New Roman"/>
          <w:szCs w:val="24"/>
        </w:rPr>
        <w:t>prokurora štata vieta</w:t>
      </w:r>
      <w:r w:rsidR="003A15D7" w:rsidRPr="00577BF3">
        <w:rPr>
          <w:rFonts w:cs="Times New Roman"/>
          <w:szCs w:val="24"/>
        </w:rPr>
        <w:t>s</w:t>
      </w:r>
      <w:r w:rsidR="00CC2748" w:rsidRPr="00577BF3">
        <w:rPr>
          <w:rFonts w:cs="Times New Roman"/>
          <w:szCs w:val="24"/>
        </w:rPr>
        <w:t>);</w:t>
      </w:r>
    </w:p>
    <w:p w14:paraId="15C3FEB4" w14:textId="3F29F731" w:rsidR="00CC2748" w:rsidRPr="00577BF3" w:rsidRDefault="00C05360"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Krāslavas </w:t>
      </w:r>
      <w:r w:rsidR="00CC2748" w:rsidRPr="00577BF3">
        <w:rPr>
          <w:rFonts w:cs="Times New Roman"/>
          <w:szCs w:val="24"/>
        </w:rPr>
        <w:t>rajona prokuratūra – 5 prokurora amata vietas (1 virsprokurora un 4 prokurora štata vietas);</w:t>
      </w:r>
    </w:p>
    <w:p w14:paraId="1B0EF651" w14:textId="4E6F95C1" w:rsidR="00CC2748" w:rsidRPr="00577BF3" w:rsidRDefault="00C05360" w:rsidP="00B16727">
      <w:pPr>
        <w:pStyle w:val="ListParagraph"/>
        <w:numPr>
          <w:ilvl w:val="0"/>
          <w:numId w:val="1"/>
        </w:numPr>
        <w:spacing w:after="0" w:line="240" w:lineRule="auto"/>
        <w:jc w:val="both"/>
        <w:rPr>
          <w:rFonts w:cs="Times New Roman"/>
          <w:szCs w:val="24"/>
        </w:rPr>
      </w:pPr>
      <w:r w:rsidRPr="00577BF3">
        <w:rPr>
          <w:rFonts w:cs="Times New Roman"/>
          <w:szCs w:val="24"/>
        </w:rPr>
        <w:t>Ludzas</w:t>
      </w:r>
      <w:r w:rsidR="00CC2748" w:rsidRPr="00577BF3">
        <w:rPr>
          <w:rFonts w:cs="Times New Roman"/>
          <w:szCs w:val="24"/>
        </w:rPr>
        <w:t xml:space="preserve"> rajona prokuratūra – 5 prokurora amata vietas (1 virsprokurora un 4 prokurora štata vietas);</w:t>
      </w:r>
    </w:p>
    <w:p w14:paraId="29D0DB44" w14:textId="6F84B889" w:rsidR="00C05360" w:rsidRPr="00577BF3" w:rsidRDefault="00C05360" w:rsidP="00B16727">
      <w:pPr>
        <w:pStyle w:val="ListParagraph"/>
        <w:numPr>
          <w:ilvl w:val="0"/>
          <w:numId w:val="1"/>
        </w:numPr>
        <w:spacing w:after="0" w:line="240" w:lineRule="auto"/>
        <w:jc w:val="both"/>
        <w:rPr>
          <w:rFonts w:cs="Times New Roman"/>
          <w:szCs w:val="24"/>
        </w:rPr>
      </w:pPr>
      <w:r w:rsidRPr="00577BF3">
        <w:rPr>
          <w:rFonts w:cs="Times New Roman"/>
          <w:szCs w:val="24"/>
        </w:rPr>
        <w:t>Preiļu rajona prokuratūra – 5 prokurora amata vietas</w:t>
      </w:r>
      <w:r w:rsidR="004F02AB" w:rsidRPr="00577BF3">
        <w:rPr>
          <w:rFonts w:cs="Times New Roman"/>
          <w:szCs w:val="24"/>
        </w:rPr>
        <w:t xml:space="preserve"> (1 virsprokurora un 4 prokurora štata vietas);</w:t>
      </w:r>
    </w:p>
    <w:p w14:paraId="280C3A60" w14:textId="0C51368B" w:rsidR="00CC2748" w:rsidRPr="00577BF3" w:rsidRDefault="004F02AB" w:rsidP="00B16727">
      <w:pPr>
        <w:pStyle w:val="ListParagraph"/>
        <w:numPr>
          <w:ilvl w:val="0"/>
          <w:numId w:val="1"/>
        </w:numPr>
        <w:spacing w:after="0" w:line="240" w:lineRule="auto"/>
        <w:ind w:left="714" w:hanging="357"/>
        <w:jc w:val="both"/>
        <w:rPr>
          <w:rFonts w:cs="Times New Roman"/>
          <w:szCs w:val="24"/>
        </w:rPr>
      </w:pPr>
      <w:r w:rsidRPr="00577BF3">
        <w:rPr>
          <w:rFonts w:cs="Times New Roman"/>
          <w:szCs w:val="24"/>
        </w:rPr>
        <w:t xml:space="preserve">Rēzeknes </w:t>
      </w:r>
      <w:r w:rsidR="00CC2748" w:rsidRPr="00577BF3">
        <w:rPr>
          <w:rFonts w:cs="Times New Roman"/>
          <w:szCs w:val="24"/>
        </w:rPr>
        <w:t xml:space="preserve">prokuratūra – </w:t>
      </w:r>
      <w:r w:rsidRPr="00577BF3">
        <w:rPr>
          <w:rFonts w:cs="Times New Roman"/>
          <w:szCs w:val="24"/>
        </w:rPr>
        <w:t>9 </w:t>
      </w:r>
      <w:r w:rsidR="00CC2748" w:rsidRPr="00577BF3">
        <w:rPr>
          <w:rFonts w:cs="Times New Roman"/>
          <w:szCs w:val="24"/>
        </w:rPr>
        <w:t xml:space="preserve">prokurora amata vietas (1 virsprokurora un </w:t>
      </w:r>
      <w:r w:rsidRPr="00577BF3">
        <w:rPr>
          <w:rFonts w:cs="Times New Roman"/>
          <w:szCs w:val="24"/>
        </w:rPr>
        <w:t>8 </w:t>
      </w:r>
      <w:r w:rsidR="00CC2748" w:rsidRPr="00577BF3">
        <w:rPr>
          <w:rFonts w:cs="Times New Roman"/>
          <w:szCs w:val="24"/>
        </w:rPr>
        <w:t>prokurora štata vietas).</w:t>
      </w:r>
    </w:p>
    <w:p w14:paraId="78282A25" w14:textId="77777777" w:rsidR="00CC2748" w:rsidRPr="00577BF3" w:rsidRDefault="00CC2748" w:rsidP="00CF4214">
      <w:pPr>
        <w:spacing w:after="0" w:line="240" w:lineRule="auto"/>
        <w:jc w:val="both"/>
        <w:rPr>
          <w:rFonts w:cs="Times New Roman"/>
          <w:szCs w:val="24"/>
        </w:rPr>
      </w:pPr>
    </w:p>
    <w:p w14:paraId="06E69B11" w14:textId="5DA69817" w:rsidR="00CC2748" w:rsidRDefault="00030C1E" w:rsidP="00E519B1">
      <w:pPr>
        <w:spacing w:after="0" w:line="240" w:lineRule="auto"/>
        <w:jc w:val="center"/>
        <w:rPr>
          <w:rFonts w:cs="Times New Roman"/>
          <w:szCs w:val="24"/>
        </w:rPr>
      </w:pPr>
      <w:r w:rsidRPr="00577BF3">
        <w:rPr>
          <w:rFonts w:cs="Times New Roman"/>
          <w:noProof/>
        </w:rPr>
        <w:drawing>
          <wp:inline distT="0" distB="0" distL="0" distR="0" wp14:anchorId="45E80013" wp14:editId="3A5748F4">
            <wp:extent cx="3575050" cy="1701800"/>
            <wp:effectExtent l="0" t="0" r="6350" b="12700"/>
            <wp:docPr id="88" name="Chart 88">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DF2B8C9" w14:textId="77777777" w:rsidR="002306BA" w:rsidRPr="00577BF3" w:rsidRDefault="002306BA" w:rsidP="00912EA6">
      <w:pPr>
        <w:spacing w:after="0" w:line="240" w:lineRule="auto"/>
        <w:ind w:firstLine="720"/>
        <w:jc w:val="center"/>
        <w:rPr>
          <w:rFonts w:cs="Times New Roman"/>
          <w:szCs w:val="24"/>
        </w:rPr>
      </w:pPr>
    </w:p>
    <w:p w14:paraId="061B0F4D" w14:textId="7613FFC3" w:rsidR="00912EA6" w:rsidRDefault="00912EA6" w:rsidP="00CD5824">
      <w:pPr>
        <w:spacing w:after="0" w:line="240" w:lineRule="auto"/>
        <w:ind w:firstLine="714"/>
        <w:jc w:val="both"/>
        <w:rPr>
          <w:rFonts w:cs="Times New Roman"/>
          <w:szCs w:val="24"/>
        </w:rPr>
      </w:pPr>
      <w:r>
        <w:rPr>
          <w:rFonts w:cs="Times New Roman"/>
          <w:szCs w:val="24"/>
        </w:rPr>
        <w:tab/>
        <w:t xml:space="preserve">Kopumā </w:t>
      </w:r>
      <w:r w:rsidR="002306BA">
        <w:rPr>
          <w:rFonts w:cs="Times New Roman"/>
          <w:szCs w:val="24"/>
        </w:rPr>
        <w:t>Latgales tiesas apgabalā uz 2020. gada 31.</w:t>
      </w:r>
      <w:r w:rsidR="00D81E09">
        <w:rPr>
          <w:rFonts w:cs="Times New Roman"/>
          <w:szCs w:val="24"/>
        </w:rPr>
        <w:t> </w:t>
      </w:r>
      <w:r w:rsidR="002306BA">
        <w:rPr>
          <w:rFonts w:cs="Times New Roman"/>
          <w:szCs w:val="24"/>
        </w:rPr>
        <w:t xml:space="preserve">decembri bija noteiktas </w:t>
      </w:r>
      <w:r w:rsidR="000F660B">
        <w:rPr>
          <w:rFonts w:cs="Times New Roman"/>
          <w:szCs w:val="24"/>
        </w:rPr>
        <w:t>5</w:t>
      </w:r>
      <w:r w:rsidR="002306BA">
        <w:rPr>
          <w:rFonts w:cs="Times New Roman"/>
          <w:szCs w:val="24"/>
        </w:rPr>
        <w:t>6</w:t>
      </w:r>
      <w:r w:rsidR="00FB371F">
        <w:rPr>
          <w:rFonts w:cs="Times New Roman"/>
          <w:szCs w:val="24"/>
        </w:rPr>
        <w:t> </w:t>
      </w:r>
      <w:r w:rsidR="002306BA">
        <w:rPr>
          <w:rFonts w:cs="Times New Roman"/>
          <w:szCs w:val="24"/>
        </w:rPr>
        <w:t xml:space="preserve">prokurora amata vietas, no kurām aizpildītas </w:t>
      </w:r>
      <w:r w:rsidR="001A5C7A">
        <w:rPr>
          <w:rFonts w:cs="Times New Roman"/>
          <w:szCs w:val="24"/>
        </w:rPr>
        <w:t>47</w:t>
      </w:r>
      <w:r w:rsidR="002306BA">
        <w:rPr>
          <w:rFonts w:cs="Times New Roman"/>
          <w:szCs w:val="24"/>
        </w:rPr>
        <w:t xml:space="preserve"> (virsprokurora</w:t>
      </w:r>
      <w:r w:rsidR="001A5C7A">
        <w:rPr>
          <w:rFonts w:cs="Times New Roman"/>
          <w:szCs w:val="24"/>
        </w:rPr>
        <w:t>, virsprokurora vietnieka</w:t>
      </w:r>
      <w:r w:rsidR="002306BA">
        <w:rPr>
          <w:rFonts w:cs="Times New Roman"/>
          <w:szCs w:val="24"/>
        </w:rPr>
        <w:t xml:space="preserve"> un prokurora štata vietas) jeb 83 %.</w:t>
      </w:r>
    </w:p>
    <w:p w14:paraId="47ACE65B" w14:textId="36D2E2D6" w:rsidR="00030C1E" w:rsidRDefault="00030C1E" w:rsidP="00030C1E">
      <w:pPr>
        <w:spacing w:line="240" w:lineRule="auto"/>
        <w:ind w:firstLine="720"/>
        <w:jc w:val="both"/>
        <w:rPr>
          <w:rFonts w:cs="Times New Roman"/>
          <w:szCs w:val="24"/>
        </w:rPr>
      </w:pPr>
      <w:r w:rsidRPr="00577BF3">
        <w:rPr>
          <w:rFonts w:cs="Times New Roman"/>
          <w:szCs w:val="24"/>
        </w:rPr>
        <w:t xml:space="preserve">Prokuratūrā notiekošā reorganizācija ietver rajona līmeņa prokuratūras struktūrvienību apvienošanu, izveidojot jaunas prokuratūras struktūrvienības, tādējādi samazinot to skaitu. Latgales tiesas apgabalā no 2021. gada 1. februāra, apvienojot 6 rajona līmeņa prokuratūras struktūrvienības, izveidotas 2 jaunas rajona līmeņa prokuratūras struktūrvienības – </w:t>
      </w:r>
      <w:r w:rsidRPr="00577BF3">
        <w:rPr>
          <w:rFonts w:cs="Times New Roman"/>
          <w:b/>
          <w:bCs/>
          <w:szCs w:val="24"/>
        </w:rPr>
        <w:t>Austrumlatgales prokuratūra</w:t>
      </w:r>
      <w:r w:rsidRPr="00577BF3">
        <w:rPr>
          <w:rFonts w:cs="Times New Roman"/>
          <w:szCs w:val="24"/>
        </w:rPr>
        <w:t xml:space="preserve">, apvienojot Balvu rajona prokuratūru, Ludzas rajona prokuratūru un Rēzeknes prokuratūru, un </w:t>
      </w:r>
      <w:r w:rsidRPr="00577BF3">
        <w:rPr>
          <w:rFonts w:cs="Times New Roman"/>
          <w:b/>
          <w:bCs/>
          <w:szCs w:val="24"/>
        </w:rPr>
        <w:t>Dienvidlatgales prokuratūra</w:t>
      </w:r>
      <w:r w:rsidRPr="00577BF3">
        <w:rPr>
          <w:rFonts w:cs="Times New Roman"/>
          <w:szCs w:val="24"/>
        </w:rPr>
        <w:t xml:space="preserve">, apvienojot Daugavpils prokuratūru, Krāslavas rajona prokuratūru un Preiļu rajona prokuratūru, un samazinātas 3 prokurora amata vietas.  </w:t>
      </w:r>
    </w:p>
    <w:p w14:paraId="5354FBEA" w14:textId="7E51277B" w:rsidR="00700087" w:rsidRDefault="00700087" w:rsidP="00030C1E">
      <w:pPr>
        <w:spacing w:line="240" w:lineRule="auto"/>
        <w:ind w:firstLine="720"/>
        <w:jc w:val="both"/>
        <w:rPr>
          <w:rFonts w:cs="Times New Roman"/>
          <w:szCs w:val="24"/>
        </w:rPr>
      </w:pPr>
    </w:p>
    <w:p w14:paraId="17E9D505" w14:textId="77777777" w:rsidR="00700087" w:rsidRPr="00577BF3" w:rsidRDefault="00700087" w:rsidP="00700087">
      <w:pPr>
        <w:spacing w:after="0" w:line="240" w:lineRule="auto"/>
        <w:ind w:firstLine="357"/>
        <w:jc w:val="center"/>
        <w:rPr>
          <w:rFonts w:cs="Times New Roman"/>
          <w:szCs w:val="24"/>
        </w:rPr>
      </w:pPr>
      <w:r w:rsidRPr="00577BF3">
        <w:rPr>
          <w:rFonts w:cs="Times New Roman"/>
          <w:b/>
          <w:bCs/>
          <w:sz w:val="28"/>
          <w:szCs w:val="28"/>
        </w:rPr>
        <w:lastRenderedPageBreak/>
        <w:t>II. Tiesas apgabala prokuratūras darba rādītāji</w:t>
      </w:r>
    </w:p>
    <w:p w14:paraId="009DCFF3" w14:textId="7CDEE12B" w:rsidR="00700087" w:rsidRDefault="00700087" w:rsidP="00700087">
      <w:pPr>
        <w:spacing w:after="0" w:line="240" w:lineRule="auto"/>
        <w:jc w:val="center"/>
        <w:rPr>
          <w:rFonts w:cs="Times New Roman"/>
          <w:b/>
          <w:bCs/>
          <w:sz w:val="28"/>
          <w:szCs w:val="28"/>
        </w:rPr>
      </w:pPr>
      <w:r w:rsidRPr="00577BF3">
        <w:rPr>
          <w:rFonts w:cs="Times New Roman"/>
          <w:b/>
          <w:bCs/>
          <w:sz w:val="28"/>
          <w:szCs w:val="28"/>
        </w:rPr>
        <w:t>(salīdzinājums 3 gadu periodā)</w:t>
      </w:r>
    </w:p>
    <w:p w14:paraId="0D7134BF" w14:textId="77777777" w:rsidR="00934224" w:rsidRPr="008530D0" w:rsidRDefault="00934224" w:rsidP="00934224">
      <w:pPr>
        <w:spacing w:after="0" w:line="240" w:lineRule="auto"/>
        <w:rPr>
          <w:rFonts w:cs="Times New Roman"/>
          <w:b/>
          <w:bCs/>
          <w:szCs w:val="24"/>
        </w:rPr>
      </w:pPr>
    </w:p>
    <w:p w14:paraId="62FA9185" w14:textId="1BDB859B" w:rsidR="00934224" w:rsidRPr="009871BA" w:rsidRDefault="00934224" w:rsidP="00E329FC">
      <w:pPr>
        <w:pStyle w:val="ListParagraph"/>
        <w:numPr>
          <w:ilvl w:val="0"/>
          <w:numId w:val="50"/>
        </w:numPr>
        <w:spacing w:after="120"/>
        <w:ind w:left="714" w:hanging="357"/>
        <w:rPr>
          <w:b/>
          <w:bCs/>
        </w:rPr>
      </w:pPr>
      <w:r w:rsidRPr="009871BA">
        <w:rPr>
          <w:b/>
          <w:bCs/>
        </w:rPr>
        <w:t>Kriminālvajāšanai saņemti kriminālprocesi</w:t>
      </w:r>
    </w:p>
    <w:p w14:paraId="38C196B1" w14:textId="16D0841B" w:rsidR="00934224" w:rsidRDefault="00934224" w:rsidP="00954B09">
      <w:pPr>
        <w:spacing w:after="100" w:afterAutospacing="1"/>
        <w:jc w:val="center"/>
      </w:pPr>
      <w:r>
        <w:rPr>
          <w:noProof/>
        </w:rPr>
        <w:drawing>
          <wp:inline distT="0" distB="0" distL="0" distR="0" wp14:anchorId="1C7169A0" wp14:editId="695BEE2C">
            <wp:extent cx="3937000" cy="1708150"/>
            <wp:effectExtent l="0" t="0" r="6350" b="6350"/>
            <wp:docPr id="53" name="Chart 5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5BEDCDD" w14:textId="6C6AB60A" w:rsidR="00934224" w:rsidRDefault="00934224" w:rsidP="00594114">
      <w:pPr>
        <w:spacing w:after="0" w:line="240" w:lineRule="auto"/>
        <w:jc w:val="both"/>
      </w:pPr>
      <w:r>
        <w:tab/>
      </w:r>
      <w:r w:rsidR="002F7A48">
        <w:t>Latgales tiesas apgabala prokuratūrā k</w:t>
      </w:r>
      <w:r>
        <w:t>riminālvajāšanai saņemto kriminālprocesu skaits 2020.</w:t>
      </w:r>
      <w:r w:rsidR="00954B09">
        <w:t> </w:t>
      </w:r>
      <w:r>
        <w:t>gadā, salīdzinot ar 2019.</w:t>
      </w:r>
      <w:r w:rsidR="00954B09">
        <w:t xml:space="preserve"> un</w:t>
      </w:r>
      <w:r>
        <w:t xml:space="preserve"> 2018.</w:t>
      </w:r>
      <w:r w:rsidR="00954B09">
        <w:t> </w:t>
      </w:r>
      <w:r>
        <w:t>gad</w:t>
      </w:r>
      <w:r w:rsidR="00954B09">
        <w:t>u</w:t>
      </w:r>
      <w:r w:rsidR="004020BD">
        <w:t>,</w:t>
      </w:r>
      <w:r>
        <w:t xml:space="preserve"> ir </w:t>
      </w:r>
      <w:r w:rsidR="00FF7AAF">
        <w:t>būtiski</w:t>
      </w:r>
      <w:r>
        <w:t xml:space="preserve"> samazinājies</w:t>
      </w:r>
      <w:r w:rsidR="00034C36">
        <w:t>. T</w:t>
      </w:r>
      <w:r>
        <w:t>o ietekmēj</w:t>
      </w:r>
      <w:r w:rsidR="00F7499E">
        <w:t>a</w:t>
      </w:r>
      <w:r>
        <w:t xml:space="preserve"> gan valstī izsludināt</w:t>
      </w:r>
      <w:r w:rsidR="00954B09">
        <w:t>ā</w:t>
      </w:r>
      <w:r>
        <w:t xml:space="preserve"> ārkārt</w:t>
      </w:r>
      <w:r w:rsidR="00954B09">
        <w:t>ējā</w:t>
      </w:r>
      <w:r>
        <w:t xml:space="preserve"> </w:t>
      </w:r>
      <w:r w:rsidR="00954B09">
        <w:t>situācija</w:t>
      </w:r>
      <w:r>
        <w:t xml:space="preserve">, kas nenoliedzami kavēja izmeklēšanas iestāžu normālu darbību, gan tas, ka </w:t>
      </w:r>
      <w:r w:rsidR="00F7499E">
        <w:t xml:space="preserve">Latgales tiesas </w:t>
      </w:r>
      <w:r>
        <w:t>apgabala prokuratūrā nav aizpildītas 2</w:t>
      </w:r>
      <w:r w:rsidR="00F7499E">
        <w:t> </w:t>
      </w:r>
      <w:r>
        <w:t>prokurora štata vietas, gan tas, ka 1</w:t>
      </w:r>
      <w:r w:rsidR="00F7499E">
        <w:t> </w:t>
      </w:r>
      <w:r>
        <w:t>prokurors atrodas ilgstošā darbnespēj</w:t>
      </w:r>
      <w:r w:rsidR="00F7499E">
        <w:t>ā</w:t>
      </w:r>
      <w:r>
        <w:t xml:space="preserve">. </w:t>
      </w:r>
    </w:p>
    <w:p w14:paraId="385A3206" w14:textId="773DD4D0" w:rsidR="00F7499E" w:rsidRDefault="00F7499E" w:rsidP="00F7499E">
      <w:pPr>
        <w:spacing w:after="0"/>
        <w:jc w:val="both"/>
      </w:pPr>
    </w:p>
    <w:p w14:paraId="50E08313" w14:textId="76511BED" w:rsidR="00934224" w:rsidRPr="00594114" w:rsidRDefault="00F7499E" w:rsidP="00E329FC">
      <w:pPr>
        <w:pStyle w:val="ListParagraph"/>
        <w:numPr>
          <w:ilvl w:val="0"/>
          <w:numId w:val="50"/>
        </w:numPr>
        <w:spacing w:after="120"/>
        <w:ind w:left="714" w:hanging="357"/>
        <w:jc w:val="both"/>
        <w:rPr>
          <w:b/>
          <w:bCs/>
        </w:rPr>
      </w:pPr>
      <w:r>
        <w:rPr>
          <w:b/>
          <w:bCs/>
        </w:rPr>
        <w:t>Tiesai nodotas krimināllietas, no tām vienošanās procesa kārtībā</w:t>
      </w:r>
    </w:p>
    <w:p w14:paraId="40A042B5" w14:textId="2E58C3B0" w:rsidR="00934224" w:rsidRDefault="00934224" w:rsidP="00594114">
      <w:pPr>
        <w:spacing w:after="0"/>
        <w:jc w:val="center"/>
      </w:pPr>
      <w:r>
        <w:rPr>
          <w:noProof/>
        </w:rPr>
        <w:drawing>
          <wp:inline distT="0" distB="0" distL="0" distR="0" wp14:anchorId="51E89645" wp14:editId="1A1A3303">
            <wp:extent cx="3937000" cy="1733550"/>
            <wp:effectExtent l="0" t="0" r="6350" b="0"/>
            <wp:docPr id="55" name="Chart 5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C812106" w14:textId="77777777" w:rsidR="00594114" w:rsidRDefault="00594114" w:rsidP="00594114">
      <w:pPr>
        <w:spacing w:after="0"/>
        <w:jc w:val="center"/>
      </w:pPr>
    </w:p>
    <w:p w14:paraId="5F2BEB20" w14:textId="08A45DFD" w:rsidR="00934224" w:rsidRDefault="00934224" w:rsidP="002C7AAA">
      <w:pPr>
        <w:spacing w:after="0" w:line="240" w:lineRule="auto"/>
        <w:jc w:val="both"/>
      </w:pPr>
      <w:r>
        <w:tab/>
      </w:r>
      <w:r w:rsidR="00034C36">
        <w:t>Samazinājies arī Latgales tiesas apgabala prokuratūras prokuroru t</w:t>
      </w:r>
      <w:r>
        <w:t>iesai nodoto krimināl</w:t>
      </w:r>
      <w:r w:rsidR="002C7AAA">
        <w:t>lietu</w:t>
      </w:r>
      <w:r>
        <w:t xml:space="preserve"> skaits, kas faktiski saistīts ar tiem pašiem apstākļiem, kas norādīti aprakstā pie iepriekšējās tabulas. Taču, ja salīdzin</w:t>
      </w:r>
      <w:r w:rsidR="002C7AAA">
        <w:t>a</w:t>
      </w:r>
      <w:r>
        <w:t xml:space="preserve"> noziedzīgo nodarījumu skaitu tiesai nodot</w:t>
      </w:r>
      <w:r w:rsidR="00594114">
        <w:t>ajās</w:t>
      </w:r>
      <w:r>
        <w:t xml:space="preserve"> krimināl</w:t>
      </w:r>
      <w:r w:rsidR="00594114">
        <w:t>lietās</w:t>
      </w:r>
      <w:r>
        <w:t xml:space="preserve"> 2020.</w:t>
      </w:r>
      <w:r w:rsidR="00594114">
        <w:t> </w:t>
      </w:r>
      <w:r>
        <w:t>gadā ar 2019.</w:t>
      </w:r>
      <w:r w:rsidR="00594114">
        <w:t> </w:t>
      </w:r>
      <w:r>
        <w:t xml:space="preserve">gadu, tad </w:t>
      </w:r>
      <w:r w:rsidR="002C7AAA">
        <w:t>jānorāda</w:t>
      </w:r>
      <w:r>
        <w:t>, ka noziedzīgo nodarījumu skaits tiesai nod</w:t>
      </w:r>
      <w:r w:rsidR="002C7AAA">
        <w:t>o</w:t>
      </w:r>
      <w:r w:rsidR="00594114">
        <w:t>t</w:t>
      </w:r>
      <w:r w:rsidR="002C7AAA">
        <w:t>aj</w:t>
      </w:r>
      <w:r w:rsidR="00594114">
        <w:t>ās</w:t>
      </w:r>
      <w:r>
        <w:t xml:space="preserve"> krimināl</w:t>
      </w:r>
      <w:r w:rsidR="00594114">
        <w:t>lietās</w:t>
      </w:r>
      <w:r>
        <w:t xml:space="preserve"> 2020.</w:t>
      </w:r>
      <w:r w:rsidR="002C7AAA">
        <w:t> </w:t>
      </w:r>
      <w:r>
        <w:t>gadā ir 92</w:t>
      </w:r>
      <w:r w:rsidR="002C7AAA">
        <w:t> </w:t>
      </w:r>
      <w:r>
        <w:t>noziedzīgie nodarījumi, kas ir par 4</w:t>
      </w:r>
      <w:r w:rsidR="002C7AAA">
        <w:t> </w:t>
      </w:r>
      <w:r>
        <w:t>noziedzīgiem nodarījumiem vairāk nekā 2019.</w:t>
      </w:r>
      <w:r w:rsidR="002C7AAA">
        <w:t> </w:t>
      </w:r>
      <w:r>
        <w:t>gadā. Pozitīva tendence vērojama vienošanās procesu piemērošanā, kas 2020.</w:t>
      </w:r>
      <w:r w:rsidR="002C7AAA">
        <w:t> </w:t>
      </w:r>
      <w:r>
        <w:t>gadā sastāda 25</w:t>
      </w:r>
      <w:r w:rsidR="002C7AAA">
        <w:t> </w:t>
      </w:r>
      <w:r>
        <w:t>% no tiesai nodot</w:t>
      </w:r>
      <w:r w:rsidR="002C7AAA">
        <w:t xml:space="preserve">ajām </w:t>
      </w:r>
      <w:r>
        <w:t>krimināl</w:t>
      </w:r>
      <w:r w:rsidR="002C7AAA">
        <w:t>lietām</w:t>
      </w:r>
      <w:r>
        <w:t>.</w:t>
      </w:r>
    </w:p>
    <w:p w14:paraId="5D88C006" w14:textId="623B979F" w:rsidR="002C7AAA" w:rsidRDefault="002C7AAA" w:rsidP="002C7AAA">
      <w:pPr>
        <w:spacing w:after="0" w:line="240" w:lineRule="auto"/>
        <w:jc w:val="both"/>
      </w:pPr>
    </w:p>
    <w:p w14:paraId="32E80E81" w14:textId="20D61D8E" w:rsidR="00934224" w:rsidRPr="003B7388" w:rsidRDefault="002C7AAA" w:rsidP="00E329FC">
      <w:pPr>
        <w:pStyle w:val="ListParagraph"/>
        <w:numPr>
          <w:ilvl w:val="0"/>
          <w:numId w:val="50"/>
        </w:numPr>
        <w:spacing w:after="120" w:line="240" w:lineRule="auto"/>
        <w:ind w:left="714" w:hanging="357"/>
        <w:jc w:val="both"/>
        <w:rPr>
          <w:b/>
          <w:bCs/>
        </w:rPr>
      </w:pPr>
      <w:r>
        <w:rPr>
          <w:b/>
          <w:bCs/>
        </w:rPr>
        <w:t>Prokuratūrā pabeigti kriminālprocesi, nenododot krimināllietu tiesai</w:t>
      </w:r>
    </w:p>
    <w:p w14:paraId="4E9C8792" w14:textId="08D53AAB" w:rsidR="003B7388" w:rsidRDefault="00934224" w:rsidP="003B7388">
      <w:pPr>
        <w:spacing w:after="0"/>
        <w:jc w:val="center"/>
      </w:pPr>
      <w:r>
        <w:rPr>
          <w:noProof/>
        </w:rPr>
        <w:drawing>
          <wp:inline distT="0" distB="0" distL="0" distR="0" wp14:anchorId="53B61059" wp14:editId="79A72CB2">
            <wp:extent cx="3949700" cy="1447800"/>
            <wp:effectExtent l="0" t="0" r="12700" b="0"/>
            <wp:docPr id="56" name="Chart 56">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4394519" w14:textId="42211769" w:rsidR="00934224" w:rsidRDefault="003B7388" w:rsidP="00A43928">
      <w:pPr>
        <w:spacing w:after="0" w:line="240" w:lineRule="auto"/>
        <w:ind w:firstLine="720"/>
        <w:jc w:val="both"/>
        <w:rPr>
          <w:rFonts w:eastAsia="Times New Roman" w:cs="Times New Roman"/>
          <w:bCs/>
          <w:szCs w:val="24"/>
          <w:lang w:eastAsia="lv-LV"/>
        </w:rPr>
      </w:pPr>
      <w:r>
        <w:rPr>
          <w:rFonts w:eastAsia="Times New Roman" w:cs="Times New Roman"/>
          <w:bCs/>
          <w:szCs w:val="24"/>
          <w:lang w:eastAsia="lv-LV"/>
        </w:rPr>
        <w:lastRenderedPageBreak/>
        <w:t>Šis Latgales tiesas apgabala prokuratūras d</w:t>
      </w:r>
      <w:r w:rsidR="00934224" w:rsidRPr="00D30E50">
        <w:rPr>
          <w:rFonts w:eastAsia="Times New Roman" w:cs="Times New Roman"/>
          <w:bCs/>
          <w:szCs w:val="24"/>
          <w:lang w:eastAsia="lv-LV"/>
        </w:rPr>
        <w:t xml:space="preserve">arba rādītājs </w:t>
      </w:r>
      <w:r w:rsidR="002F7A48">
        <w:rPr>
          <w:rFonts w:eastAsia="Times New Roman" w:cs="Times New Roman"/>
          <w:bCs/>
          <w:szCs w:val="24"/>
          <w:lang w:eastAsia="lv-LV"/>
        </w:rPr>
        <w:t xml:space="preserve">2020. gadā </w:t>
      </w:r>
      <w:r>
        <w:rPr>
          <w:rFonts w:eastAsia="Times New Roman" w:cs="Times New Roman"/>
          <w:bCs/>
          <w:szCs w:val="24"/>
          <w:lang w:eastAsia="lv-LV"/>
        </w:rPr>
        <w:t xml:space="preserve">ir </w:t>
      </w:r>
      <w:r w:rsidR="00934224" w:rsidRPr="00D30E50">
        <w:rPr>
          <w:rFonts w:eastAsia="Times New Roman" w:cs="Times New Roman"/>
          <w:bCs/>
          <w:szCs w:val="24"/>
          <w:lang w:eastAsia="lv-LV"/>
        </w:rPr>
        <w:t>bez būtiskām izmaiņām</w:t>
      </w:r>
      <w:r w:rsidR="002F7A48">
        <w:rPr>
          <w:rFonts w:eastAsia="Times New Roman" w:cs="Times New Roman"/>
          <w:bCs/>
          <w:szCs w:val="24"/>
          <w:lang w:eastAsia="lv-LV"/>
        </w:rPr>
        <w:t xml:space="preserve"> salīdzinājumā ar 2018. gadu, bet </w:t>
      </w:r>
      <w:r w:rsidR="006F4BAD">
        <w:rPr>
          <w:rFonts w:eastAsia="Times New Roman" w:cs="Times New Roman"/>
          <w:bCs/>
          <w:szCs w:val="24"/>
          <w:lang w:eastAsia="lv-LV"/>
        </w:rPr>
        <w:t xml:space="preserve">dubultojies </w:t>
      </w:r>
      <w:r w:rsidR="002F7A48">
        <w:rPr>
          <w:rFonts w:eastAsia="Times New Roman" w:cs="Times New Roman"/>
          <w:bCs/>
          <w:szCs w:val="24"/>
          <w:lang w:eastAsia="lv-LV"/>
        </w:rPr>
        <w:t>salīdzinājumā ar 2019. gadu.</w:t>
      </w:r>
      <w:r w:rsidR="00934224" w:rsidRPr="00D30E50">
        <w:rPr>
          <w:rFonts w:eastAsia="Times New Roman" w:cs="Times New Roman"/>
          <w:bCs/>
          <w:szCs w:val="24"/>
          <w:lang w:eastAsia="lv-LV"/>
        </w:rPr>
        <w:t xml:space="preserve"> Pozitīvi vērtējama prokuroru darbība, </w:t>
      </w:r>
      <w:r w:rsidR="00934224">
        <w:rPr>
          <w:rFonts w:eastAsia="Times New Roman" w:cs="Times New Roman"/>
          <w:bCs/>
          <w:szCs w:val="24"/>
          <w:lang w:eastAsia="lv-LV"/>
        </w:rPr>
        <w:t>25</w:t>
      </w:r>
      <w:r w:rsidR="00934224" w:rsidRPr="00D30E50">
        <w:rPr>
          <w:rFonts w:eastAsia="Times New Roman" w:cs="Times New Roman"/>
          <w:bCs/>
          <w:szCs w:val="24"/>
          <w:lang w:eastAsia="lv-LV"/>
        </w:rPr>
        <w:t>% no visiem pabeigtajiem kriminālprocesiem izmantojot iespēju ne</w:t>
      </w:r>
      <w:r w:rsidR="002F7A48">
        <w:rPr>
          <w:rFonts w:eastAsia="Times New Roman" w:cs="Times New Roman"/>
          <w:bCs/>
          <w:szCs w:val="24"/>
          <w:lang w:eastAsia="lv-LV"/>
        </w:rPr>
        <w:t>nodot krimināl</w:t>
      </w:r>
      <w:r w:rsidR="00934224" w:rsidRPr="00D30E50">
        <w:rPr>
          <w:rFonts w:eastAsia="Times New Roman" w:cs="Times New Roman"/>
          <w:bCs/>
          <w:szCs w:val="24"/>
          <w:lang w:eastAsia="lv-LV"/>
        </w:rPr>
        <w:t>lietu tiesai, bet panākt krimināltiesisko attiecību taisnīgu noregulējumu prokuratūrā.</w:t>
      </w:r>
    </w:p>
    <w:p w14:paraId="0A8BFF39" w14:textId="37CAECA6" w:rsidR="006F4BAD" w:rsidRDefault="006F4BAD" w:rsidP="00A43928">
      <w:pPr>
        <w:spacing w:after="0"/>
        <w:jc w:val="both"/>
        <w:rPr>
          <w:rFonts w:eastAsia="Times New Roman" w:cs="Times New Roman"/>
          <w:bCs/>
          <w:szCs w:val="24"/>
          <w:lang w:eastAsia="lv-LV"/>
        </w:rPr>
      </w:pPr>
    </w:p>
    <w:p w14:paraId="1758907F" w14:textId="7AAA2C58" w:rsidR="00934224" w:rsidRDefault="00A43928" w:rsidP="00E329FC">
      <w:pPr>
        <w:pStyle w:val="ListParagraph"/>
        <w:numPr>
          <w:ilvl w:val="0"/>
          <w:numId w:val="50"/>
        </w:numPr>
        <w:spacing w:after="120"/>
        <w:ind w:left="714" w:hanging="357"/>
        <w:jc w:val="both"/>
        <w:rPr>
          <w:b/>
        </w:rPr>
      </w:pPr>
      <w:r>
        <w:rPr>
          <w:noProof/>
        </w:rPr>
        <w:drawing>
          <wp:anchor distT="0" distB="0" distL="114300" distR="114300" simplePos="0" relativeHeight="251729408" behindDoc="0" locked="0" layoutInCell="1" allowOverlap="1" wp14:anchorId="05E92757" wp14:editId="54D1FF5B">
            <wp:simplePos x="0" y="0"/>
            <wp:positionH relativeFrom="margin">
              <wp:posOffset>297815</wp:posOffset>
            </wp:positionH>
            <wp:positionV relativeFrom="paragraph">
              <wp:posOffset>419735</wp:posOffset>
            </wp:positionV>
            <wp:extent cx="5365750" cy="3390900"/>
            <wp:effectExtent l="0" t="0" r="6350" b="0"/>
            <wp:wrapTopAndBottom/>
            <wp:docPr id="131" name="Chart 13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005E73D7">
        <w:rPr>
          <w:b/>
        </w:rPr>
        <w:t>Pabeigti kriminālprocesi par atsevišķiem noziedzīgiem nodarījumiem (īpaši aktuāli pēc apdraudējuma objekta)</w:t>
      </w:r>
    </w:p>
    <w:p w14:paraId="3BAC2803" w14:textId="70E1588D" w:rsidR="00934224" w:rsidRDefault="00934224" w:rsidP="00A43928">
      <w:pPr>
        <w:spacing w:after="0" w:line="240" w:lineRule="auto"/>
        <w:rPr>
          <w:rFonts w:eastAsia="Times New Roman" w:cs="Times New Roman"/>
          <w:bCs/>
          <w:szCs w:val="24"/>
          <w:lang w:eastAsia="lv-LV"/>
        </w:rPr>
      </w:pPr>
    </w:p>
    <w:p w14:paraId="5687C6B1" w14:textId="33318C55" w:rsidR="00934224" w:rsidRDefault="00934224" w:rsidP="003E46B1">
      <w:pPr>
        <w:spacing w:after="0" w:line="240" w:lineRule="auto"/>
        <w:ind w:firstLine="720"/>
        <w:jc w:val="both"/>
        <w:rPr>
          <w:bCs/>
          <w:szCs w:val="24"/>
        </w:rPr>
      </w:pPr>
      <w:r>
        <w:rPr>
          <w:bCs/>
          <w:szCs w:val="24"/>
        </w:rPr>
        <w:t>Izteikts ar seksuālo vardarbību saistīto nozi</w:t>
      </w:r>
      <w:r w:rsidR="00034C36">
        <w:rPr>
          <w:bCs/>
          <w:szCs w:val="24"/>
        </w:rPr>
        <w:t>edzīgo nodarījumu</w:t>
      </w:r>
      <w:r>
        <w:rPr>
          <w:bCs/>
          <w:szCs w:val="24"/>
        </w:rPr>
        <w:t xml:space="preserve"> skaita īpatsvars attiecībā pret citiem nozie</w:t>
      </w:r>
      <w:r w:rsidR="00034C36">
        <w:rPr>
          <w:bCs/>
          <w:szCs w:val="24"/>
        </w:rPr>
        <w:t>dzīga nodarījuma</w:t>
      </w:r>
      <w:r>
        <w:rPr>
          <w:bCs/>
          <w:szCs w:val="24"/>
        </w:rPr>
        <w:t xml:space="preserve"> veidiem. Šāda tendence vērojama nemainīgi vismaz pēdējo 3</w:t>
      </w:r>
      <w:r w:rsidR="00034C36">
        <w:rPr>
          <w:bCs/>
          <w:szCs w:val="24"/>
        </w:rPr>
        <w:t> </w:t>
      </w:r>
      <w:r>
        <w:rPr>
          <w:bCs/>
          <w:szCs w:val="24"/>
        </w:rPr>
        <w:t>gadu periodā. Nozie</w:t>
      </w:r>
      <w:r w:rsidR="00034C36">
        <w:rPr>
          <w:bCs/>
          <w:szCs w:val="24"/>
        </w:rPr>
        <w:t>dzīgi nodarījumi</w:t>
      </w:r>
      <w:r>
        <w:rPr>
          <w:bCs/>
          <w:szCs w:val="24"/>
        </w:rPr>
        <w:t xml:space="preserve"> pret tikumību un dzimumneaizskaramību veido 34,3</w:t>
      </w:r>
      <w:r w:rsidR="003E46B1">
        <w:rPr>
          <w:bCs/>
          <w:szCs w:val="24"/>
        </w:rPr>
        <w:t> </w:t>
      </w:r>
      <w:r>
        <w:rPr>
          <w:bCs/>
          <w:szCs w:val="24"/>
        </w:rPr>
        <w:t>% no visiem nozie</w:t>
      </w:r>
      <w:r w:rsidR="00034C36">
        <w:rPr>
          <w:bCs/>
          <w:szCs w:val="24"/>
        </w:rPr>
        <w:t>dzīgiem nodarījumiem</w:t>
      </w:r>
      <w:r>
        <w:rPr>
          <w:bCs/>
          <w:szCs w:val="24"/>
        </w:rPr>
        <w:t xml:space="preserve"> </w:t>
      </w:r>
      <w:r w:rsidR="003E46B1">
        <w:rPr>
          <w:bCs/>
          <w:szCs w:val="24"/>
        </w:rPr>
        <w:t>Latgales tiesas apgabala prokuratūrā pabeigtajos kriminālprocesos</w:t>
      </w:r>
      <w:r>
        <w:rPr>
          <w:bCs/>
          <w:szCs w:val="24"/>
        </w:rPr>
        <w:t>. 2021.</w:t>
      </w:r>
      <w:r w:rsidR="003E46B1">
        <w:rPr>
          <w:bCs/>
          <w:szCs w:val="24"/>
        </w:rPr>
        <w:t> </w:t>
      </w:r>
      <w:r>
        <w:rPr>
          <w:bCs/>
          <w:szCs w:val="24"/>
        </w:rPr>
        <w:t>gadā prokuroru darbā nemainīgi akcentējama darba efektivitātes paaugstināšana kriminālprocesos par ekonomisk</w:t>
      </w:r>
      <w:r w:rsidR="00034C36">
        <w:rPr>
          <w:bCs/>
          <w:szCs w:val="24"/>
        </w:rPr>
        <w:t>aj</w:t>
      </w:r>
      <w:r>
        <w:rPr>
          <w:bCs/>
          <w:szCs w:val="24"/>
        </w:rPr>
        <w:t xml:space="preserve">iem </w:t>
      </w:r>
      <w:r w:rsidR="00034C36">
        <w:rPr>
          <w:bCs/>
          <w:szCs w:val="24"/>
        </w:rPr>
        <w:t>noziedzīgajiem nodarījumiem</w:t>
      </w:r>
      <w:r>
        <w:rPr>
          <w:bCs/>
          <w:szCs w:val="24"/>
        </w:rPr>
        <w:t xml:space="preserve">, tostarp noziedzīgi iegūtu līdzekļu legalizēšanu. </w:t>
      </w:r>
    </w:p>
    <w:p w14:paraId="3482B6AC" w14:textId="21DD9007" w:rsidR="003E46B1" w:rsidRDefault="003E46B1" w:rsidP="003E46B1">
      <w:pPr>
        <w:spacing w:after="0" w:line="240" w:lineRule="auto"/>
        <w:jc w:val="both"/>
        <w:rPr>
          <w:bCs/>
          <w:szCs w:val="24"/>
        </w:rPr>
      </w:pPr>
    </w:p>
    <w:p w14:paraId="5AB4CDB9" w14:textId="488152FE" w:rsidR="00934224" w:rsidRPr="008D04CB" w:rsidRDefault="003E46B1" w:rsidP="00E329FC">
      <w:pPr>
        <w:pStyle w:val="ListParagraph"/>
        <w:numPr>
          <w:ilvl w:val="0"/>
          <w:numId w:val="50"/>
        </w:numPr>
        <w:spacing w:after="120" w:line="240" w:lineRule="auto"/>
        <w:ind w:left="714" w:hanging="357"/>
        <w:jc w:val="both"/>
        <w:rPr>
          <w:b/>
          <w:szCs w:val="24"/>
        </w:rPr>
      </w:pPr>
      <w:r>
        <w:rPr>
          <w:b/>
          <w:szCs w:val="24"/>
        </w:rPr>
        <w:t>Prokuroru uzraudzībā pieņemti kriminālproces</w:t>
      </w:r>
      <w:r w:rsidR="008D04CB">
        <w:rPr>
          <w:b/>
          <w:szCs w:val="24"/>
        </w:rPr>
        <w:t>i</w:t>
      </w:r>
    </w:p>
    <w:p w14:paraId="65450EE4" w14:textId="6FCC1906" w:rsidR="00934224" w:rsidRDefault="00934224" w:rsidP="00E519B1">
      <w:pPr>
        <w:spacing w:after="0" w:line="240" w:lineRule="auto"/>
        <w:jc w:val="center"/>
        <w:rPr>
          <w:bCs/>
          <w:szCs w:val="24"/>
        </w:rPr>
      </w:pPr>
      <w:r>
        <w:rPr>
          <w:noProof/>
        </w:rPr>
        <w:drawing>
          <wp:inline distT="0" distB="0" distL="0" distR="0" wp14:anchorId="69705F0A" wp14:editId="409B0649">
            <wp:extent cx="3990975" cy="1682750"/>
            <wp:effectExtent l="0" t="0" r="9525" b="12700"/>
            <wp:docPr id="58" name="Chart 58">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559351E" w14:textId="77777777" w:rsidR="00934224" w:rsidRDefault="00934224" w:rsidP="00934224">
      <w:pPr>
        <w:spacing w:after="0" w:line="240" w:lineRule="auto"/>
        <w:ind w:firstLine="720"/>
        <w:jc w:val="center"/>
        <w:rPr>
          <w:bCs/>
          <w:szCs w:val="24"/>
        </w:rPr>
      </w:pPr>
    </w:p>
    <w:p w14:paraId="75B5F89E" w14:textId="569DCC66" w:rsidR="001F111A" w:rsidRDefault="008D04CB" w:rsidP="00934224">
      <w:pPr>
        <w:spacing w:after="0" w:line="240" w:lineRule="auto"/>
        <w:ind w:firstLine="720"/>
        <w:jc w:val="both"/>
        <w:rPr>
          <w:bCs/>
          <w:szCs w:val="24"/>
        </w:rPr>
      </w:pPr>
      <w:r>
        <w:rPr>
          <w:bCs/>
          <w:szCs w:val="24"/>
        </w:rPr>
        <w:t>Latgales tiesas apgabala prokuratūras prokuroru u</w:t>
      </w:r>
      <w:r w:rsidR="00934224">
        <w:rPr>
          <w:bCs/>
          <w:szCs w:val="24"/>
        </w:rPr>
        <w:t xml:space="preserve">zraudzībā pieņemto kriminālprocesu skaits triju gadu griezumā būtiski nav mainījies. Taču jāatzīmē tas, ka slodzes apjoms uz prokuroru ir pieaudzis. </w:t>
      </w:r>
      <w:r w:rsidR="00047478">
        <w:rPr>
          <w:bCs/>
          <w:szCs w:val="24"/>
        </w:rPr>
        <w:t xml:space="preserve">Turklāt </w:t>
      </w:r>
      <w:r w:rsidR="00934224">
        <w:rPr>
          <w:bCs/>
          <w:szCs w:val="24"/>
        </w:rPr>
        <w:t xml:space="preserve">prokuroru uzraudzībā pēdējos gados nonāk ievērojami vairāk </w:t>
      </w:r>
      <w:r w:rsidR="00934224">
        <w:rPr>
          <w:bCs/>
          <w:szCs w:val="24"/>
        </w:rPr>
        <w:lastRenderedPageBreak/>
        <w:t>aktīvo kriminālprocesu, kas arī palielina prokuror</w:t>
      </w:r>
      <w:r w:rsidR="00047478">
        <w:rPr>
          <w:bCs/>
          <w:szCs w:val="24"/>
        </w:rPr>
        <w:t>u darba</w:t>
      </w:r>
      <w:r w:rsidR="00934224">
        <w:rPr>
          <w:bCs/>
          <w:szCs w:val="24"/>
        </w:rPr>
        <w:t xml:space="preserve"> slodzi. Līdz ar ģenerālprokurora pavēles pieņemšanu ir skaidri noteikta apgabala līmeņa prokuratūru uzraudzības piekritība. Tas dos iespēju precīzāk izvērtēt uzraudzības piekritību un mērķtiecīgi samazināt </w:t>
      </w:r>
      <w:r w:rsidR="00034C36">
        <w:rPr>
          <w:bCs/>
          <w:szCs w:val="24"/>
        </w:rPr>
        <w:t xml:space="preserve">Latgales tiesas </w:t>
      </w:r>
      <w:r w:rsidR="00934224">
        <w:rPr>
          <w:bCs/>
          <w:szCs w:val="24"/>
        </w:rPr>
        <w:t xml:space="preserve">apgabala </w:t>
      </w:r>
      <w:r w:rsidR="00034C36">
        <w:rPr>
          <w:bCs/>
          <w:szCs w:val="24"/>
        </w:rPr>
        <w:t xml:space="preserve">prokuratūras </w:t>
      </w:r>
      <w:r w:rsidR="00934224">
        <w:rPr>
          <w:bCs/>
          <w:szCs w:val="24"/>
        </w:rPr>
        <w:t xml:space="preserve">prokuroru uzraudzībā nododamo kriminālprocesu apjomu, vienlaikus dodot iespēju pieredzējušiem prokuroriem strādāt ar sarežģītiem kriminālprocesiem, kuru virzīšanā nepieciešama augstāka profesionalitāte. </w:t>
      </w:r>
    </w:p>
    <w:p w14:paraId="3550345D" w14:textId="77777777" w:rsidR="001F111A" w:rsidRDefault="001F111A" w:rsidP="001F111A">
      <w:pPr>
        <w:spacing w:after="0" w:line="240" w:lineRule="auto"/>
        <w:jc w:val="both"/>
        <w:rPr>
          <w:bCs/>
          <w:szCs w:val="24"/>
        </w:rPr>
      </w:pPr>
    </w:p>
    <w:p w14:paraId="38EBF084" w14:textId="1B0682D3" w:rsidR="00934224" w:rsidRPr="001F111A" w:rsidRDefault="001F111A" w:rsidP="00E329FC">
      <w:pPr>
        <w:pStyle w:val="ListParagraph"/>
        <w:numPr>
          <w:ilvl w:val="0"/>
          <w:numId w:val="50"/>
        </w:numPr>
        <w:spacing w:after="120" w:line="240" w:lineRule="auto"/>
        <w:ind w:left="714" w:hanging="357"/>
        <w:jc w:val="both"/>
        <w:rPr>
          <w:b/>
          <w:szCs w:val="24"/>
        </w:rPr>
      </w:pPr>
      <w:r w:rsidRPr="001F111A">
        <w:rPr>
          <w:b/>
          <w:szCs w:val="24"/>
        </w:rPr>
        <w:t>Prokuroru dotie norādījumi</w:t>
      </w:r>
    </w:p>
    <w:p w14:paraId="4E76DA8F" w14:textId="174044EF" w:rsidR="00934224" w:rsidRDefault="00934224" w:rsidP="00E519B1">
      <w:pPr>
        <w:spacing w:after="0" w:line="240" w:lineRule="auto"/>
        <w:jc w:val="center"/>
        <w:rPr>
          <w:bCs/>
          <w:szCs w:val="24"/>
        </w:rPr>
      </w:pPr>
      <w:r>
        <w:rPr>
          <w:noProof/>
        </w:rPr>
        <w:drawing>
          <wp:inline distT="0" distB="0" distL="0" distR="0" wp14:anchorId="34F690F1" wp14:editId="2B160EA6">
            <wp:extent cx="3962400" cy="2025650"/>
            <wp:effectExtent l="0" t="0" r="0" b="12700"/>
            <wp:docPr id="59" name="Chart 59">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DA58979" w14:textId="77777777" w:rsidR="00934224" w:rsidRDefault="00934224" w:rsidP="007076B5">
      <w:pPr>
        <w:spacing w:after="0" w:line="240" w:lineRule="auto"/>
        <w:rPr>
          <w:bCs/>
          <w:szCs w:val="24"/>
        </w:rPr>
      </w:pPr>
    </w:p>
    <w:p w14:paraId="23DA0257" w14:textId="75656C17" w:rsidR="007076B5" w:rsidRDefault="00034C36" w:rsidP="00934224">
      <w:pPr>
        <w:spacing w:after="0" w:line="240" w:lineRule="auto"/>
        <w:ind w:firstLine="720"/>
        <w:jc w:val="both"/>
        <w:rPr>
          <w:rFonts w:eastAsia="Times New Roman" w:cs="Times New Roman"/>
          <w:bCs/>
          <w:szCs w:val="24"/>
          <w:lang w:eastAsia="lv-LV"/>
        </w:rPr>
      </w:pPr>
      <w:r>
        <w:rPr>
          <w:rFonts w:eastAsia="Times New Roman" w:cs="Times New Roman"/>
          <w:bCs/>
          <w:szCs w:val="24"/>
          <w:lang w:eastAsia="lv-LV"/>
        </w:rPr>
        <w:t>Latgales tiesas apgabala prokuratūras p</w:t>
      </w:r>
      <w:r w:rsidR="00934224" w:rsidRPr="0071354C">
        <w:rPr>
          <w:rFonts w:eastAsia="Times New Roman" w:cs="Times New Roman"/>
          <w:bCs/>
          <w:szCs w:val="24"/>
          <w:lang w:eastAsia="lv-LV"/>
        </w:rPr>
        <w:t>rokuroru doto norādījumu skaits ik gadu saglabājas pietiekami augsts</w:t>
      </w:r>
      <w:r w:rsidR="00934224">
        <w:rPr>
          <w:rFonts w:eastAsia="Times New Roman" w:cs="Times New Roman"/>
          <w:bCs/>
          <w:szCs w:val="24"/>
          <w:lang w:eastAsia="lv-LV"/>
        </w:rPr>
        <w:t xml:space="preserve"> ar tendenci katru gadu palielināties.</w:t>
      </w:r>
      <w:r w:rsidR="00934224" w:rsidRPr="0071354C">
        <w:rPr>
          <w:rFonts w:eastAsia="Times New Roman" w:cs="Times New Roman"/>
          <w:bCs/>
          <w:szCs w:val="24"/>
          <w:lang w:eastAsia="lv-LV"/>
        </w:rPr>
        <w:t xml:space="preserve"> Tas raksturo nepieciešamību pēc prokurora iesaistes izmeklēšanas norisē. Redzot, ka prokuroru dotie norādījumi neatstāj jūtamu ietekmi uz izmeklēšanas kvalitātes uzlabošanos, būtu jādomā par efektīvākām uzraudzības formām, lai prokurora darbība kriminālprocesā izpaustos aktīvā līdzdarbībā, nevis formālā savu procesuālo pienākumu izpildē.</w:t>
      </w:r>
    </w:p>
    <w:p w14:paraId="5F05DC50" w14:textId="77777777" w:rsidR="007076B5" w:rsidRDefault="007076B5" w:rsidP="007076B5">
      <w:pPr>
        <w:spacing w:after="0" w:line="240" w:lineRule="auto"/>
        <w:jc w:val="both"/>
        <w:rPr>
          <w:rFonts w:eastAsia="Times New Roman" w:cs="Times New Roman"/>
          <w:bCs/>
          <w:szCs w:val="24"/>
          <w:lang w:eastAsia="lv-LV"/>
        </w:rPr>
      </w:pPr>
    </w:p>
    <w:p w14:paraId="2ED5C32E" w14:textId="4B53DE10" w:rsidR="00934224" w:rsidRPr="00622B12" w:rsidRDefault="007076B5" w:rsidP="00E329FC">
      <w:pPr>
        <w:pStyle w:val="ListParagraph"/>
        <w:numPr>
          <w:ilvl w:val="0"/>
          <w:numId w:val="50"/>
        </w:numPr>
        <w:spacing w:after="120" w:line="240" w:lineRule="auto"/>
        <w:ind w:left="357" w:hanging="357"/>
        <w:jc w:val="both"/>
        <w:rPr>
          <w:rFonts w:eastAsia="Times New Roman" w:cs="Times New Roman"/>
          <w:b/>
          <w:szCs w:val="24"/>
          <w:lang w:eastAsia="lv-LV"/>
        </w:rPr>
      </w:pPr>
      <w:r w:rsidRPr="007076B5">
        <w:rPr>
          <w:rFonts w:eastAsia="Times New Roman" w:cs="Times New Roman"/>
          <w:b/>
          <w:szCs w:val="24"/>
          <w:lang w:eastAsia="lv-LV"/>
        </w:rPr>
        <w:t xml:space="preserve">Valsts apsūdzības uzturēšana pirmās instances tiesā (izskatītas </w:t>
      </w:r>
      <w:r w:rsidR="006A5C2B">
        <w:rPr>
          <w:rFonts w:eastAsia="Times New Roman" w:cs="Times New Roman"/>
          <w:b/>
          <w:szCs w:val="24"/>
          <w:lang w:eastAsia="lv-LV"/>
        </w:rPr>
        <w:t>krimināl</w:t>
      </w:r>
      <w:r w:rsidRPr="007076B5">
        <w:rPr>
          <w:rFonts w:eastAsia="Times New Roman" w:cs="Times New Roman"/>
          <w:b/>
          <w:szCs w:val="24"/>
          <w:lang w:eastAsia="lv-LV"/>
        </w:rPr>
        <w:t>lietas), no tām ar pierādījumu pārbaudi</w:t>
      </w:r>
    </w:p>
    <w:p w14:paraId="59AD9433" w14:textId="073D586C" w:rsidR="00934224" w:rsidRDefault="00934224" w:rsidP="00E519B1">
      <w:pPr>
        <w:spacing w:after="0" w:line="240" w:lineRule="auto"/>
        <w:jc w:val="center"/>
        <w:rPr>
          <w:rFonts w:eastAsia="Times New Roman" w:cs="Times New Roman"/>
          <w:bCs/>
          <w:szCs w:val="24"/>
          <w:lang w:eastAsia="lv-LV"/>
        </w:rPr>
      </w:pPr>
      <w:r>
        <w:rPr>
          <w:noProof/>
        </w:rPr>
        <w:drawing>
          <wp:inline distT="0" distB="0" distL="0" distR="0" wp14:anchorId="4FAA2B29" wp14:editId="0D80C698">
            <wp:extent cx="3975100" cy="2254250"/>
            <wp:effectExtent l="0" t="0" r="6350" b="12700"/>
            <wp:docPr id="60" name="Chart 60">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31B5638" w14:textId="77777777" w:rsidR="00934224" w:rsidRDefault="00934224" w:rsidP="00934224">
      <w:pPr>
        <w:spacing w:after="0" w:line="240" w:lineRule="auto"/>
        <w:ind w:firstLine="720"/>
        <w:jc w:val="center"/>
        <w:rPr>
          <w:rFonts w:eastAsia="Times New Roman" w:cs="Times New Roman"/>
          <w:bCs/>
          <w:szCs w:val="24"/>
          <w:lang w:eastAsia="lv-LV"/>
        </w:rPr>
      </w:pPr>
    </w:p>
    <w:p w14:paraId="5740ABC7" w14:textId="25CC6B8E" w:rsidR="00934224" w:rsidRDefault="00934224" w:rsidP="00E269BF">
      <w:pPr>
        <w:spacing w:after="0" w:line="240" w:lineRule="auto"/>
        <w:ind w:firstLine="720"/>
        <w:jc w:val="both"/>
        <w:rPr>
          <w:bCs/>
          <w:szCs w:val="24"/>
        </w:rPr>
      </w:pPr>
      <w:r>
        <w:rPr>
          <w:bCs/>
          <w:szCs w:val="24"/>
        </w:rPr>
        <w:t xml:space="preserve">Valstī noteiktie pasākumi pandēmijas izplatības ierobežošanai atstājuši vistiešāko ietekmi uz </w:t>
      </w:r>
      <w:r w:rsidR="00E269BF">
        <w:rPr>
          <w:bCs/>
          <w:szCs w:val="24"/>
        </w:rPr>
        <w:t>pirmās i</w:t>
      </w:r>
      <w:r>
        <w:rPr>
          <w:bCs/>
          <w:szCs w:val="24"/>
        </w:rPr>
        <w:t>nstances tiesā iztiesāto krimināllietu skaitu. Samazinājums par 46,8</w:t>
      </w:r>
      <w:r w:rsidR="00E269BF">
        <w:rPr>
          <w:bCs/>
          <w:szCs w:val="24"/>
        </w:rPr>
        <w:t> </w:t>
      </w:r>
      <w:r>
        <w:rPr>
          <w:bCs/>
          <w:szCs w:val="24"/>
        </w:rPr>
        <w:t>% salīdzinājumā ar 2019.</w:t>
      </w:r>
      <w:r w:rsidR="00E269BF">
        <w:rPr>
          <w:bCs/>
          <w:szCs w:val="24"/>
        </w:rPr>
        <w:t> </w:t>
      </w:r>
      <w:r>
        <w:rPr>
          <w:bCs/>
          <w:szCs w:val="24"/>
        </w:rPr>
        <w:t>gadu vērtējams</w:t>
      </w:r>
      <w:r w:rsidR="006A5C2B">
        <w:rPr>
          <w:bCs/>
          <w:szCs w:val="24"/>
        </w:rPr>
        <w:t xml:space="preserve"> </w:t>
      </w:r>
      <w:r>
        <w:rPr>
          <w:bCs/>
          <w:szCs w:val="24"/>
        </w:rPr>
        <w:t xml:space="preserve">kā būtisks un raksturo iztiesāšanā esošo </w:t>
      </w:r>
      <w:r w:rsidR="00034C36">
        <w:rPr>
          <w:bCs/>
          <w:szCs w:val="24"/>
        </w:rPr>
        <w:t>krimināl</w:t>
      </w:r>
      <w:r>
        <w:rPr>
          <w:bCs/>
          <w:szCs w:val="24"/>
        </w:rPr>
        <w:t xml:space="preserve">lietu uzkrājumu uz turpmākajiem periodiem. Valsts apsūdzības uzturēšana </w:t>
      </w:r>
      <w:r w:rsidR="00E269BF">
        <w:rPr>
          <w:bCs/>
          <w:szCs w:val="24"/>
        </w:rPr>
        <w:t xml:space="preserve">pirmās </w:t>
      </w:r>
      <w:r>
        <w:rPr>
          <w:bCs/>
          <w:szCs w:val="24"/>
        </w:rPr>
        <w:t>instances tiesā prasa lielu prokurora darba laika resursu. Sadarbībā ar tiesnešiem jāmeklē risinājums iztiesāšanas procesa efektīvākai norisei.</w:t>
      </w:r>
    </w:p>
    <w:p w14:paraId="08BB9D37" w14:textId="77777777" w:rsidR="00E269BF" w:rsidRDefault="00E269BF" w:rsidP="00E269BF">
      <w:pPr>
        <w:spacing w:after="0" w:line="240" w:lineRule="auto"/>
        <w:jc w:val="both"/>
        <w:rPr>
          <w:bCs/>
          <w:szCs w:val="24"/>
        </w:rPr>
      </w:pPr>
    </w:p>
    <w:p w14:paraId="670ADD1D" w14:textId="6745C197" w:rsidR="00934224" w:rsidRPr="00A93D2E" w:rsidRDefault="00E269BF" w:rsidP="00E329FC">
      <w:pPr>
        <w:pStyle w:val="ListParagraph"/>
        <w:numPr>
          <w:ilvl w:val="0"/>
          <w:numId w:val="50"/>
        </w:numPr>
        <w:spacing w:after="120" w:line="240" w:lineRule="auto"/>
        <w:ind w:left="714" w:hanging="357"/>
        <w:jc w:val="both"/>
        <w:rPr>
          <w:b/>
          <w:szCs w:val="24"/>
        </w:rPr>
      </w:pPr>
      <w:r>
        <w:rPr>
          <w:b/>
          <w:szCs w:val="24"/>
        </w:rPr>
        <w:lastRenderedPageBreak/>
        <w:t xml:space="preserve">Valsts apsūdzības uzturēšana apelācijas instances tiesā (izskatītas </w:t>
      </w:r>
      <w:r w:rsidR="006A5C2B">
        <w:rPr>
          <w:b/>
          <w:szCs w:val="24"/>
        </w:rPr>
        <w:t>krimināl</w:t>
      </w:r>
      <w:r>
        <w:rPr>
          <w:b/>
          <w:szCs w:val="24"/>
        </w:rPr>
        <w:t>lietas), no tām mutvārdu/rakstveida procesā</w:t>
      </w:r>
    </w:p>
    <w:p w14:paraId="73E8BC03" w14:textId="4421A64B" w:rsidR="00934224" w:rsidRDefault="00934224" w:rsidP="002E52F3">
      <w:pPr>
        <w:spacing w:after="0" w:line="240" w:lineRule="auto"/>
        <w:jc w:val="center"/>
        <w:rPr>
          <w:bCs/>
          <w:szCs w:val="24"/>
        </w:rPr>
      </w:pPr>
      <w:r>
        <w:rPr>
          <w:noProof/>
        </w:rPr>
        <w:drawing>
          <wp:inline distT="0" distB="0" distL="0" distR="0" wp14:anchorId="08F82620" wp14:editId="20BBF6BD">
            <wp:extent cx="3994150" cy="2019300"/>
            <wp:effectExtent l="0" t="0" r="6350" b="0"/>
            <wp:docPr id="61" name="Chart 61">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50AA3CA" w14:textId="77777777" w:rsidR="00934224" w:rsidRDefault="00934224" w:rsidP="00A93D2E">
      <w:pPr>
        <w:spacing w:after="0" w:line="240" w:lineRule="auto"/>
        <w:rPr>
          <w:bCs/>
          <w:szCs w:val="24"/>
        </w:rPr>
      </w:pPr>
    </w:p>
    <w:p w14:paraId="043A327C" w14:textId="7A763951" w:rsidR="00934224" w:rsidRDefault="00934224" w:rsidP="00934224">
      <w:pPr>
        <w:spacing w:after="0" w:line="240" w:lineRule="auto"/>
        <w:ind w:firstLine="720"/>
        <w:jc w:val="both"/>
        <w:rPr>
          <w:bCs/>
          <w:szCs w:val="24"/>
        </w:rPr>
      </w:pPr>
      <w:r>
        <w:rPr>
          <w:bCs/>
          <w:szCs w:val="24"/>
        </w:rPr>
        <w:t xml:space="preserve">Apelācijas instances tiesā izskatīto </w:t>
      </w:r>
      <w:r w:rsidR="00A93D2E">
        <w:rPr>
          <w:bCs/>
          <w:szCs w:val="24"/>
        </w:rPr>
        <w:t>krimināl</w:t>
      </w:r>
      <w:r>
        <w:rPr>
          <w:bCs/>
          <w:szCs w:val="24"/>
        </w:rPr>
        <w:t>lietu samazinājums 2020.</w:t>
      </w:r>
      <w:r w:rsidR="00A93D2E">
        <w:rPr>
          <w:bCs/>
          <w:szCs w:val="24"/>
        </w:rPr>
        <w:t> </w:t>
      </w:r>
      <w:r>
        <w:rPr>
          <w:bCs/>
          <w:szCs w:val="24"/>
        </w:rPr>
        <w:t>gadā attiecībā pret 2019.</w:t>
      </w:r>
      <w:r w:rsidR="00A93D2E">
        <w:rPr>
          <w:bCs/>
          <w:szCs w:val="24"/>
        </w:rPr>
        <w:t> </w:t>
      </w:r>
      <w:r>
        <w:rPr>
          <w:bCs/>
          <w:szCs w:val="24"/>
        </w:rPr>
        <w:t xml:space="preserve">gadu ir saistāms ar tiem pašiem apstākļiem, kas norādīti aprakstā pie tabulas </w:t>
      </w:r>
      <w:r w:rsidR="00A93D2E">
        <w:rPr>
          <w:bCs/>
          <w:szCs w:val="24"/>
        </w:rPr>
        <w:t>par valsts apsūdzība</w:t>
      </w:r>
      <w:r w:rsidR="003A7713">
        <w:rPr>
          <w:bCs/>
          <w:szCs w:val="24"/>
        </w:rPr>
        <w:t>s uzturēšanu pirmās instances tiesā</w:t>
      </w:r>
      <w:r>
        <w:rPr>
          <w:bCs/>
          <w:szCs w:val="24"/>
        </w:rPr>
        <w:t>.</w:t>
      </w:r>
    </w:p>
    <w:p w14:paraId="2481E4EB" w14:textId="76CB8137" w:rsidR="003A7713" w:rsidRDefault="003A7713" w:rsidP="003A7713">
      <w:pPr>
        <w:spacing w:after="0" w:line="240" w:lineRule="auto"/>
        <w:jc w:val="both"/>
        <w:rPr>
          <w:bCs/>
          <w:szCs w:val="24"/>
        </w:rPr>
      </w:pPr>
    </w:p>
    <w:p w14:paraId="4BE2F967" w14:textId="4D8CD47E" w:rsidR="00934224" w:rsidRPr="003A7713" w:rsidRDefault="003A7713" w:rsidP="00E329FC">
      <w:pPr>
        <w:pStyle w:val="ListParagraph"/>
        <w:numPr>
          <w:ilvl w:val="0"/>
          <w:numId w:val="50"/>
        </w:numPr>
        <w:spacing w:after="120" w:line="240" w:lineRule="auto"/>
        <w:ind w:left="714" w:hanging="357"/>
        <w:jc w:val="both"/>
        <w:rPr>
          <w:b/>
          <w:szCs w:val="24"/>
        </w:rPr>
      </w:pPr>
      <w:r>
        <w:rPr>
          <w:b/>
          <w:szCs w:val="24"/>
        </w:rPr>
        <w:t>Iesniegti protesti, no tiem apmierināti</w:t>
      </w:r>
    </w:p>
    <w:p w14:paraId="5D86BA36" w14:textId="2B6F0B30" w:rsidR="00934224" w:rsidRDefault="00934224" w:rsidP="002E52F3">
      <w:pPr>
        <w:spacing w:after="0" w:line="240" w:lineRule="auto"/>
        <w:jc w:val="center"/>
        <w:rPr>
          <w:bCs/>
          <w:szCs w:val="24"/>
        </w:rPr>
      </w:pPr>
      <w:r>
        <w:rPr>
          <w:noProof/>
        </w:rPr>
        <w:drawing>
          <wp:inline distT="0" distB="0" distL="0" distR="0" wp14:anchorId="2074C3C7" wp14:editId="499591A3">
            <wp:extent cx="3981450" cy="2071255"/>
            <wp:effectExtent l="0" t="0" r="0" b="5715"/>
            <wp:docPr id="62" name="Chart 62">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4A282A3" w14:textId="77777777" w:rsidR="00934224" w:rsidRDefault="00934224" w:rsidP="00934224">
      <w:pPr>
        <w:spacing w:after="0" w:line="240" w:lineRule="auto"/>
        <w:ind w:firstLine="720"/>
        <w:jc w:val="center"/>
        <w:rPr>
          <w:bCs/>
          <w:szCs w:val="24"/>
        </w:rPr>
      </w:pPr>
    </w:p>
    <w:p w14:paraId="397A5299" w14:textId="5F166A51" w:rsidR="00934224" w:rsidRDefault="004B0D5F" w:rsidP="00934224">
      <w:pPr>
        <w:spacing w:after="0" w:line="240" w:lineRule="auto"/>
        <w:ind w:firstLine="720"/>
        <w:jc w:val="both"/>
        <w:rPr>
          <w:bCs/>
          <w:szCs w:val="24"/>
        </w:rPr>
      </w:pPr>
      <w:r>
        <w:rPr>
          <w:bCs/>
          <w:szCs w:val="24"/>
        </w:rPr>
        <w:t>2020. gadā</w:t>
      </w:r>
      <w:r w:rsidR="00934224">
        <w:rPr>
          <w:bCs/>
          <w:szCs w:val="24"/>
        </w:rPr>
        <w:t xml:space="preserve"> salīdzinājumā ar 2019.</w:t>
      </w:r>
      <w:r>
        <w:rPr>
          <w:bCs/>
          <w:szCs w:val="24"/>
        </w:rPr>
        <w:t> </w:t>
      </w:r>
      <w:r w:rsidR="00934224">
        <w:rPr>
          <w:bCs/>
          <w:szCs w:val="24"/>
        </w:rPr>
        <w:t>gadu par 30</w:t>
      </w:r>
      <w:r>
        <w:rPr>
          <w:bCs/>
          <w:szCs w:val="24"/>
        </w:rPr>
        <w:t> </w:t>
      </w:r>
      <w:r w:rsidR="00934224">
        <w:rPr>
          <w:bCs/>
          <w:szCs w:val="24"/>
        </w:rPr>
        <w:t xml:space="preserve">% samazinājies </w:t>
      </w:r>
      <w:r w:rsidR="00034C36">
        <w:rPr>
          <w:bCs/>
          <w:szCs w:val="24"/>
        </w:rPr>
        <w:t xml:space="preserve">Latgales tiesas apgabala prokuratūras prokuroru </w:t>
      </w:r>
      <w:r w:rsidR="00934224">
        <w:rPr>
          <w:bCs/>
          <w:szCs w:val="24"/>
        </w:rPr>
        <w:t xml:space="preserve">iesniegto protestu skaits. Samazinājums daļēji saistāms ar iztiesāto </w:t>
      </w:r>
      <w:r w:rsidR="006A5C2B">
        <w:rPr>
          <w:bCs/>
          <w:szCs w:val="24"/>
        </w:rPr>
        <w:t>krimināl</w:t>
      </w:r>
      <w:r w:rsidR="00934224">
        <w:rPr>
          <w:bCs/>
          <w:szCs w:val="24"/>
        </w:rPr>
        <w:t xml:space="preserve">lietu skaita krišanos, bet daļēji situāciju raksturo iepriekšējos gados ieguldītais darbs </w:t>
      </w:r>
      <w:r w:rsidR="006A5C2B">
        <w:rPr>
          <w:bCs/>
          <w:szCs w:val="24"/>
        </w:rPr>
        <w:t xml:space="preserve">prokuroru sagatavotās </w:t>
      </w:r>
      <w:r w:rsidR="00934224">
        <w:rPr>
          <w:bCs/>
          <w:szCs w:val="24"/>
        </w:rPr>
        <w:t>valsts apsūdzības kvalitātes celšanā</w:t>
      </w:r>
      <w:r w:rsidR="006A5C2B">
        <w:rPr>
          <w:bCs/>
          <w:szCs w:val="24"/>
        </w:rPr>
        <w:t xml:space="preserve">. </w:t>
      </w:r>
      <w:r w:rsidR="00934224">
        <w:rPr>
          <w:bCs/>
          <w:szCs w:val="24"/>
        </w:rPr>
        <w:t>Būtiski 2020.</w:t>
      </w:r>
      <w:r>
        <w:rPr>
          <w:bCs/>
          <w:szCs w:val="24"/>
        </w:rPr>
        <w:t> </w:t>
      </w:r>
      <w:r w:rsidR="00934224">
        <w:rPr>
          <w:bCs/>
          <w:szCs w:val="24"/>
        </w:rPr>
        <w:t>gadā salīdzinājumā ar 2019.</w:t>
      </w:r>
      <w:r>
        <w:rPr>
          <w:bCs/>
          <w:szCs w:val="24"/>
        </w:rPr>
        <w:t> </w:t>
      </w:r>
      <w:r w:rsidR="00934224">
        <w:rPr>
          <w:bCs/>
          <w:szCs w:val="24"/>
        </w:rPr>
        <w:t xml:space="preserve">gadu ir palielinājies apmierināto protestu skaits, kas daļēji arī skaidrojams ar kvalitātes </w:t>
      </w:r>
      <w:r w:rsidR="00034C36">
        <w:rPr>
          <w:bCs/>
          <w:szCs w:val="24"/>
        </w:rPr>
        <w:t>uzlabošanos</w:t>
      </w:r>
      <w:r w:rsidR="00934224">
        <w:rPr>
          <w:bCs/>
          <w:szCs w:val="24"/>
        </w:rPr>
        <w:t xml:space="preserve"> prokuroru darbā, daļēji ar to, ka iesniegtie protesti varētu tikt izskatīti ar laika nobīdi.</w:t>
      </w:r>
    </w:p>
    <w:p w14:paraId="475B3509" w14:textId="110E6FE1" w:rsidR="004B0D5F" w:rsidRDefault="004B0D5F" w:rsidP="004B0D5F">
      <w:pPr>
        <w:spacing w:after="0" w:line="240" w:lineRule="auto"/>
        <w:jc w:val="both"/>
        <w:rPr>
          <w:bCs/>
          <w:szCs w:val="24"/>
        </w:rPr>
      </w:pPr>
    </w:p>
    <w:p w14:paraId="341C7329" w14:textId="5AFED9D3" w:rsidR="00934224" w:rsidRPr="00FE18BC" w:rsidRDefault="004B0D5F" w:rsidP="00E329FC">
      <w:pPr>
        <w:pStyle w:val="ListParagraph"/>
        <w:numPr>
          <w:ilvl w:val="0"/>
          <w:numId w:val="50"/>
        </w:numPr>
        <w:spacing w:after="120" w:line="240" w:lineRule="auto"/>
        <w:ind w:left="714" w:hanging="357"/>
        <w:jc w:val="both"/>
        <w:rPr>
          <w:b/>
          <w:szCs w:val="24"/>
        </w:rPr>
      </w:pPr>
      <w:r>
        <w:rPr>
          <w:b/>
          <w:szCs w:val="24"/>
        </w:rPr>
        <w:t xml:space="preserve">Tiesā attaisnoto </w:t>
      </w:r>
      <w:r w:rsidR="006A5C2B">
        <w:rPr>
          <w:b/>
          <w:szCs w:val="24"/>
        </w:rPr>
        <w:t>apsūdzēto</w:t>
      </w:r>
      <w:r>
        <w:rPr>
          <w:b/>
          <w:szCs w:val="24"/>
        </w:rPr>
        <w:t xml:space="preserve"> skaits</w:t>
      </w:r>
    </w:p>
    <w:p w14:paraId="427AB45A" w14:textId="4CFE0C7C" w:rsidR="00934224" w:rsidRDefault="00934224" w:rsidP="002E52F3">
      <w:pPr>
        <w:spacing w:after="0" w:line="240" w:lineRule="auto"/>
        <w:jc w:val="center"/>
        <w:rPr>
          <w:bCs/>
          <w:szCs w:val="24"/>
        </w:rPr>
      </w:pPr>
      <w:r>
        <w:rPr>
          <w:noProof/>
        </w:rPr>
        <w:drawing>
          <wp:inline distT="0" distB="0" distL="0" distR="0" wp14:anchorId="77D06E49" wp14:editId="1A3878E6">
            <wp:extent cx="3956050" cy="1530350"/>
            <wp:effectExtent l="0" t="0" r="6350" b="12700"/>
            <wp:docPr id="63" name="Chart 63">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865ACF8" w14:textId="77777777" w:rsidR="00934224" w:rsidRDefault="00934224" w:rsidP="00934224">
      <w:pPr>
        <w:spacing w:after="0" w:line="240" w:lineRule="auto"/>
        <w:ind w:firstLine="720"/>
        <w:jc w:val="center"/>
        <w:rPr>
          <w:bCs/>
          <w:szCs w:val="24"/>
        </w:rPr>
      </w:pPr>
    </w:p>
    <w:p w14:paraId="6FA9A2D9" w14:textId="70F871C2" w:rsidR="00934224" w:rsidRDefault="00934224" w:rsidP="00934224">
      <w:pPr>
        <w:spacing w:after="0" w:line="240" w:lineRule="auto"/>
        <w:ind w:firstLine="720"/>
        <w:jc w:val="both"/>
        <w:rPr>
          <w:bCs/>
          <w:szCs w:val="24"/>
        </w:rPr>
      </w:pPr>
      <w:r>
        <w:rPr>
          <w:bCs/>
          <w:szCs w:val="24"/>
        </w:rPr>
        <w:t xml:space="preserve">Tiesā attaisnoto </w:t>
      </w:r>
      <w:r w:rsidR="006A5C2B">
        <w:rPr>
          <w:bCs/>
          <w:szCs w:val="24"/>
        </w:rPr>
        <w:t>apsūdzēto</w:t>
      </w:r>
      <w:r>
        <w:rPr>
          <w:bCs/>
          <w:szCs w:val="24"/>
        </w:rPr>
        <w:t xml:space="preserve"> skaits vērtējams kā zems un dod pamatu </w:t>
      </w:r>
      <w:r w:rsidR="00FE18BC">
        <w:rPr>
          <w:bCs/>
          <w:szCs w:val="24"/>
        </w:rPr>
        <w:t xml:space="preserve">Latgales tiesas apgabala prokuratūras </w:t>
      </w:r>
      <w:r>
        <w:rPr>
          <w:bCs/>
          <w:szCs w:val="24"/>
        </w:rPr>
        <w:t>prokuror</w:t>
      </w:r>
      <w:r w:rsidR="00FE18BC">
        <w:rPr>
          <w:bCs/>
          <w:szCs w:val="24"/>
        </w:rPr>
        <w:t>u</w:t>
      </w:r>
      <w:r>
        <w:rPr>
          <w:bCs/>
          <w:szCs w:val="24"/>
        </w:rPr>
        <w:t xml:space="preserve"> darba kvalitāti novērtēt pozitīvi. 2020.</w:t>
      </w:r>
      <w:r w:rsidR="00FE18BC">
        <w:rPr>
          <w:bCs/>
          <w:szCs w:val="24"/>
        </w:rPr>
        <w:t> </w:t>
      </w:r>
      <w:r>
        <w:rPr>
          <w:bCs/>
          <w:szCs w:val="24"/>
        </w:rPr>
        <w:t xml:space="preserve">gadā, vērtējot </w:t>
      </w:r>
      <w:r w:rsidR="006A5C2B">
        <w:rPr>
          <w:bCs/>
          <w:szCs w:val="24"/>
        </w:rPr>
        <w:t xml:space="preserve">apsūdzēto </w:t>
      </w:r>
      <w:r w:rsidR="00F62B7E">
        <w:rPr>
          <w:bCs/>
          <w:szCs w:val="24"/>
        </w:rPr>
        <w:t>a</w:t>
      </w:r>
      <w:r>
        <w:rPr>
          <w:bCs/>
          <w:szCs w:val="24"/>
        </w:rPr>
        <w:t>ttaisnošanas iemeslus krimināllietā</w:t>
      </w:r>
      <w:r w:rsidR="00FE18BC">
        <w:rPr>
          <w:bCs/>
          <w:szCs w:val="24"/>
        </w:rPr>
        <w:t>s</w:t>
      </w:r>
      <w:r>
        <w:rPr>
          <w:bCs/>
          <w:szCs w:val="24"/>
        </w:rPr>
        <w:t>, kurā</w:t>
      </w:r>
      <w:r w:rsidR="00FE18BC">
        <w:rPr>
          <w:bCs/>
          <w:szCs w:val="24"/>
        </w:rPr>
        <w:t>s</w:t>
      </w:r>
      <w:r>
        <w:rPr>
          <w:bCs/>
          <w:szCs w:val="24"/>
        </w:rPr>
        <w:t xml:space="preserve"> spriedums stājies spēkā, </w:t>
      </w:r>
      <w:r w:rsidR="00034C36">
        <w:rPr>
          <w:bCs/>
          <w:szCs w:val="24"/>
        </w:rPr>
        <w:t xml:space="preserve">Latgales tiesas apgabala prokuratūras </w:t>
      </w:r>
      <w:r>
        <w:rPr>
          <w:bCs/>
          <w:szCs w:val="24"/>
        </w:rPr>
        <w:t xml:space="preserve">prokuroru darbā nav konstatēti tādi pārkāpumi, kas noveduši pie </w:t>
      </w:r>
      <w:r w:rsidR="006A5C2B">
        <w:rPr>
          <w:bCs/>
          <w:szCs w:val="24"/>
        </w:rPr>
        <w:t>apsūdzēt</w:t>
      </w:r>
      <w:r w:rsidR="00F62B7E">
        <w:rPr>
          <w:bCs/>
          <w:szCs w:val="24"/>
        </w:rPr>
        <w:t>o</w:t>
      </w:r>
      <w:r>
        <w:rPr>
          <w:bCs/>
          <w:szCs w:val="24"/>
        </w:rPr>
        <w:t xml:space="preserve"> attaisnošanas. </w:t>
      </w:r>
    </w:p>
    <w:p w14:paraId="2422FBC1" w14:textId="6D20EE82" w:rsidR="00FE18BC" w:rsidRDefault="00FE18BC" w:rsidP="00FE18BC">
      <w:pPr>
        <w:spacing w:after="0" w:line="240" w:lineRule="auto"/>
        <w:jc w:val="both"/>
        <w:rPr>
          <w:bCs/>
          <w:szCs w:val="24"/>
        </w:rPr>
      </w:pPr>
    </w:p>
    <w:p w14:paraId="236AD170" w14:textId="6093FFA0" w:rsidR="00FE18BC" w:rsidRPr="00FE18BC" w:rsidRDefault="00FE18BC" w:rsidP="00E329FC">
      <w:pPr>
        <w:pStyle w:val="ListParagraph"/>
        <w:numPr>
          <w:ilvl w:val="0"/>
          <w:numId w:val="50"/>
        </w:numPr>
        <w:spacing w:after="120" w:line="240" w:lineRule="auto"/>
        <w:ind w:left="714" w:hanging="357"/>
        <w:jc w:val="both"/>
        <w:rPr>
          <w:b/>
          <w:szCs w:val="24"/>
        </w:rPr>
      </w:pPr>
      <w:r>
        <w:rPr>
          <w:b/>
          <w:szCs w:val="24"/>
        </w:rPr>
        <w:t>Izlemtas sūdzības, no tām apmierinātas</w:t>
      </w:r>
    </w:p>
    <w:p w14:paraId="5BE9ADDD" w14:textId="720805D5" w:rsidR="00934224" w:rsidRDefault="00934224" w:rsidP="002E52F3">
      <w:pPr>
        <w:spacing w:after="0" w:line="240" w:lineRule="auto"/>
        <w:jc w:val="center"/>
        <w:rPr>
          <w:bCs/>
          <w:szCs w:val="24"/>
        </w:rPr>
      </w:pPr>
      <w:r w:rsidRPr="00FE18BC">
        <w:rPr>
          <w:b/>
          <w:bCs/>
          <w:noProof/>
          <w:color w:val="000000" w:themeColor="text1"/>
          <w:sz w:val="20"/>
          <w:szCs w:val="20"/>
        </w:rPr>
        <w:drawing>
          <wp:inline distT="0" distB="0" distL="0" distR="0" wp14:anchorId="03F5B460" wp14:editId="504262D4">
            <wp:extent cx="3930650" cy="1891145"/>
            <wp:effectExtent l="0" t="0" r="12700" b="13970"/>
            <wp:docPr id="64" name="Chart 64">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EBFDB3E" w14:textId="77777777" w:rsidR="00934224" w:rsidRDefault="00934224" w:rsidP="00934224">
      <w:pPr>
        <w:spacing w:after="0" w:line="240" w:lineRule="auto"/>
        <w:ind w:firstLine="720"/>
        <w:jc w:val="center"/>
        <w:rPr>
          <w:bCs/>
          <w:szCs w:val="24"/>
        </w:rPr>
      </w:pPr>
    </w:p>
    <w:p w14:paraId="114A98D7" w14:textId="6913E700" w:rsidR="00934224" w:rsidRPr="00D30E50" w:rsidRDefault="00BC138E" w:rsidP="00934224">
      <w:pPr>
        <w:spacing w:after="0" w:line="240" w:lineRule="auto"/>
        <w:ind w:firstLine="720"/>
        <w:jc w:val="both"/>
        <w:rPr>
          <w:rFonts w:eastAsia="Times New Roman" w:cs="Times New Roman"/>
          <w:bCs/>
          <w:szCs w:val="24"/>
          <w:lang w:eastAsia="lv-LV"/>
        </w:rPr>
      </w:pPr>
      <w:r>
        <w:rPr>
          <w:bCs/>
          <w:szCs w:val="24"/>
        </w:rPr>
        <w:t>Latgales tiesas apgabala p</w:t>
      </w:r>
      <w:r w:rsidR="00934224">
        <w:rPr>
          <w:bCs/>
          <w:szCs w:val="24"/>
        </w:rPr>
        <w:t xml:space="preserve">rokuratūrā izlemto sūdzību skaits triju gadu griezumā būtiski nav mainījies. Sūdzību izlemšanai tiek atvēlēts liels prokuroru darba resurss. Vērtējot, ka no izlemtajām sūdzībām tiek apmierināta </w:t>
      </w:r>
      <w:r w:rsidR="00934224" w:rsidRPr="00A0587F">
        <w:rPr>
          <w:bCs/>
          <w:szCs w:val="24"/>
        </w:rPr>
        <w:t xml:space="preserve">vidēji </w:t>
      </w:r>
      <w:r w:rsidR="00934224">
        <w:rPr>
          <w:bCs/>
          <w:szCs w:val="24"/>
        </w:rPr>
        <w:t xml:space="preserve">tikai katra desmitā, svarīgi ir rast risinājumu sūdzību skaita samazinājumam, lai prokurori varētu vairāk uzmanības atvēlēt svarīgāku funkciju nodrošināšanai.  </w:t>
      </w:r>
    </w:p>
    <w:p w14:paraId="75D6363C" w14:textId="720C8FFC" w:rsidR="00934224" w:rsidRDefault="00934224" w:rsidP="00BC138E">
      <w:pPr>
        <w:spacing w:after="0"/>
        <w:jc w:val="both"/>
      </w:pPr>
    </w:p>
    <w:p w14:paraId="66FC9E78" w14:textId="334E121A" w:rsidR="00BC138E" w:rsidRDefault="00BC138E" w:rsidP="001E3B7F">
      <w:pPr>
        <w:spacing w:after="0"/>
        <w:jc w:val="center"/>
        <w:rPr>
          <w:rFonts w:cs="Times New Roman"/>
          <w:b/>
          <w:sz w:val="28"/>
          <w:szCs w:val="28"/>
        </w:rPr>
      </w:pPr>
      <w:r w:rsidRPr="00577BF3">
        <w:rPr>
          <w:rFonts w:cs="Times New Roman"/>
          <w:b/>
          <w:sz w:val="28"/>
          <w:szCs w:val="28"/>
        </w:rPr>
        <w:t>III. Rajona līmeņa prokuratūru darba rādītāji (salīdzinājums ar 2019. gadu)</w:t>
      </w:r>
    </w:p>
    <w:p w14:paraId="55193607" w14:textId="618B3EA1" w:rsidR="001E3B7F" w:rsidRPr="008530D0" w:rsidRDefault="001E3B7F" w:rsidP="001E3B7F">
      <w:pPr>
        <w:spacing w:after="0"/>
        <w:rPr>
          <w:rFonts w:cs="Times New Roman"/>
          <w:b/>
          <w:szCs w:val="24"/>
        </w:rPr>
      </w:pPr>
    </w:p>
    <w:p w14:paraId="743437DE" w14:textId="4FB7A5A0" w:rsidR="00934224" w:rsidRPr="001E3B7F" w:rsidRDefault="001E3B7F" w:rsidP="00E329FC">
      <w:pPr>
        <w:pStyle w:val="ListParagraph"/>
        <w:numPr>
          <w:ilvl w:val="0"/>
          <w:numId w:val="51"/>
        </w:numPr>
        <w:spacing w:after="120"/>
        <w:ind w:left="714" w:hanging="357"/>
        <w:rPr>
          <w:rFonts w:cs="Times New Roman"/>
          <w:b/>
          <w:szCs w:val="24"/>
        </w:rPr>
      </w:pPr>
      <w:r>
        <w:rPr>
          <w:rFonts w:cs="Times New Roman"/>
          <w:b/>
          <w:szCs w:val="24"/>
        </w:rPr>
        <w:t>Kriminālvajāšanai saņemti kriminālprocesi</w:t>
      </w:r>
    </w:p>
    <w:p w14:paraId="1250331E" w14:textId="327C2127" w:rsidR="00934224" w:rsidRDefault="00934224" w:rsidP="0012008B">
      <w:pPr>
        <w:spacing w:after="0"/>
        <w:jc w:val="center"/>
      </w:pPr>
      <w:r>
        <w:rPr>
          <w:noProof/>
        </w:rPr>
        <w:drawing>
          <wp:inline distT="0" distB="0" distL="0" distR="0" wp14:anchorId="46B0441E" wp14:editId="1CC9866C">
            <wp:extent cx="5397500" cy="2133600"/>
            <wp:effectExtent l="0" t="0" r="12700" b="0"/>
            <wp:docPr id="65" name="Chart 65">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283EFD1" w14:textId="77777777" w:rsidR="0012008B" w:rsidRDefault="0012008B" w:rsidP="0012008B">
      <w:pPr>
        <w:spacing w:after="0"/>
        <w:jc w:val="center"/>
      </w:pPr>
    </w:p>
    <w:p w14:paraId="671D876F" w14:textId="5F10AC4F" w:rsidR="00D52AE1" w:rsidRDefault="00934224" w:rsidP="00D52AE1">
      <w:pPr>
        <w:spacing w:after="0" w:line="240" w:lineRule="auto"/>
        <w:jc w:val="both"/>
        <w:rPr>
          <w:bCs/>
          <w:szCs w:val="24"/>
        </w:rPr>
      </w:pPr>
      <w:r>
        <w:tab/>
      </w:r>
      <w:r w:rsidR="0012008B">
        <w:rPr>
          <w:bCs/>
          <w:szCs w:val="24"/>
        </w:rPr>
        <w:t xml:space="preserve">Latgales </w:t>
      </w:r>
      <w:r w:rsidR="00034C36">
        <w:rPr>
          <w:rFonts w:cs="Times New Roman"/>
          <w:bCs/>
          <w:szCs w:val="24"/>
        </w:rPr>
        <w:t>tiesas apgabala prokuratūras darbības teritorijā ietilpstošajās rajona līmeņa prokuratūrās</w:t>
      </w:r>
      <w:r w:rsidR="00034C36">
        <w:rPr>
          <w:bCs/>
          <w:szCs w:val="24"/>
        </w:rPr>
        <w:t xml:space="preserve"> </w:t>
      </w:r>
      <w:r w:rsidR="0012008B">
        <w:rPr>
          <w:bCs/>
          <w:szCs w:val="24"/>
        </w:rPr>
        <w:t xml:space="preserve">2020. gadā </w:t>
      </w:r>
      <w:r>
        <w:rPr>
          <w:bCs/>
          <w:szCs w:val="24"/>
        </w:rPr>
        <w:t>pamatā vērojams kriminālvajāšanai saņemto kriminālprocesu skaita samazinājums. Vienlaikus jāizceļ, ka divās (Ludzas rajona prokuratūrā un Preiļu rajona prokuratūrā) no sešā</w:t>
      </w:r>
      <w:r w:rsidR="0012008B">
        <w:rPr>
          <w:bCs/>
          <w:szCs w:val="24"/>
        </w:rPr>
        <w:t>m rajona līmeņa prokuratūr</w:t>
      </w:r>
      <w:r w:rsidR="00034C36">
        <w:rPr>
          <w:bCs/>
          <w:szCs w:val="24"/>
        </w:rPr>
        <w:t>as struktūrvienībām</w:t>
      </w:r>
      <w:r w:rsidR="0012008B">
        <w:rPr>
          <w:bCs/>
          <w:szCs w:val="24"/>
        </w:rPr>
        <w:t xml:space="preserve"> </w:t>
      </w:r>
      <w:r>
        <w:rPr>
          <w:bCs/>
          <w:szCs w:val="24"/>
        </w:rPr>
        <w:t>panākts kriminālvajāšanai saņemto kriminālprocesu skaita pieaugums. Pieaugums nav būtisks, vidēji tas sastāda no 7 līdz 8</w:t>
      </w:r>
      <w:r w:rsidR="005559DD">
        <w:rPr>
          <w:bCs/>
          <w:szCs w:val="24"/>
        </w:rPr>
        <w:t> </w:t>
      </w:r>
      <w:r>
        <w:rPr>
          <w:bCs/>
          <w:szCs w:val="24"/>
        </w:rPr>
        <w:t xml:space="preserve">% no kriminālvajāšanai saņemto kriminālprocesu skaita, taču, ņemot vērā to, ka Ludzas </w:t>
      </w:r>
      <w:r>
        <w:rPr>
          <w:bCs/>
          <w:szCs w:val="24"/>
        </w:rPr>
        <w:lastRenderedPageBreak/>
        <w:t>rajona prokuratūrā ilgstoši nebija aizpildīta 1</w:t>
      </w:r>
      <w:r w:rsidR="005559DD">
        <w:rPr>
          <w:bCs/>
          <w:szCs w:val="24"/>
        </w:rPr>
        <w:t> </w:t>
      </w:r>
      <w:r>
        <w:rPr>
          <w:bCs/>
          <w:szCs w:val="24"/>
        </w:rPr>
        <w:t>prokurora vakantā štata vieta, prokuroriem būtiski pieauga darba slodze.</w:t>
      </w:r>
    </w:p>
    <w:p w14:paraId="152A3252" w14:textId="77777777" w:rsidR="005559DD" w:rsidRDefault="005559DD" w:rsidP="005559DD">
      <w:pPr>
        <w:spacing w:after="0"/>
        <w:jc w:val="both"/>
        <w:rPr>
          <w:bCs/>
          <w:szCs w:val="24"/>
        </w:rPr>
      </w:pPr>
    </w:p>
    <w:p w14:paraId="52467126" w14:textId="7EB738E5" w:rsidR="00934224" w:rsidRPr="005559DD" w:rsidRDefault="005559DD" w:rsidP="00E329FC">
      <w:pPr>
        <w:pStyle w:val="ListParagraph"/>
        <w:numPr>
          <w:ilvl w:val="0"/>
          <w:numId w:val="51"/>
        </w:numPr>
        <w:spacing w:after="120"/>
        <w:ind w:left="714" w:hanging="357"/>
        <w:jc w:val="both"/>
        <w:rPr>
          <w:b/>
          <w:szCs w:val="24"/>
        </w:rPr>
      </w:pPr>
      <w:r>
        <w:rPr>
          <w:b/>
          <w:szCs w:val="24"/>
        </w:rPr>
        <w:t>Paātrinātā procesa kārtībā kriminālvajāšanai saņemti kriminālprocesi, no tiem š</w:t>
      </w:r>
      <w:r w:rsidR="006D562D">
        <w:rPr>
          <w:b/>
          <w:szCs w:val="24"/>
        </w:rPr>
        <w:t>ī</w:t>
      </w:r>
      <w:r>
        <w:rPr>
          <w:b/>
          <w:szCs w:val="24"/>
        </w:rPr>
        <w:t xml:space="preserve"> procesa kārtībā tiesai nodotas krimināllietas</w:t>
      </w:r>
    </w:p>
    <w:p w14:paraId="736F933F" w14:textId="730711B8" w:rsidR="00934224" w:rsidRDefault="00934224" w:rsidP="008C1417">
      <w:pPr>
        <w:spacing w:after="0" w:line="240" w:lineRule="auto"/>
        <w:jc w:val="center"/>
        <w:rPr>
          <w:bCs/>
          <w:szCs w:val="24"/>
        </w:rPr>
      </w:pPr>
      <w:r>
        <w:rPr>
          <w:noProof/>
        </w:rPr>
        <w:drawing>
          <wp:inline distT="0" distB="0" distL="0" distR="0" wp14:anchorId="62B7D97A" wp14:editId="70D8BF5D">
            <wp:extent cx="5391150" cy="1873250"/>
            <wp:effectExtent l="0" t="0" r="0" b="12700"/>
            <wp:docPr id="66" name="Chart 66">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5DD9756" w14:textId="77777777" w:rsidR="008C1417" w:rsidRDefault="008C1417" w:rsidP="00D4117D">
      <w:pPr>
        <w:spacing w:after="0" w:line="240" w:lineRule="auto"/>
        <w:jc w:val="both"/>
        <w:rPr>
          <w:bCs/>
          <w:szCs w:val="24"/>
        </w:rPr>
      </w:pPr>
    </w:p>
    <w:p w14:paraId="1A70CCED" w14:textId="0489CF2D" w:rsidR="00934224" w:rsidRDefault="00934224" w:rsidP="00D4117D">
      <w:pPr>
        <w:spacing w:after="0" w:line="240" w:lineRule="auto"/>
        <w:jc w:val="both"/>
        <w:rPr>
          <w:bCs/>
          <w:szCs w:val="24"/>
        </w:rPr>
      </w:pPr>
      <w:r>
        <w:rPr>
          <w:bCs/>
          <w:szCs w:val="24"/>
        </w:rPr>
        <w:tab/>
      </w:r>
      <w:r w:rsidRPr="00515A32">
        <w:rPr>
          <w:bCs/>
          <w:szCs w:val="24"/>
        </w:rPr>
        <w:t xml:space="preserve">Paātrinātā procesa piemērošanas prakse </w:t>
      </w:r>
      <w:r w:rsidR="00D52AE1">
        <w:rPr>
          <w:bCs/>
          <w:szCs w:val="24"/>
        </w:rPr>
        <w:t xml:space="preserve">Latgales </w:t>
      </w:r>
      <w:r w:rsidR="00034C36">
        <w:rPr>
          <w:rFonts w:cs="Times New Roman"/>
          <w:bCs/>
          <w:szCs w:val="24"/>
        </w:rPr>
        <w:t>tiesas apgabala prokuratūras darbības teritorijā ietilpstošajās rajona līmeņa prokuratūrās</w:t>
      </w:r>
      <w:r w:rsidR="00D52AE1">
        <w:rPr>
          <w:bCs/>
          <w:szCs w:val="24"/>
        </w:rPr>
        <w:t xml:space="preserve"> </w:t>
      </w:r>
      <w:r w:rsidRPr="00515A32">
        <w:rPr>
          <w:bCs/>
          <w:szCs w:val="24"/>
        </w:rPr>
        <w:t>skaidri iezīmē tā praktisko izmantošanu pirmstiesas procesa stadijā. Pamatā tikai daļa (</w:t>
      </w:r>
      <w:r>
        <w:rPr>
          <w:bCs/>
          <w:szCs w:val="24"/>
        </w:rPr>
        <w:t>ap 30</w:t>
      </w:r>
      <w:r w:rsidR="00D52AE1">
        <w:rPr>
          <w:bCs/>
          <w:szCs w:val="24"/>
        </w:rPr>
        <w:t> </w:t>
      </w:r>
      <w:r w:rsidRPr="00515A32">
        <w:rPr>
          <w:bCs/>
          <w:szCs w:val="24"/>
        </w:rPr>
        <w:t>%) šādā procesuālā kārtībā virzīto kriminālprocesu nonāk tiesā</w:t>
      </w:r>
      <w:r>
        <w:rPr>
          <w:bCs/>
          <w:szCs w:val="24"/>
        </w:rPr>
        <w:t xml:space="preserve">, bet pārējie kriminālprocesi lielākoties </w:t>
      </w:r>
      <w:r w:rsidRPr="00515A32">
        <w:rPr>
          <w:bCs/>
          <w:szCs w:val="24"/>
        </w:rPr>
        <w:t>tiek pabeigt</w:t>
      </w:r>
      <w:r>
        <w:rPr>
          <w:bCs/>
          <w:szCs w:val="24"/>
        </w:rPr>
        <w:t>i</w:t>
      </w:r>
      <w:r w:rsidRPr="00515A32">
        <w:rPr>
          <w:bCs/>
          <w:szCs w:val="24"/>
        </w:rPr>
        <w:t xml:space="preserve"> prokuratūrā. </w:t>
      </w:r>
      <w:r>
        <w:rPr>
          <w:bCs/>
          <w:szCs w:val="24"/>
        </w:rPr>
        <w:t>Īpaši jāatzīmē Preiļu rajona prokuratūra</w:t>
      </w:r>
      <w:r w:rsidR="00631E29">
        <w:rPr>
          <w:bCs/>
          <w:szCs w:val="24"/>
        </w:rPr>
        <w:t>, kurā no 82 paātrinātā procesa kārtībā saņemtajiem kriminālprocesiem šī procesa kārtībā nodota tiesai tikai 1 krimināllieta</w:t>
      </w:r>
      <w:r w:rsidR="00034C36">
        <w:rPr>
          <w:bCs/>
          <w:szCs w:val="24"/>
        </w:rPr>
        <w:t>,</w:t>
      </w:r>
      <w:r w:rsidR="00631E29">
        <w:rPr>
          <w:bCs/>
          <w:szCs w:val="24"/>
        </w:rPr>
        <w:t xml:space="preserve"> </w:t>
      </w:r>
      <w:r>
        <w:rPr>
          <w:bCs/>
          <w:szCs w:val="24"/>
        </w:rPr>
        <w:t xml:space="preserve">un Krāslavas rajona prokuratūra, kurā no </w:t>
      </w:r>
      <w:r w:rsidR="00631E29">
        <w:rPr>
          <w:bCs/>
          <w:szCs w:val="24"/>
        </w:rPr>
        <w:t xml:space="preserve">68 paātrinātā procesa kārtībā saņemtajiem </w:t>
      </w:r>
      <w:r>
        <w:rPr>
          <w:bCs/>
          <w:szCs w:val="24"/>
        </w:rPr>
        <w:t xml:space="preserve">kriminālprocesiem </w:t>
      </w:r>
      <w:r w:rsidR="00B514E8">
        <w:rPr>
          <w:bCs/>
          <w:szCs w:val="24"/>
        </w:rPr>
        <w:t xml:space="preserve">šī procesa kārtībā </w:t>
      </w:r>
      <w:r>
        <w:rPr>
          <w:bCs/>
          <w:szCs w:val="24"/>
        </w:rPr>
        <w:t>nodot</w:t>
      </w:r>
      <w:r w:rsidR="00631E29">
        <w:rPr>
          <w:bCs/>
          <w:szCs w:val="24"/>
        </w:rPr>
        <w:t>as</w:t>
      </w:r>
      <w:r>
        <w:rPr>
          <w:bCs/>
          <w:szCs w:val="24"/>
        </w:rPr>
        <w:t xml:space="preserve"> tiesai</w:t>
      </w:r>
      <w:r w:rsidR="00B514E8">
        <w:rPr>
          <w:bCs/>
          <w:szCs w:val="24"/>
        </w:rPr>
        <w:t xml:space="preserve"> 6 krimināllietas.</w:t>
      </w:r>
      <w:r>
        <w:rPr>
          <w:bCs/>
          <w:szCs w:val="24"/>
        </w:rPr>
        <w:t xml:space="preserve"> Tas izskaidrojams arī ar to, ka</w:t>
      </w:r>
      <w:r w:rsidR="00D4117D" w:rsidRPr="00D4117D">
        <w:rPr>
          <w:bCs/>
          <w:szCs w:val="24"/>
        </w:rPr>
        <w:t xml:space="preserve"> </w:t>
      </w:r>
      <w:r w:rsidR="00D4117D">
        <w:rPr>
          <w:bCs/>
          <w:szCs w:val="24"/>
        </w:rPr>
        <w:t>pēc tiesu reformas</w:t>
      </w:r>
      <w:r>
        <w:rPr>
          <w:bCs/>
          <w:szCs w:val="24"/>
        </w:rPr>
        <w:t xml:space="preserve"> Preiļu rajona prokuratūras un Krāslavas rajona prokuratūras prokuroriem </w:t>
      </w:r>
      <w:r w:rsidR="00D4117D">
        <w:rPr>
          <w:bCs/>
          <w:szCs w:val="24"/>
        </w:rPr>
        <w:t xml:space="preserve">uzturēt apsūdzību </w:t>
      </w:r>
      <w:r>
        <w:rPr>
          <w:bCs/>
          <w:szCs w:val="24"/>
        </w:rPr>
        <w:t>savās tiesai nodotajās krimināllietās jāb</w:t>
      </w:r>
      <w:r w:rsidR="00D4117D">
        <w:rPr>
          <w:bCs/>
          <w:szCs w:val="24"/>
        </w:rPr>
        <w:t>ra</w:t>
      </w:r>
      <w:r>
        <w:rPr>
          <w:bCs/>
          <w:szCs w:val="24"/>
        </w:rPr>
        <w:t>u</w:t>
      </w:r>
      <w:r w:rsidR="00D4117D">
        <w:rPr>
          <w:bCs/>
          <w:szCs w:val="24"/>
        </w:rPr>
        <w:t>c</w:t>
      </w:r>
      <w:r>
        <w:rPr>
          <w:bCs/>
          <w:szCs w:val="24"/>
        </w:rPr>
        <w:t xml:space="preserve"> uz Daugavpils tiesu.</w:t>
      </w:r>
    </w:p>
    <w:p w14:paraId="38059FAE" w14:textId="4ACBBA2A" w:rsidR="00D4117D" w:rsidRDefault="00D4117D" w:rsidP="00D4117D">
      <w:pPr>
        <w:spacing w:after="0" w:line="240" w:lineRule="auto"/>
        <w:jc w:val="both"/>
        <w:rPr>
          <w:bCs/>
          <w:szCs w:val="24"/>
        </w:rPr>
      </w:pPr>
    </w:p>
    <w:p w14:paraId="48000A02" w14:textId="48E8DA9F" w:rsidR="00D4117D" w:rsidRPr="002230DD" w:rsidRDefault="00D4117D" w:rsidP="00E329FC">
      <w:pPr>
        <w:pStyle w:val="ListParagraph"/>
        <w:numPr>
          <w:ilvl w:val="0"/>
          <w:numId w:val="51"/>
        </w:numPr>
        <w:spacing w:after="120" w:line="240" w:lineRule="auto"/>
        <w:ind w:left="714" w:hanging="357"/>
        <w:jc w:val="both"/>
        <w:rPr>
          <w:b/>
          <w:szCs w:val="24"/>
        </w:rPr>
      </w:pPr>
      <w:r>
        <w:rPr>
          <w:b/>
          <w:szCs w:val="24"/>
        </w:rPr>
        <w:t>Tiesai nodotas krimināllietas, no tām vienošanās procesa kārtībā</w:t>
      </w:r>
    </w:p>
    <w:p w14:paraId="652A4FF7" w14:textId="004004E9" w:rsidR="00934224" w:rsidRDefault="00934224" w:rsidP="00C40E66">
      <w:pPr>
        <w:spacing w:after="0"/>
        <w:jc w:val="center"/>
        <w:rPr>
          <w:bCs/>
          <w:szCs w:val="24"/>
        </w:rPr>
      </w:pPr>
      <w:r>
        <w:rPr>
          <w:noProof/>
        </w:rPr>
        <w:drawing>
          <wp:inline distT="0" distB="0" distL="0" distR="0" wp14:anchorId="3AB19DE9" wp14:editId="31B9B1FB">
            <wp:extent cx="5372100" cy="2171700"/>
            <wp:effectExtent l="0" t="0" r="0" b="0"/>
            <wp:docPr id="67" name="Chart 67">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9DA2D40" w14:textId="77777777" w:rsidR="00C40E66" w:rsidRDefault="00C40E66" w:rsidP="00C40E66">
      <w:pPr>
        <w:spacing w:after="0"/>
        <w:jc w:val="center"/>
        <w:rPr>
          <w:bCs/>
          <w:szCs w:val="24"/>
        </w:rPr>
      </w:pPr>
    </w:p>
    <w:p w14:paraId="1FB85BCA" w14:textId="28202D64" w:rsidR="00706D25" w:rsidRDefault="00934224" w:rsidP="00706D25">
      <w:pPr>
        <w:spacing w:after="0" w:line="240" w:lineRule="auto"/>
        <w:jc w:val="both"/>
      </w:pPr>
      <w:r>
        <w:rPr>
          <w:bCs/>
          <w:szCs w:val="24"/>
        </w:rPr>
        <w:tab/>
        <w:t xml:space="preserve">Būtiski </w:t>
      </w:r>
      <w:r w:rsidR="00C40E66">
        <w:rPr>
          <w:bCs/>
          <w:szCs w:val="24"/>
        </w:rPr>
        <w:t xml:space="preserve">tiesai nodoto krimināllietu skaits </w:t>
      </w:r>
      <w:r>
        <w:rPr>
          <w:bCs/>
          <w:szCs w:val="24"/>
        </w:rPr>
        <w:t xml:space="preserve"> ir palielinājies Daugavpils prokuratūrā un Ludzas rajona prokuratūrā. </w:t>
      </w:r>
      <w:r w:rsidRPr="00515A32">
        <w:rPr>
          <w:bCs/>
          <w:szCs w:val="24"/>
        </w:rPr>
        <w:t xml:space="preserve">Visas </w:t>
      </w:r>
      <w:r w:rsidR="00034C36">
        <w:rPr>
          <w:bCs/>
          <w:szCs w:val="24"/>
        </w:rPr>
        <w:t xml:space="preserve">Latgales </w:t>
      </w:r>
      <w:r w:rsidR="00034C36">
        <w:rPr>
          <w:rFonts w:cs="Times New Roman"/>
          <w:bCs/>
          <w:szCs w:val="24"/>
        </w:rPr>
        <w:t>tiesas apgabala prokuratūras darbības teritorijā ietilpstošās rajona līmeņa prokuratūras</w:t>
      </w:r>
      <w:r w:rsidR="00034C36" w:rsidRPr="00515A32">
        <w:rPr>
          <w:bCs/>
          <w:szCs w:val="24"/>
        </w:rPr>
        <w:t xml:space="preserve"> </w:t>
      </w:r>
      <w:r w:rsidRPr="00515A32">
        <w:rPr>
          <w:bCs/>
          <w:szCs w:val="24"/>
        </w:rPr>
        <w:t>konsekventi izmanto vienošanās procesa piemērošanas iespējas</w:t>
      </w:r>
      <w:r>
        <w:rPr>
          <w:bCs/>
          <w:szCs w:val="24"/>
        </w:rPr>
        <w:t>.</w:t>
      </w:r>
      <w:r w:rsidR="00C40E66">
        <w:rPr>
          <w:bCs/>
          <w:szCs w:val="24"/>
        </w:rPr>
        <w:t xml:space="preserve"> </w:t>
      </w:r>
      <w:r w:rsidRPr="00EC46D2">
        <w:t>Pirmstiesas kriminālprocesu pabeigšan</w:t>
      </w:r>
      <w:r>
        <w:t>a,</w:t>
      </w:r>
      <w:r w:rsidRPr="00EC46D2">
        <w:t xml:space="preserve"> slēdzot vienošanos ar apsūdzēto </w:t>
      </w:r>
      <w:r w:rsidR="00034C36">
        <w:t xml:space="preserve">par vainas atzīšanu un sodu </w:t>
      </w:r>
      <w:r w:rsidRPr="00EC46D2">
        <w:t>un nododot krimināllietu tiesai, tiek pozitīvi vērtēt</w:t>
      </w:r>
      <w:r>
        <w:t>a</w:t>
      </w:r>
      <w:r w:rsidRPr="00EC46D2">
        <w:t xml:space="preserve"> arī no </w:t>
      </w:r>
      <w:r>
        <w:t>Rēzeknes</w:t>
      </w:r>
      <w:r w:rsidRPr="00EC46D2">
        <w:t xml:space="preserve"> tiesas </w:t>
      </w:r>
      <w:r>
        <w:t xml:space="preserve">un Daugavpils tiesas </w:t>
      </w:r>
      <w:r w:rsidRPr="00EC46D2">
        <w:t>tiesnešu puses</w:t>
      </w:r>
      <w:r w:rsidR="00C40E66">
        <w:t xml:space="preserve">, jo sekmē krimināllietas izskatīšanu saprātīgā termiņā un procesuālās ekonomijas principa </w:t>
      </w:r>
      <w:r w:rsidR="00706D25">
        <w:t>ievērošanu.</w:t>
      </w:r>
    </w:p>
    <w:p w14:paraId="23F22566" w14:textId="6B6B596D" w:rsidR="00B514E8" w:rsidRDefault="00173CE5" w:rsidP="00034C36">
      <w:pPr>
        <w:spacing w:after="0" w:line="240" w:lineRule="auto"/>
        <w:ind w:firstLine="720"/>
        <w:jc w:val="both"/>
      </w:pPr>
      <w:r>
        <w:lastRenderedPageBreak/>
        <w:t xml:space="preserve">Jāuzsver, ka vienošanās process praksē </w:t>
      </w:r>
      <w:r w:rsidR="00034C36">
        <w:t xml:space="preserve">ir </w:t>
      </w:r>
      <w:r>
        <w:t>vienkāršāk piemērojams</w:t>
      </w:r>
      <w:r w:rsidR="00034C36">
        <w:t xml:space="preserve"> nekā</w:t>
      </w:r>
      <w:r>
        <w:t xml:space="preserve"> prokurora priekšraksts par sodu. Bieži vien apsūdzētie paši izsaka lūgumu piemērot vienošanās procesu, jo tas dod iespēju apsūdzētajam</w:t>
      </w:r>
      <w:r w:rsidR="00CA49FA">
        <w:t xml:space="preserve"> vēl līdz tiesai gūt skaidrību par konkrētu soda veidu un mēru. Arī fakts, ka vienošanās </w:t>
      </w:r>
      <w:r w:rsidR="00034C36">
        <w:t xml:space="preserve">procesa kārtībā tiesai nodotajās krimināllietās iztiesāšana pārsvarā gadījumos </w:t>
      </w:r>
      <w:r w:rsidR="00CA49FA">
        <w:t>notiek rakstveida procesā</w:t>
      </w:r>
      <w:r w:rsidR="00034C36">
        <w:t>,</w:t>
      </w:r>
      <w:r w:rsidR="00CA49FA">
        <w:t xml:space="preserve"> vērtējams pozitīvi. </w:t>
      </w:r>
      <w:r w:rsidR="00034C36">
        <w:t xml:space="preserve">Šis </w:t>
      </w:r>
      <w:r w:rsidR="00CA49FA">
        <w:t>process dod iespēju vienoties faktiski par jebkuru soda veidu un mēru (pretstatā prokurora priekšrakstam par sodu</w:t>
      </w:r>
      <w:r w:rsidR="00034C36">
        <w:t>,</w:t>
      </w:r>
      <w:r w:rsidR="00CA49FA">
        <w:t xml:space="preserve"> kad var piemērot pusi no likumā noteiktā soda mēra), kas ļauj saglabāt individuālu pieeju attiecīgā soda veida un mēra noteikšanai. </w:t>
      </w:r>
    </w:p>
    <w:p w14:paraId="4F02F7C9" w14:textId="3FE8B7C1" w:rsidR="00706D25" w:rsidRDefault="00706D25" w:rsidP="00706D25">
      <w:pPr>
        <w:spacing w:after="0" w:line="240" w:lineRule="auto"/>
        <w:jc w:val="both"/>
      </w:pPr>
    </w:p>
    <w:p w14:paraId="3CED4CC5" w14:textId="4084727B" w:rsidR="00706D25" w:rsidRPr="00706D25" w:rsidRDefault="00706D25" w:rsidP="00E329FC">
      <w:pPr>
        <w:pStyle w:val="ListParagraph"/>
        <w:numPr>
          <w:ilvl w:val="0"/>
          <w:numId w:val="51"/>
        </w:numPr>
        <w:spacing w:after="120" w:line="240" w:lineRule="auto"/>
        <w:ind w:left="714" w:hanging="357"/>
        <w:jc w:val="both"/>
        <w:rPr>
          <w:b/>
          <w:bCs/>
        </w:rPr>
      </w:pPr>
      <w:r>
        <w:rPr>
          <w:b/>
          <w:bCs/>
        </w:rPr>
        <w:t>Prokuratūrā pabeigti kriminālprocesi ar prokurora priekšrakstu par sodu</w:t>
      </w:r>
    </w:p>
    <w:p w14:paraId="7CAF21C4" w14:textId="6A61558A" w:rsidR="00934224" w:rsidRDefault="00934224" w:rsidP="00F110C7">
      <w:pPr>
        <w:spacing w:after="0"/>
        <w:jc w:val="center"/>
      </w:pPr>
      <w:r>
        <w:rPr>
          <w:noProof/>
        </w:rPr>
        <w:drawing>
          <wp:inline distT="0" distB="0" distL="0" distR="0" wp14:anchorId="69FAB638" wp14:editId="3E7AC2E3">
            <wp:extent cx="5397500" cy="2012950"/>
            <wp:effectExtent l="0" t="0" r="12700" b="6350"/>
            <wp:docPr id="68" name="Chart 68">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8CF9E87" w14:textId="77777777" w:rsidR="00F110C7" w:rsidRDefault="00F110C7" w:rsidP="00F110C7">
      <w:pPr>
        <w:spacing w:after="0"/>
        <w:jc w:val="center"/>
      </w:pPr>
    </w:p>
    <w:p w14:paraId="3BB848CB" w14:textId="79181F1E" w:rsidR="00F110C7" w:rsidRDefault="00934224" w:rsidP="00F110C7">
      <w:pPr>
        <w:spacing w:after="0" w:line="240" w:lineRule="auto"/>
        <w:jc w:val="both"/>
        <w:rPr>
          <w:bCs/>
          <w:szCs w:val="24"/>
        </w:rPr>
      </w:pPr>
      <w:r>
        <w:rPr>
          <w:bCs/>
          <w:szCs w:val="24"/>
        </w:rPr>
        <w:tab/>
        <w:t xml:space="preserve">Ar prokurora priekšrakstu par sodu pabeigto kriminālprocesu skaits būtiski pieaudzis Daugavpils prokuratūrā, bet samazinājies Balvu rajona prokuratūrā. Pārējās </w:t>
      </w:r>
      <w:r w:rsidR="00F110C7">
        <w:rPr>
          <w:bCs/>
          <w:szCs w:val="24"/>
        </w:rPr>
        <w:t xml:space="preserve">Latgales </w:t>
      </w:r>
      <w:r w:rsidR="00034C36">
        <w:rPr>
          <w:rFonts w:cs="Times New Roman"/>
          <w:bCs/>
          <w:szCs w:val="24"/>
        </w:rPr>
        <w:t>tiesas apgabala prokuratūras darbības teritorijā ietilpstošajās rajona līmeņa prokuratūrās</w:t>
      </w:r>
      <w:r>
        <w:rPr>
          <w:bCs/>
          <w:szCs w:val="24"/>
        </w:rPr>
        <w:t xml:space="preserve"> </w:t>
      </w:r>
      <w:r w:rsidR="00F110C7">
        <w:rPr>
          <w:bCs/>
          <w:szCs w:val="24"/>
        </w:rPr>
        <w:t xml:space="preserve">2020. gadā </w:t>
      </w:r>
      <w:r>
        <w:rPr>
          <w:bCs/>
          <w:szCs w:val="24"/>
        </w:rPr>
        <w:t>būtiskas izmaiņ</w:t>
      </w:r>
      <w:r w:rsidR="00F110C7">
        <w:rPr>
          <w:bCs/>
          <w:szCs w:val="24"/>
        </w:rPr>
        <w:t>a</w:t>
      </w:r>
      <w:r>
        <w:rPr>
          <w:bCs/>
          <w:szCs w:val="24"/>
        </w:rPr>
        <w:t>s</w:t>
      </w:r>
      <w:r w:rsidR="00F110C7">
        <w:rPr>
          <w:bCs/>
          <w:szCs w:val="24"/>
        </w:rPr>
        <w:t>,</w:t>
      </w:r>
      <w:r>
        <w:rPr>
          <w:bCs/>
          <w:szCs w:val="24"/>
        </w:rPr>
        <w:t xml:space="preserve"> salīdzinot ar 2019.</w:t>
      </w:r>
      <w:r w:rsidR="00F110C7">
        <w:rPr>
          <w:bCs/>
          <w:szCs w:val="24"/>
        </w:rPr>
        <w:t> </w:t>
      </w:r>
      <w:r>
        <w:rPr>
          <w:bCs/>
          <w:szCs w:val="24"/>
        </w:rPr>
        <w:t>gadu</w:t>
      </w:r>
      <w:r w:rsidR="00F110C7">
        <w:rPr>
          <w:bCs/>
          <w:szCs w:val="24"/>
        </w:rPr>
        <w:t>,</w:t>
      </w:r>
      <w:r>
        <w:rPr>
          <w:bCs/>
          <w:szCs w:val="24"/>
        </w:rPr>
        <w:t xml:space="preserve"> nav notikušas.</w:t>
      </w:r>
    </w:p>
    <w:p w14:paraId="6D8D371E" w14:textId="688FBD9A" w:rsidR="00B37B36" w:rsidRDefault="00034C36" w:rsidP="00034C36">
      <w:pPr>
        <w:spacing w:after="0" w:line="240" w:lineRule="auto"/>
        <w:ind w:firstLine="720"/>
        <w:jc w:val="both"/>
        <w:rPr>
          <w:bCs/>
          <w:szCs w:val="24"/>
        </w:rPr>
      </w:pPr>
      <w:r>
        <w:rPr>
          <w:bCs/>
          <w:szCs w:val="24"/>
        </w:rPr>
        <w:t>Jānorāda</w:t>
      </w:r>
      <w:r w:rsidR="00B37B36">
        <w:rPr>
          <w:bCs/>
          <w:szCs w:val="24"/>
        </w:rPr>
        <w:t>, ka soda noteikšanas iespēju prokuratūrā ietekmē vairāki faktori. Piemēram, iztiesāšanā jau pret konkrēto apsūdzēto atrodas vien</w:t>
      </w:r>
      <w:r>
        <w:rPr>
          <w:bCs/>
          <w:szCs w:val="24"/>
        </w:rPr>
        <w:t>a</w:t>
      </w:r>
      <w:r w:rsidR="00B37B36">
        <w:rPr>
          <w:bCs/>
          <w:szCs w:val="24"/>
        </w:rPr>
        <w:t xml:space="preserve"> vai pat vairāk</w:t>
      </w:r>
      <w:r>
        <w:rPr>
          <w:bCs/>
          <w:szCs w:val="24"/>
        </w:rPr>
        <w:t>as</w:t>
      </w:r>
      <w:r w:rsidR="00B37B36">
        <w:rPr>
          <w:bCs/>
          <w:szCs w:val="24"/>
        </w:rPr>
        <w:t xml:space="preserve"> krimināl</w:t>
      </w:r>
      <w:r>
        <w:rPr>
          <w:bCs/>
          <w:szCs w:val="24"/>
        </w:rPr>
        <w:t>lietas</w:t>
      </w:r>
      <w:r w:rsidR="00B37B36">
        <w:rPr>
          <w:bCs/>
          <w:szCs w:val="24"/>
        </w:rPr>
        <w:t>. Tāpat arī Krimināllikuma 51.</w:t>
      </w:r>
      <w:r>
        <w:rPr>
          <w:bCs/>
          <w:szCs w:val="24"/>
        </w:rPr>
        <w:t> </w:t>
      </w:r>
      <w:r w:rsidR="00B37B36">
        <w:rPr>
          <w:bCs/>
          <w:szCs w:val="24"/>
        </w:rPr>
        <w:t xml:space="preserve">pantā noteiktais ierobežojums, ka </w:t>
      </w:r>
      <w:r w:rsidR="00AF523D">
        <w:rPr>
          <w:bCs/>
          <w:szCs w:val="24"/>
        </w:rPr>
        <w:t>sodu</w:t>
      </w:r>
      <w:r w:rsidR="00B37B36">
        <w:rPr>
          <w:bCs/>
          <w:szCs w:val="24"/>
        </w:rPr>
        <w:t xml:space="preserve"> pēc vairākiem spriedumiem</w:t>
      </w:r>
      <w:r w:rsidR="00AF523D">
        <w:rPr>
          <w:bCs/>
          <w:szCs w:val="24"/>
        </w:rPr>
        <w:t xml:space="preserve"> var noteikt tikai tiesa. Tādēļ prokuroram ir pienākums krimināl</w:t>
      </w:r>
      <w:r>
        <w:rPr>
          <w:bCs/>
          <w:szCs w:val="24"/>
        </w:rPr>
        <w:t>lietu</w:t>
      </w:r>
      <w:r w:rsidR="00AF523D">
        <w:rPr>
          <w:bCs/>
          <w:szCs w:val="24"/>
        </w:rPr>
        <w:t xml:space="preserve"> nosūtīt izskatīšanai tiesai, lai gan faktiski šī nepieciešamība rodama vienīgi sodu saskaitīšanā. Jāpiezīmē, ka praksē bieži vien apsūdzētie nepiekrīt prokurora noteiktajai kaitējuma kompensācija</w:t>
      </w:r>
      <w:r>
        <w:rPr>
          <w:bCs/>
          <w:szCs w:val="24"/>
        </w:rPr>
        <w:t>i vai tās apmēram</w:t>
      </w:r>
      <w:r w:rsidR="00173CE5">
        <w:rPr>
          <w:bCs/>
          <w:szCs w:val="24"/>
        </w:rPr>
        <w:t xml:space="preserve">, </w:t>
      </w:r>
      <w:r>
        <w:rPr>
          <w:bCs/>
          <w:szCs w:val="24"/>
        </w:rPr>
        <w:t xml:space="preserve">tāpēc </w:t>
      </w:r>
      <w:r w:rsidR="00173CE5">
        <w:rPr>
          <w:bCs/>
          <w:szCs w:val="24"/>
        </w:rPr>
        <w:t xml:space="preserve">vienīgā </w:t>
      </w:r>
      <w:r>
        <w:rPr>
          <w:bCs/>
          <w:szCs w:val="24"/>
        </w:rPr>
        <w:t>iespēja</w:t>
      </w:r>
      <w:r w:rsidR="00173CE5">
        <w:rPr>
          <w:bCs/>
          <w:szCs w:val="24"/>
        </w:rPr>
        <w:t xml:space="preserve"> ir kriminālprocesu</w:t>
      </w:r>
      <w:r>
        <w:rPr>
          <w:bCs/>
          <w:szCs w:val="24"/>
        </w:rPr>
        <w:t xml:space="preserve"> pabeigt, nododot krimināllietu</w:t>
      </w:r>
      <w:r w:rsidR="00173CE5">
        <w:rPr>
          <w:bCs/>
          <w:szCs w:val="24"/>
        </w:rPr>
        <w:t xml:space="preserve"> tiesai.</w:t>
      </w:r>
    </w:p>
    <w:p w14:paraId="35B462E7" w14:textId="6539670C" w:rsidR="007B7BD5" w:rsidRDefault="007B7BD5" w:rsidP="00F110C7">
      <w:pPr>
        <w:spacing w:after="0" w:line="240" w:lineRule="auto"/>
        <w:jc w:val="both"/>
        <w:rPr>
          <w:bCs/>
          <w:szCs w:val="24"/>
        </w:rPr>
      </w:pPr>
      <w:r>
        <w:rPr>
          <w:bCs/>
          <w:szCs w:val="24"/>
        </w:rPr>
        <w:tab/>
        <w:t>Prokurori atzīst, ka arī prokuror</w:t>
      </w:r>
      <w:r w:rsidR="00034C36">
        <w:rPr>
          <w:bCs/>
          <w:szCs w:val="24"/>
        </w:rPr>
        <w:t>a</w:t>
      </w:r>
      <w:r>
        <w:rPr>
          <w:bCs/>
          <w:szCs w:val="24"/>
        </w:rPr>
        <w:t xml:space="preserve"> priekšraksta par sodu izpildes kontroles mehānisms rada papildu slogu prokuroram, kas neveicina šī kriminālprocesa pabeigšanas veida piemērošanu. Viens no risinājumiem ir šo kontroles funkciju nodošana prokurora palīgam.</w:t>
      </w:r>
    </w:p>
    <w:p w14:paraId="37A969A3" w14:textId="79466B00" w:rsidR="00F110C7" w:rsidRDefault="00F110C7" w:rsidP="00F110C7">
      <w:pPr>
        <w:spacing w:after="0" w:line="240" w:lineRule="auto"/>
        <w:jc w:val="both"/>
        <w:rPr>
          <w:bCs/>
          <w:szCs w:val="24"/>
        </w:rPr>
      </w:pPr>
    </w:p>
    <w:p w14:paraId="1D83E892" w14:textId="4F3D8326" w:rsidR="00F110C7" w:rsidRPr="00F110C7" w:rsidRDefault="00F110C7" w:rsidP="00E329FC">
      <w:pPr>
        <w:pStyle w:val="ListParagraph"/>
        <w:numPr>
          <w:ilvl w:val="0"/>
          <w:numId w:val="51"/>
        </w:numPr>
        <w:spacing w:after="120" w:line="240" w:lineRule="auto"/>
        <w:ind w:left="714" w:hanging="357"/>
        <w:jc w:val="both"/>
        <w:rPr>
          <w:b/>
          <w:szCs w:val="24"/>
        </w:rPr>
      </w:pPr>
      <w:r>
        <w:rPr>
          <w:b/>
          <w:szCs w:val="24"/>
        </w:rPr>
        <w:t xml:space="preserve">Pēc Krimināllikuma 180. panta pabeigto kriminālprocesu </w:t>
      </w:r>
      <w:r w:rsidR="00D57EC2">
        <w:rPr>
          <w:b/>
          <w:szCs w:val="24"/>
        </w:rPr>
        <w:t>procentuālā attiecība pret kopā pabeigto kriminālprocesu skaitu</w:t>
      </w:r>
    </w:p>
    <w:p w14:paraId="106869BE" w14:textId="145E0BC6" w:rsidR="00934224" w:rsidRDefault="00934224" w:rsidP="008C1417">
      <w:pPr>
        <w:spacing w:after="0"/>
        <w:jc w:val="center"/>
        <w:rPr>
          <w:bCs/>
          <w:szCs w:val="24"/>
        </w:rPr>
      </w:pPr>
      <w:r>
        <w:rPr>
          <w:noProof/>
        </w:rPr>
        <w:drawing>
          <wp:inline distT="0" distB="0" distL="0" distR="0" wp14:anchorId="351E9BBE" wp14:editId="0F60D064">
            <wp:extent cx="5391150" cy="2043546"/>
            <wp:effectExtent l="0" t="0" r="0" b="13970"/>
            <wp:docPr id="69" name="Chart 69">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4A1A6F6" w14:textId="77777777" w:rsidR="00831C31" w:rsidRDefault="00831C31" w:rsidP="00831C31">
      <w:pPr>
        <w:spacing w:after="0"/>
        <w:jc w:val="both"/>
        <w:rPr>
          <w:bCs/>
          <w:szCs w:val="24"/>
        </w:rPr>
      </w:pPr>
    </w:p>
    <w:p w14:paraId="10AD6954" w14:textId="1DFE566F" w:rsidR="00934224" w:rsidRDefault="00934224" w:rsidP="00831C31">
      <w:pPr>
        <w:spacing w:after="0" w:line="240" w:lineRule="auto"/>
        <w:jc w:val="both"/>
        <w:rPr>
          <w:bCs/>
          <w:szCs w:val="24"/>
        </w:rPr>
      </w:pPr>
      <w:r>
        <w:rPr>
          <w:bCs/>
          <w:szCs w:val="24"/>
        </w:rPr>
        <w:tab/>
      </w:r>
      <w:r w:rsidRPr="00515A32">
        <w:rPr>
          <w:bCs/>
          <w:szCs w:val="24"/>
        </w:rPr>
        <w:t>Pēc Krimināllikuma 180.</w:t>
      </w:r>
      <w:r w:rsidR="00831C31">
        <w:rPr>
          <w:bCs/>
          <w:szCs w:val="24"/>
        </w:rPr>
        <w:t> </w:t>
      </w:r>
      <w:r w:rsidRPr="00515A32">
        <w:rPr>
          <w:bCs/>
          <w:szCs w:val="24"/>
        </w:rPr>
        <w:t xml:space="preserve">panta pabeigto kriminālprocesu īpatsvars </w:t>
      </w:r>
      <w:r w:rsidR="00831C31">
        <w:rPr>
          <w:bCs/>
          <w:szCs w:val="24"/>
        </w:rPr>
        <w:t xml:space="preserve">Latgales </w:t>
      </w:r>
      <w:r w:rsidR="00034C36">
        <w:rPr>
          <w:rFonts w:cs="Times New Roman"/>
          <w:bCs/>
          <w:szCs w:val="24"/>
        </w:rPr>
        <w:t>tiesas apgabala prokuratūras darbības teritorijā ietilpstošajās rajona līmeņa prokuratūrās</w:t>
      </w:r>
      <w:r w:rsidR="00034C36" w:rsidRPr="00515A32">
        <w:rPr>
          <w:bCs/>
          <w:szCs w:val="24"/>
        </w:rPr>
        <w:t xml:space="preserve"> </w:t>
      </w:r>
      <w:r w:rsidRPr="00515A32">
        <w:rPr>
          <w:bCs/>
          <w:szCs w:val="24"/>
        </w:rPr>
        <w:t xml:space="preserve">faktiski </w:t>
      </w:r>
      <w:r>
        <w:rPr>
          <w:bCs/>
          <w:szCs w:val="24"/>
        </w:rPr>
        <w:t>samazinājies četrās prokuratūr</w:t>
      </w:r>
      <w:r w:rsidR="00034C36">
        <w:rPr>
          <w:bCs/>
          <w:szCs w:val="24"/>
        </w:rPr>
        <w:t>as struktūrvienībās</w:t>
      </w:r>
      <w:r>
        <w:rPr>
          <w:bCs/>
          <w:szCs w:val="24"/>
        </w:rPr>
        <w:t xml:space="preserve"> </w:t>
      </w:r>
      <w:r w:rsidRPr="00515A32">
        <w:rPr>
          <w:bCs/>
          <w:szCs w:val="24"/>
        </w:rPr>
        <w:t>salīdzinājumā ar 2019.</w:t>
      </w:r>
      <w:r w:rsidR="00831C31">
        <w:rPr>
          <w:bCs/>
          <w:szCs w:val="24"/>
        </w:rPr>
        <w:t> </w:t>
      </w:r>
      <w:r w:rsidRPr="00515A32">
        <w:rPr>
          <w:bCs/>
          <w:szCs w:val="24"/>
        </w:rPr>
        <w:t>gadu</w:t>
      </w:r>
      <w:r>
        <w:rPr>
          <w:bCs/>
          <w:szCs w:val="24"/>
        </w:rPr>
        <w:t xml:space="preserve">, bet kopumā vērtējams kā zems. </w:t>
      </w:r>
      <w:r w:rsidRPr="00515A32">
        <w:rPr>
          <w:bCs/>
          <w:szCs w:val="24"/>
        </w:rPr>
        <w:t>Šāda tendence norāda, ka izmeklēšanas iestāžu un līdz ar to arī prokuratūras resurss p</w:t>
      </w:r>
      <w:r>
        <w:rPr>
          <w:bCs/>
          <w:szCs w:val="24"/>
        </w:rPr>
        <w:t>amatoti</w:t>
      </w:r>
      <w:r w:rsidRPr="00515A32">
        <w:rPr>
          <w:bCs/>
          <w:szCs w:val="24"/>
        </w:rPr>
        <w:t xml:space="preserve"> </w:t>
      </w:r>
      <w:r>
        <w:rPr>
          <w:bCs/>
          <w:szCs w:val="24"/>
        </w:rPr>
        <w:t>ne</w:t>
      </w:r>
      <w:r w:rsidRPr="00515A32">
        <w:rPr>
          <w:bCs/>
          <w:szCs w:val="24"/>
        </w:rPr>
        <w:t>tiek nodarbināts “sīko zādzību” apkarošanai</w:t>
      </w:r>
      <w:r>
        <w:rPr>
          <w:bCs/>
          <w:szCs w:val="24"/>
        </w:rPr>
        <w:t>, bet izmeklēšanas iestāžu un prokuratūras darbs un resursi tiek novirzīti smagu un sevišķi smagu noziegumu apkarošanai.</w:t>
      </w:r>
    </w:p>
    <w:p w14:paraId="16AC9E3A" w14:textId="773ED03D" w:rsidR="00831C31" w:rsidRDefault="00831C31" w:rsidP="00831C31">
      <w:pPr>
        <w:spacing w:after="0" w:line="240" w:lineRule="auto"/>
        <w:jc w:val="both"/>
        <w:rPr>
          <w:bCs/>
          <w:szCs w:val="24"/>
        </w:rPr>
      </w:pPr>
    </w:p>
    <w:p w14:paraId="3FC7A4B4" w14:textId="04B2EF8E" w:rsidR="00831C31" w:rsidRPr="00831C31" w:rsidRDefault="00831C31" w:rsidP="00E329FC">
      <w:pPr>
        <w:pStyle w:val="ListParagraph"/>
        <w:numPr>
          <w:ilvl w:val="0"/>
          <w:numId w:val="51"/>
        </w:numPr>
        <w:spacing w:after="120" w:line="240" w:lineRule="auto"/>
        <w:ind w:left="714" w:hanging="357"/>
        <w:jc w:val="both"/>
        <w:rPr>
          <w:b/>
          <w:szCs w:val="24"/>
        </w:rPr>
      </w:pPr>
      <w:r>
        <w:rPr>
          <w:b/>
          <w:szCs w:val="24"/>
        </w:rPr>
        <w:t>Prokuroru uzraudzībā pieņemti kriminālprocesi</w:t>
      </w:r>
    </w:p>
    <w:p w14:paraId="2D0C939B" w14:textId="4549E3FF" w:rsidR="00934224" w:rsidRDefault="00934224" w:rsidP="00600A25">
      <w:pPr>
        <w:spacing w:after="0"/>
        <w:jc w:val="center"/>
        <w:rPr>
          <w:bCs/>
          <w:szCs w:val="24"/>
        </w:rPr>
      </w:pPr>
      <w:r>
        <w:rPr>
          <w:noProof/>
        </w:rPr>
        <w:drawing>
          <wp:inline distT="0" distB="0" distL="0" distR="0" wp14:anchorId="0B8EC716" wp14:editId="0EE571FC">
            <wp:extent cx="5391150" cy="1911350"/>
            <wp:effectExtent l="0" t="0" r="12700" b="12700"/>
            <wp:docPr id="70" name="Chart 70">
              <a:extLst xmlns:a="http://schemas.openxmlformats.org/drawingml/2006/main">
                <a:ext uri="{FF2B5EF4-FFF2-40B4-BE49-F238E27FC236}">
                  <a16:creationId xmlns:a16="http://schemas.microsoft.com/office/drawing/2014/main" id="{00000000-0008-0000-01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7E7D347" w14:textId="13A135A5" w:rsidR="00600A25" w:rsidRDefault="00600A25" w:rsidP="00600A25">
      <w:pPr>
        <w:spacing w:after="0"/>
        <w:rPr>
          <w:bCs/>
          <w:szCs w:val="24"/>
        </w:rPr>
      </w:pPr>
    </w:p>
    <w:p w14:paraId="2569DF8A" w14:textId="5D2E9F24" w:rsidR="00934224" w:rsidRDefault="00600A25" w:rsidP="00BB6A5A">
      <w:pPr>
        <w:spacing w:after="0" w:line="240" w:lineRule="auto"/>
        <w:ind w:firstLine="720"/>
        <w:jc w:val="both"/>
        <w:rPr>
          <w:szCs w:val="24"/>
        </w:rPr>
      </w:pPr>
      <w:r>
        <w:rPr>
          <w:bCs/>
          <w:szCs w:val="24"/>
        </w:rPr>
        <w:t xml:space="preserve">Kopējais Latgales </w:t>
      </w:r>
      <w:r w:rsidR="00034C36">
        <w:rPr>
          <w:rFonts w:cs="Times New Roman"/>
          <w:bCs/>
          <w:szCs w:val="24"/>
        </w:rPr>
        <w:t>tiesas apgabala prokuratūras darbības teritorijā ietilpstošo rajona līmeņa prokuratūru</w:t>
      </w:r>
      <w:r w:rsidR="00034C36">
        <w:rPr>
          <w:bCs/>
          <w:szCs w:val="24"/>
        </w:rPr>
        <w:t xml:space="preserve"> </w:t>
      </w:r>
      <w:r>
        <w:rPr>
          <w:bCs/>
          <w:szCs w:val="24"/>
        </w:rPr>
        <w:t xml:space="preserve">prokuroru </w:t>
      </w:r>
      <w:r w:rsidR="00934224" w:rsidRPr="00515A32">
        <w:rPr>
          <w:bCs/>
          <w:szCs w:val="24"/>
        </w:rPr>
        <w:t xml:space="preserve">uzraudzībā pieņemto kriminālprocesu skaits </w:t>
      </w:r>
      <w:r>
        <w:rPr>
          <w:bCs/>
          <w:szCs w:val="24"/>
        </w:rPr>
        <w:t xml:space="preserve">2020. gadā </w:t>
      </w:r>
      <w:r w:rsidR="00934224">
        <w:rPr>
          <w:bCs/>
          <w:szCs w:val="24"/>
        </w:rPr>
        <w:t xml:space="preserve">samazinājies </w:t>
      </w:r>
      <w:r w:rsidR="00934224" w:rsidRPr="00515A32">
        <w:rPr>
          <w:bCs/>
          <w:szCs w:val="24"/>
        </w:rPr>
        <w:t xml:space="preserve">par </w:t>
      </w:r>
      <w:r w:rsidR="00934224">
        <w:rPr>
          <w:bCs/>
          <w:szCs w:val="24"/>
        </w:rPr>
        <w:t>78</w:t>
      </w:r>
      <w:r>
        <w:rPr>
          <w:bCs/>
          <w:szCs w:val="24"/>
        </w:rPr>
        <w:t> </w:t>
      </w:r>
      <w:r w:rsidR="00934224">
        <w:rPr>
          <w:bCs/>
          <w:szCs w:val="24"/>
        </w:rPr>
        <w:t>kriminālprocesiem</w:t>
      </w:r>
      <w:r>
        <w:rPr>
          <w:bCs/>
          <w:szCs w:val="24"/>
        </w:rPr>
        <w:t xml:space="preserve"> salīdzinājumā ar 2019. gadu. </w:t>
      </w:r>
      <w:r w:rsidR="00934224">
        <w:rPr>
          <w:szCs w:val="24"/>
        </w:rPr>
        <w:t xml:space="preserve">Prokuroru uzraudzībā </w:t>
      </w:r>
      <w:r>
        <w:rPr>
          <w:szCs w:val="24"/>
        </w:rPr>
        <w:t xml:space="preserve">pieņemto </w:t>
      </w:r>
      <w:r w:rsidR="00934224" w:rsidRPr="00044447">
        <w:rPr>
          <w:szCs w:val="24"/>
        </w:rPr>
        <w:t>kriminālprocesu skaits samazinājies</w:t>
      </w:r>
      <w:r w:rsidR="00934224">
        <w:rPr>
          <w:szCs w:val="24"/>
        </w:rPr>
        <w:t xml:space="preserve"> Balvu rajona prokur</w:t>
      </w:r>
      <w:r w:rsidR="00BB6A5A">
        <w:rPr>
          <w:szCs w:val="24"/>
        </w:rPr>
        <w:t>a</w:t>
      </w:r>
      <w:r w:rsidR="00934224">
        <w:rPr>
          <w:szCs w:val="24"/>
        </w:rPr>
        <w:t>tūrā, Daugavpils prokuratūrā</w:t>
      </w:r>
      <w:r w:rsidR="00934224" w:rsidRPr="00044447">
        <w:rPr>
          <w:szCs w:val="24"/>
        </w:rPr>
        <w:t xml:space="preserve">, </w:t>
      </w:r>
      <w:r w:rsidR="00934224">
        <w:rPr>
          <w:szCs w:val="24"/>
        </w:rPr>
        <w:t>Preiļu rajona prokuratūrā, Rēzeknes prokuratūrā. Š</w:t>
      </w:r>
      <w:r w:rsidR="00934224" w:rsidRPr="00044447">
        <w:rPr>
          <w:szCs w:val="24"/>
        </w:rPr>
        <w:t xml:space="preserve">āda tendence skaidrojama ar nelielu </w:t>
      </w:r>
      <w:r w:rsidR="00934224">
        <w:rPr>
          <w:szCs w:val="24"/>
        </w:rPr>
        <w:t xml:space="preserve">izdarīto </w:t>
      </w:r>
      <w:r w:rsidR="00934224" w:rsidRPr="00044447">
        <w:rPr>
          <w:szCs w:val="24"/>
        </w:rPr>
        <w:t>noziedzī</w:t>
      </w:r>
      <w:r w:rsidR="00934224">
        <w:rPr>
          <w:szCs w:val="24"/>
        </w:rPr>
        <w:t>go nodarījumu</w:t>
      </w:r>
      <w:r w:rsidR="00934224" w:rsidRPr="00044447">
        <w:rPr>
          <w:szCs w:val="24"/>
        </w:rPr>
        <w:t xml:space="preserve"> kritumu, </w:t>
      </w:r>
      <w:r w:rsidR="00934224">
        <w:rPr>
          <w:szCs w:val="24"/>
        </w:rPr>
        <w:t>kas ir Valsts policijas veikto preventīvo pasākumu rezultāts (tostarp Covid</w:t>
      </w:r>
      <w:r w:rsidR="00BB6A5A">
        <w:rPr>
          <w:szCs w:val="24"/>
        </w:rPr>
        <w:t>-</w:t>
      </w:r>
      <w:r w:rsidR="00934224">
        <w:rPr>
          <w:szCs w:val="24"/>
        </w:rPr>
        <w:t>19 ierobežojumu kontrolē). Ludzas r</w:t>
      </w:r>
      <w:r w:rsidR="00BB6A5A">
        <w:rPr>
          <w:szCs w:val="24"/>
        </w:rPr>
        <w:t>a</w:t>
      </w:r>
      <w:r w:rsidR="00934224">
        <w:rPr>
          <w:szCs w:val="24"/>
        </w:rPr>
        <w:t>jona prokuratūrā un Krāslavas rajona prokuratūrā</w:t>
      </w:r>
      <w:r w:rsidR="00934224" w:rsidRPr="00660AC4">
        <w:rPr>
          <w:szCs w:val="24"/>
        </w:rPr>
        <w:t xml:space="preserve"> ir neliels uzsākto kriminālprocesu palielinājums</w:t>
      </w:r>
      <w:r w:rsidR="00934224">
        <w:rPr>
          <w:szCs w:val="24"/>
        </w:rPr>
        <w:t xml:space="preserve">, kas skaidrojams ar </w:t>
      </w:r>
      <w:r w:rsidR="00BB6A5A">
        <w:rPr>
          <w:szCs w:val="24"/>
        </w:rPr>
        <w:t xml:space="preserve">pārrobežu </w:t>
      </w:r>
      <w:r w:rsidR="00934224">
        <w:rPr>
          <w:szCs w:val="24"/>
        </w:rPr>
        <w:t>noziedzīgu nodarījumu pieaugumu.</w:t>
      </w:r>
    </w:p>
    <w:p w14:paraId="6C1DEBF2" w14:textId="52F18A17" w:rsidR="00BB6A5A" w:rsidRDefault="00BB6A5A" w:rsidP="00BB6A5A">
      <w:pPr>
        <w:spacing w:after="0" w:line="240" w:lineRule="auto"/>
        <w:jc w:val="both"/>
        <w:rPr>
          <w:szCs w:val="24"/>
        </w:rPr>
      </w:pPr>
    </w:p>
    <w:p w14:paraId="30622DBB" w14:textId="4BE4525F" w:rsidR="00BB6A5A" w:rsidRPr="00BB6A5A" w:rsidRDefault="00BB6A5A" w:rsidP="00E329FC">
      <w:pPr>
        <w:pStyle w:val="ListParagraph"/>
        <w:numPr>
          <w:ilvl w:val="0"/>
          <w:numId w:val="51"/>
        </w:numPr>
        <w:spacing w:after="120" w:line="240" w:lineRule="auto"/>
        <w:ind w:left="714" w:hanging="357"/>
        <w:jc w:val="both"/>
        <w:rPr>
          <w:b/>
          <w:bCs/>
          <w:szCs w:val="24"/>
        </w:rPr>
      </w:pPr>
      <w:r>
        <w:rPr>
          <w:b/>
          <w:bCs/>
          <w:szCs w:val="24"/>
        </w:rPr>
        <w:t>Ar prokurora piekrišanu atteikts uzsākt kriminālprocesu par maznozīmīgu noziedzīgu nodarījumu</w:t>
      </w:r>
    </w:p>
    <w:p w14:paraId="31C72A74" w14:textId="3EBC7771" w:rsidR="00934224" w:rsidRDefault="00934224" w:rsidP="008C1417">
      <w:pPr>
        <w:spacing w:after="0"/>
        <w:jc w:val="center"/>
        <w:rPr>
          <w:szCs w:val="24"/>
        </w:rPr>
      </w:pPr>
      <w:r>
        <w:rPr>
          <w:noProof/>
        </w:rPr>
        <w:drawing>
          <wp:inline distT="0" distB="0" distL="0" distR="0" wp14:anchorId="4301C3F5" wp14:editId="5238C1CF">
            <wp:extent cx="5435600" cy="2286000"/>
            <wp:effectExtent l="0" t="0" r="12700" b="0"/>
            <wp:docPr id="71" name="Chart 71">
              <a:extLst xmlns:a="http://schemas.openxmlformats.org/drawingml/2006/main">
                <a:ext uri="{FF2B5EF4-FFF2-40B4-BE49-F238E27FC236}">
                  <a16:creationId xmlns:a16="http://schemas.microsoft.com/office/drawing/2014/main"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9C4C1B3" w14:textId="77777777" w:rsidR="009D11E5" w:rsidRDefault="009D11E5" w:rsidP="009D11E5">
      <w:pPr>
        <w:spacing w:after="0"/>
        <w:rPr>
          <w:szCs w:val="24"/>
        </w:rPr>
      </w:pPr>
    </w:p>
    <w:p w14:paraId="40B479A2" w14:textId="64778C09" w:rsidR="00934224" w:rsidRDefault="00034C36" w:rsidP="00195538">
      <w:pPr>
        <w:spacing w:after="0" w:line="240" w:lineRule="auto"/>
        <w:ind w:firstLine="720"/>
        <w:jc w:val="both"/>
        <w:rPr>
          <w:bCs/>
          <w:szCs w:val="24"/>
        </w:rPr>
      </w:pPr>
      <w:r>
        <w:rPr>
          <w:bCs/>
          <w:szCs w:val="24"/>
        </w:rPr>
        <w:t xml:space="preserve">Latgales </w:t>
      </w:r>
      <w:r>
        <w:rPr>
          <w:rFonts w:cs="Times New Roman"/>
          <w:bCs/>
          <w:szCs w:val="24"/>
        </w:rPr>
        <w:t>tiesas apgabala prokuratūras darbības teritorijā ietilpstošajās rajona līmeņa prokuratūrās</w:t>
      </w:r>
      <w:r w:rsidRPr="00515A32">
        <w:rPr>
          <w:bCs/>
          <w:szCs w:val="24"/>
        </w:rPr>
        <w:t xml:space="preserve"> </w:t>
      </w:r>
      <w:r>
        <w:rPr>
          <w:bCs/>
          <w:szCs w:val="24"/>
        </w:rPr>
        <w:t xml:space="preserve">kopumā </w:t>
      </w:r>
      <w:r w:rsidR="00934224">
        <w:rPr>
          <w:bCs/>
          <w:szCs w:val="24"/>
        </w:rPr>
        <w:t>vērojama arvien aktīvāka šī procesuālās ekonomijas instrumenta izmantošana situācijās, kad ar noziedzīgu nodarījumu radītais mantiskais zaudējums ir maznozīmīgs. Īpaši jāizceļ Daugavpils</w:t>
      </w:r>
      <w:r w:rsidR="00195538">
        <w:rPr>
          <w:bCs/>
          <w:szCs w:val="24"/>
        </w:rPr>
        <w:t xml:space="preserve"> prokuratūras</w:t>
      </w:r>
      <w:r w:rsidR="00934224">
        <w:rPr>
          <w:bCs/>
          <w:szCs w:val="24"/>
        </w:rPr>
        <w:t>, Rēzeknes prokuratūr</w:t>
      </w:r>
      <w:r w:rsidR="00195538">
        <w:rPr>
          <w:bCs/>
          <w:szCs w:val="24"/>
        </w:rPr>
        <w:t>as</w:t>
      </w:r>
      <w:r w:rsidR="00934224">
        <w:rPr>
          <w:bCs/>
          <w:szCs w:val="24"/>
        </w:rPr>
        <w:t xml:space="preserve"> un Preiļu rajona </w:t>
      </w:r>
      <w:r w:rsidR="00934224">
        <w:rPr>
          <w:bCs/>
          <w:szCs w:val="24"/>
        </w:rPr>
        <w:lastRenderedPageBreak/>
        <w:t>prokuratūras izteiktais pārākums šajā rādītājā, kas liecina par labu izmeklētāju un prokuroru sadarbību, vienotu izpratni un noturīgu praksi.</w:t>
      </w:r>
    </w:p>
    <w:p w14:paraId="02281E12" w14:textId="77777777" w:rsidR="008530D0" w:rsidRDefault="008530D0" w:rsidP="00195538">
      <w:pPr>
        <w:spacing w:after="0" w:line="240" w:lineRule="auto"/>
        <w:jc w:val="both"/>
        <w:rPr>
          <w:bCs/>
          <w:szCs w:val="24"/>
        </w:rPr>
      </w:pPr>
    </w:p>
    <w:p w14:paraId="66AB1F5B" w14:textId="7DE3C97F" w:rsidR="00934224" w:rsidRPr="00BC0A7C" w:rsidRDefault="00195538" w:rsidP="00E329FC">
      <w:pPr>
        <w:pStyle w:val="ListParagraph"/>
        <w:numPr>
          <w:ilvl w:val="0"/>
          <w:numId w:val="51"/>
        </w:numPr>
        <w:spacing w:after="120" w:line="240" w:lineRule="auto"/>
        <w:ind w:left="714" w:hanging="357"/>
        <w:jc w:val="both"/>
        <w:rPr>
          <w:b/>
          <w:szCs w:val="24"/>
        </w:rPr>
      </w:pPr>
      <w:r>
        <w:rPr>
          <w:b/>
          <w:szCs w:val="24"/>
        </w:rPr>
        <w:t>Dota piekrišana kriminālprocesa apturēšanai izmeklēšanā</w:t>
      </w:r>
    </w:p>
    <w:p w14:paraId="76B69DBD" w14:textId="2F6E2732" w:rsidR="00934224" w:rsidRDefault="00934224" w:rsidP="00A32D29">
      <w:pPr>
        <w:spacing w:after="0"/>
        <w:jc w:val="center"/>
        <w:rPr>
          <w:szCs w:val="24"/>
        </w:rPr>
      </w:pPr>
      <w:r>
        <w:rPr>
          <w:noProof/>
        </w:rPr>
        <w:drawing>
          <wp:inline distT="0" distB="0" distL="0" distR="0" wp14:anchorId="3EF00F3E" wp14:editId="62CDFBA3">
            <wp:extent cx="5397500" cy="2584450"/>
            <wp:effectExtent l="0" t="0" r="12700" b="6350"/>
            <wp:docPr id="29" name="Chart 29">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F99C59B" w14:textId="77777777" w:rsidR="009D11E5" w:rsidRDefault="009D11E5" w:rsidP="009D11E5">
      <w:pPr>
        <w:spacing w:after="0"/>
        <w:rPr>
          <w:szCs w:val="24"/>
        </w:rPr>
      </w:pPr>
    </w:p>
    <w:p w14:paraId="56CE5A37" w14:textId="2DF47EDC" w:rsidR="00934224" w:rsidRDefault="00934224" w:rsidP="00256D1A">
      <w:pPr>
        <w:spacing w:after="0" w:line="240" w:lineRule="auto"/>
        <w:jc w:val="both"/>
        <w:rPr>
          <w:bCs/>
          <w:szCs w:val="24"/>
        </w:rPr>
      </w:pPr>
      <w:r>
        <w:rPr>
          <w:bCs/>
          <w:szCs w:val="24"/>
        </w:rPr>
        <w:tab/>
        <w:t>2020.</w:t>
      </w:r>
      <w:r w:rsidR="00256D1A">
        <w:rPr>
          <w:bCs/>
          <w:szCs w:val="24"/>
        </w:rPr>
        <w:t> </w:t>
      </w:r>
      <w:r>
        <w:rPr>
          <w:bCs/>
          <w:szCs w:val="24"/>
        </w:rPr>
        <w:t>gada darba rādītāji par Kriminālprocesa likuma 400.</w:t>
      </w:r>
      <w:r w:rsidR="00BC0A7C">
        <w:rPr>
          <w:bCs/>
          <w:szCs w:val="24"/>
        </w:rPr>
        <w:t> </w:t>
      </w:r>
      <w:r>
        <w:rPr>
          <w:bCs/>
          <w:szCs w:val="24"/>
        </w:rPr>
        <w:t xml:space="preserve">panta piemērošanu, ļauj izdarīt secinājumu, ka </w:t>
      </w:r>
      <w:r w:rsidR="00BC0A7C">
        <w:rPr>
          <w:bCs/>
          <w:szCs w:val="24"/>
        </w:rPr>
        <w:t xml:space="preserve">Latgales </w:t>
      </w:r>
      <w:r w:rsidR="00034C36">
        <w:rPr>
          <w:rFonts w:cs="Times New Roman"/>
          <w:bCs/>
          <w:szCs w:val="24"/>
        </w:rPr>
        <w:t>tiesas apgabala prokuratūras darbības teritorijā ietilpstošo rajona līmeņa prokuratūru</w:t>
      </w:r>
      <w:r w:rsidR="00034C36" w:rsidRPr="00515A32">
        <w:rPr>
          <w:bCs/>
          <w:szCs w:val="24"/>
        </w:rPr>
        <w:t xml:space="preserve"> </w:t>
      </w:r>
      <w:r>
        <w:rPr>
          <w:bCs/>
          <w:szCs w:val="24"/>
        </w:rPr>
        <w:t>prokuroru</w:t>
      </w:r>
      <w:r w:rsidR="00034C36">
        <w:rPr>
          <w:bCs/>
          <w:szCs w:val="24"/>
        </w:rPr>
        <w:t xml:space="preserve"> </w:t>
      </w:r>
      <w:r>
        <w:rPr>
          <w:bCs/>
          <w:szCs w:val="24"/>
        </w:rPr>
        <w:t xml:space="preserve">vidū ir nostabilizējusies izpratne par kriminālprocesa apturēšanas procesuālo nozīmi. </w:t>
      </w:r>
    </w:p>
    <w:p w14:paraId="189A565C" w14:textId="66FA6C76" w:rsidR="00256D1A" w:rsidRDefault="00A24D52" w:rsidP="008530D0">
      <w:pPr>
        <w:spacing w:after="0"/>
        <w:ind w:firstLine="720"/>
        <w:jc w:val="both"/>
      </w:pPr>
      <w:r w:rsidRPr="00A12C20">
        <w:rPr>
          <w:rFonts w:eastAsia="Calibri" w:cs="Times New Roman"/>
          <w:szCs w:val="24"/>
        </w:rPr>
        <w:t xml:space="preserve">Attiecībā </w:t>
      </w:r>
      <w:r w:rsidR="00034C36">
        <w:rPr>
          <w:rFonts w:eastAsia="Calibri" w:cs="Times New Roman"/>
          <w:szCs w:val="24"/>
        </w:rPr>
        <w:t xml:space="preserve">par </w:t>
      </w:r>
      <w:r w:rsidRPr="00A12C20">
        <w:rPr>
          <w:rFonts w:eastAsia="Calibri" w:cs="Times New Roman"/>
          <w:szCs w:val="24"/>
        </w:rPr>
        <w:t xml:space="preserve">uzraudzībā esošo </w:t>
      </w:r>
      <w:r w:rsidR="00034C36">
        <w:rPr>
          <w:rFonts w:eastAsia="Calibri" w:cs="Times New Roman"/>
          <w:szCs w:val="24"/>
        </w:rPr>
        <w:t>kriminālprocesu</w:t>
      </w:r>
      <w:r w:rsidRPr="00A12C20">
        <w:rPr>
          <w:rFonts w:eastAsia="Calibri" w:cs="Times New Roman"/>
          <w:szCs w:val="24"/>
        </w:rPr>
        <w:t xml:space="preserve"> atlikuma mazināšanu </w:t>
      </w:r>
      <w:r>
        <w:rPr>
          <w:rFonts w:eastAsia="Calibri" w:cs="Times New Roman"/>
          <w:szCs w:val="24"/>
        </w:rPr>
        <w:t>varētu apsvērt</w:t>
      </w:r>
      <w:r w:rsidRPr="00A12C20">
        <w:rPr>
          <w:rFonts w:eastAsia="Calibri" w:cs="Times New Roman"/>
          <w:szCs w:val="24"/>
        </w:rPr>
        <w:t xml:space="preserve"> veikt grozījumus Kriminālprocesa likumā, kas ļau</w:t>
      </w:r>
      <w:r>
        <w:rPr>
          <w:rFonts w:eastAsia="Calibri" w:cs="Times New Roman"/>
          <w:szCs w:val="24"/>
        </w:rPr>
        <w:t>tu</w:t>
      </w:r>
      <w:r w:rsidRPr="00A12C20">
        <w:t xml:space="preserve"> izbeigt “tumšās lietas</w:t>
      </w:r>
      <w:r w:rsidR="00034C36">
        <w:t>”</w:t>
      </w:r>
      <w:r>
        <w:t>, tas ir</w:t>
      </w:r>
      <w:r w:rsidR="00034C36">
        <w:t>,</w:t>
      </w:r>
      <w:r w:rsidRPr="00A12C20">
        <w:t xml:space="preserve"> </w:t>
      </w:r>
      <w:r>
        <w:t>i</w:t>
      </w:r>
      <w:r w:rsidRPr="00A12C20">
        <w:t xml:space="preserve">zbeigt kriminālprocesus, kur nav iespējams iegūt pierādījumus, </w:t>
      </w:r>
      <w:r>
        <w:t>lai noskaidrotu</w:t>
      </w:r>
      <w:r w:rsidR="00034C36" w:rsidRPr="00034C36">
        <w:t xml:space="preserve"> </w:t>
      </w:r>
      <w:r w:rsidR="00034C36">
        <w:t>vainīgo personu</w:t>
      </w:r>
      <w:r w:rsidR="00012A0D">
        <w:t>, vai</w:t>
      </w:r>
      <w:r w:rsidR="00034C36">
        <w:t xml:space="preserve"> </w:t>
      </w:r>
      <w:r w:rsidR="00012A0D">
        <w:t>pierādījumu iegūšana</w:t>
      </w:r>
      <w:r w:rsidR="00034C36">
        <w:t>i izmantojamo</w:t>
      </w:r>
      <w:r w:rsidR="00012A0D">
        <w:t xml:space="preserve"> resursu vērtība ir nesamērīga izmeklējamā noziedzīgā nodarījuma</w:t>
      </w:r>
      <w:r w:rsidR="004B5EC2">
        <w:t xml:space="preserve"> radītajam kaitējumam</w:t>
      </w:r>
      <w:r w:rsidRPr="00A12C20">
        <w:t xml:space="preserve">. </w:t>
      </w:r>
      <w:r w:rsidR="00012A0D">
        <w:t xml:space="preserve">Šādu kriminālprocesu izbeigšanu varētu </w:t>
      </w:r>
      <w:r w:rsidR="00034C36">
        <w:t>at</w:t>
      </w:r>
      <w:r w:rsidR="00012A0D">
        <w:t>ļaut ar amatā augstāka prokurora piekrišanu.</w:t>
      </w:r>
    </w:p>
    <w:p w14:paraId="301FC7EE" w14:textId="77777777" w:rsidR="008530D0" w:rsidRPr="008530D0" w:rsidRDefault="008530D0" w:rsidP="008530D0">
      <w:pPr>
        <w:spacing w:after="0"/>
        <w:ind w:firstLine="720"/>
        <w:jc w:val="both"/>
      </w:pPr>
    </w:p>
    <w:p w14:paraId="4567C1E1" w14:textId="07D3993A" w:rsidR="00934224" w:rsidRPr="00256D1A" w:rsidRDefault="00256D1A" w:rsidP="00E329FC">
      <w:pPr>
        <w:pStyle w:val="ListParagraph"/>
        <w:numPr>
          <w:ilvl w:val="0"/>
          <w:numId w:val="51"/>
        </w:numPr>
        <w:spacing w:after="120" w:line="240" w:lineRule="auto"/>
        <w:ind w:left="714" w:hanging="357"/>
        <w:jc w:val="both"/>
        <w:rPr>
          <w:b/>
          <w:szCs w:val="24"/>
        </w:rPr>
      </w:pPr>
      <w:r>
        <w:rPr>
          <w:b/>
          <w:szCs w:val="24"/>
        </w:rPr>
        <w:t>Prokuroru dotie norādījumi</w:t>
      </w:r>
    </w:p>
    <w:p w14:paraId="78D83458" w14:textId="729FEF39" w:rsidR="00934224" w:rsidRDefault="00934224" w:rsidP="009D11E5">
      <w:pPr>
        <w:spacing w:after="100" w:afterAutospacing="1"/>
        <w:jc w:val="center"/>
        <w:rPr>
          <w:bCs/>
          <w:szCs w:val="24"/>
        </w:rPr>
      </w:pPr>
      <w:r>
        <w:rPr>
          <w:noProof/>
        </w:rPr>
        <w:drawing>
          <wp:inline distT="0" distB="0" distL="0" distR="0" wp14:anchorId="12A7D57A" wp14:editId="1098C4EF">
            <wp:extent cx="5384800" cy="2266950"/>
            <wp:effectExtent l="0" t="0" r="6350" b="0"/>
            <wp:docPr id="72" name="Chart 72">
              <a:extLst xmlns:a="http://schemas.openxmlformats.org/drawingml/2006/main">
                <a:ext uri="{FF2B5EF4-FFF2-40B4-BE49-F238E27FC236}">
                  <a16:creationId xmlns:a16="http://schemas.microsoft.com/office/drawing/2014/main" id="{00000000-0008-0000-01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95D0736" w14:textId="7CA944F4" w:rsidR="00934224" w:rsidRDefault="00934224" w:rsidP="009D11E5">
      <w:pPr>
        <w:spacing w:after="0" w:line="240" w:lineRule="auto"/>
        <w:jc w:val="both"/>
        <w:rPr>
          <w:bCs/>
          <w:szCs w:val="24"/>
        </w:rPr>
      </w:pPr>
      <w:r>
        <w:rPr>
          <w:bCs/>
          <w:szCs w:val="24"/>
        </w:rPr>
        <w:tab/>
      </w:r>
      <w:r w:rsidR="00256D1A">
        <w:rPr>
          <w:bCs/>
          <w:szCs w:val="24"/>
        </w:rPr>
        <w:t xml:space="preserve">Latgales </w:t>
      </w:r>
      <w:r w:rsidR="00034C36">
        <w:rPr>
          <w:rFonts w:cs="Times New Roman"/>
          <w:bCs/>
          <w:szCs w:val="24"/>
        </w:rPr>
        <w:t>tiesas apgabala prokuratūras darbības teritorijā ietilpstošo rajona līmeņa prokuratūru</w:t>
      </w:r>
      <w:r w:rsidR="00034C36">
        <w:rPr>
          <w:bCs/>
          <w:szCs w:val="24"/>
        </w:rPr>
        <w:t xml:space="preserve"> </w:t>
      </w:r>
      <w:r>
        <w:rPr>
          <w:bCs/>
          <w:szCs w:val="24"/>
        </w:rPr>
        <w:t>prokurori nemainīgi aktīvi izmanto galveno izmeklēšanas uzraudzības līdzekli – prokurora norādījumus par izmeklēšanas virzienu un izmeklēšanas darbību veikšanu.</w:t>
      </w:r>
    </w:p>
    <w:p w14:paraId="49459490" w14:textId="0D6136F3" w:rsidR="008530D0" w:rsidRDefault="008530D0" w:rsidP="009D11E5">
      <w:pPr>
        <w:spacing w:after="0" w:line="240" w:lineRule="auto"/>
        <w:jc w:val="both"/>
        <w:rPr>
          <w:bCs/>
          <w:szCs w:val="24"/>
        </w:rPr>
      </w:pPr>
    </w:p>
    <w:p w14:paraId="48510AB2" w14:textId="4EF1B676" w:rsidR="009D11E5" w:rsidRPr="009D11E5" w:rsidRDefault="009D11E5" w:rsidP="00E329FC">
      <w:pPr>
        <w:pStyle w:val="ListParagraph"/>
        <w:numPr>
          <w:ilvl w:val="0"/>
          <w:numId w:val="51"/>
        </w:numPr>
        <w:spacing w:after="120" w:line="240" w:lineRule="auto"/>
        <w:ind w:left="714" w:hanging="357"/>
        <w:jc w:val="both"/>
        <w:rPr>
          <w:b/>
          <w:szCs w:val="24"/>
        </w:rPr>
      </w:pPr>
      <w:r>
        <w:rPr>
          <w:b/>
          <w:szCs w:val="24"/>
        </w:rPr>
        <w:lastRenderedPageBreak/>
        <w:t xml:space="preserve">Valsts apsūdzības uzturēšana pirmās instances tiesā (izskatītas </w:t>
      </w:r>
      <w:r w:rsidR="006A5C2B">
        <w:rPr>
          <w:b/>
          <w:szCs w:val="24"/>
        </w:rPr>
        <w:t>krimināl</w:t>
      </w:r>
      <w:r>
        <w:rPr>
          <w:b/>
          <w:szCs w:val="24"/>
        </w:rPr>
        <w:t>lietas), no tām bez pierādījumu pārbaudes</w:t>
      </w:r>
    </w:p>
    <w:p w14:paraId="5EFFA129" w14:textId="080BB8A1" w:rsidR="00934224" w:rsidRDefault="00934224" w:rsidP="00245021">
      <w:pPr>
        <w:spacing w:after="0"/>
        <w:jc w:val="center"/>
      </w:pPr>
      <w:r>
        <w:rPr>
          <w:noProof/>
        </w:rPr>
        <w:drawing>
          <wp:inline distT="0" distB="0" distL="0" distR="0" wp14:anchorId="08C9C35F" wp14:editId="6BB207E5">
            <wp:extent cx="5410200" cy="3073400"/>
            <wp:effectExtent l="0" t="0" r="0" b="12700"/>
            <wp:docPr id="73" name="Chart 73">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BFE15C3" w14:textId="77777777" w:rsidR="00245021" w:rsidRDefault="00245021" w:rsidP="00245021">
      <w:pPr>
        <w:spacing w:after="0"/>
        <w:jc w:val="center"/>
      </w:pPr>
    </w:p>
    <w:p w14:paraId="0FD69031" w14:textId="07BB38C0" w:rsidR="00934224" w:rsidRDefault="00934224" w:rsidP="009E2CCD">
      <w:pPr>
        <w:spacing w:after="0" w:line="240" w:lineRule="auto"/>
        <w:jc w:val="both"/>
        <w:rPr>
          <w:bCs/>
          <w:szCs w:val="24"/>
        </w:rPr>
      </w:pPr>
      <w:r>
        <w:rPr>
          <w:bCs/>
          <w:szCs w:val="24"/>
        </w:rPr>
        <w:tab/>
        <w:t xml:space="preserve">Visās </w:t>
      </w:r>
      <w:r w:rsidR="00245021">
        <w:rPr>
          <w:bCs/>
          <w:szCs w:val="24"/>
        </w:rPr>
        <w:t xml:space="preserve">Latgales </w:t>
      </w:r>
      <w:r w:rsidR="00034C36">
        <w:rPr>
          <w:rFonts w:cs="Times New Roman"/>
          <w:bCs/>
          <w:szCs w:val="24"/>
        </w:rPr>
        <w:t>tiesas apgabala prokuratūras darbības teritorijā ietilpstošajās rajona līmeņa prokuratūrās</w:t>
      </w:r>
      <w:r w:rsidR="00034C36">
        <w:rPr>
          <w:bCs/>
          <w:szCs w:val="24"/>
        </w:rPr>
        <w:t xml:space="preserve"> </w:t>
      </w:r>
      <w:r>
        <w:rPr>
          <w:bCs/>
          <w:szCs w:val="24"/>
        </w:rPr>
        <w:t xml:space="preserve">vērojams </w:t>
      </w:r>
      <w:r w:rsidR="00245021">
        <w:rPr>
          <w:bCs/>
          <w:szCs w:val="24"/>
        </w:rPr>
        <w:t>pirm</w:t>
      </w:r>
      <w:r w:rsidR="00034C36">
        <w:rPr>
          <w:bCs/>
          <w:szCs w:val="24"/>
        </w:rPr>
        <w:t>ās</w:t>
      </w:r>
      <w:r w:rsidR="00245021">
        <w:rPr>
          <w:bCs/>
          <w:szCs w:val="24"/>
        </w:rPr>
        <w:t xml:space="preserve"> </w:t>
      </w:r>
      <w:r>
        <w:rPr>
          <w:bCs/>
          <w:szCs w:val="24"/>
        </w:rPr>
        <w:t>instanc</w:t>
      </w:r>
      <w:r w:rsidR="00034C36">
        <w:rPr>
          <w:bCs/>
          <w:szCs w:val="24"/>
        </w:rPr>
        <w:t>es tiesā</w:t>
      </w:r>
      <w:r>
        <w:rPr>
          <w:bCs/>
          <w:szCs w:val="24"/>
        </w:rPr>
        <w:t xml:space="preserve"> iztiesāto </w:t>
      </w:r>
      <w:r w:rsidR="00034C36">
        <w:rPr>
          <w:bCs/>
          <w:szCs w:val="24"/>
        </w:rPr>
        <w:t>krimināl</w:t>
      </w:r>
      <w:r>
        <w:rPr>
          <w:bCs/>
          <w:szCs w:val="24"/>
        </w:rPr>
        <w:t xml:space="preserve">lietu skaita samazinājums. Izņēmums ir Ludzas rajona prokuratūra, kuras rādītāji skatāmi kontekstā ar tiesai nodoto krimināllietu skaita palielinājumu. Vēsturiski nemainīgi visās </w:t>
      </w:r>
      <w:r w:rsidR="00034C36">
        <w:rPr>
          <w:bCs/>
          <w:szCs w:val="24"/>
        </w:rPr>
        <w:t xml:space="preserve">Latgales </w:t>
      </w:r>
      <w:r w:rsidR="00034C36">
        <w:rPr>
          <w:rFonts w:cs="Times New Roman"/>
          <w:bCs/>
          <w:szCs w:val="24"/>
        </w:rPr>
        <w:t>tiesas apgabala prokuratūras darbības teritorijā ietilpstošajās rajona līmeņa prokuratūrās</w:t>
      </w:r>
      <w:r>
        <w:rPr>
          <w:bCs/>
          <w:szCs w:val="24"/>
        </w:rPr>
        <w:t xml:space="preserve"> 70</w:t>
      </w:r>
      <w:r w:rsidR="00034C36">
        <w:rPr>
          <w:bCs/>
          <w:szCs w:val="24"/>
        </w:rPr>
        <w:t> – </w:t>
      </w:r>
      <w:r>
        <w:rPr>
          <w:bCs/>
          <w:szCs w:val="24"/>
        </w:rPr>
        <w:t>85</w:t>
      </w:r>
      <w:r w:rsidR="00034C36">
        <w:rPr>
          <w:bCs/>
          <w:szCs w:val="24"/>
        </w:rPr>
        <w:t> </w:t>
      </w:r>
      <w:r>
        <w:rPr>
          <w:bCs/>
          <w:szCs w:val="24"/>
        </w:rPr>
        <w:t xml:space="preserve">% </w:t>
      </w:r>
      <w:r w:rsidR="00034C36">
        <w:rPr>
          <w:bCs/>
          <w:szCs w:val="24"/>
        </w:rPr>
        <w:t>krimināl</w:t>
      </w:r>
      <w:r>
        <w:rPr>
          <w:bCs/>
          <w:szCs w:val="24"/>
        </w:rPr>
        <w:t>lietu tiek iztiesātas bez pierādījumu pārbaudes.</w:t>
      </w:r>
    </w:p>
    <w:p w14:paraId="148E1E4D" w14:textId="2B2D197C" w:rsidR="009E2CCD" w:rsidRDefault="009E2CCD" w:rsidP="009E2CCD">
      <w:pPr>
        <w:spacing w:after="0" w:line="240" w:lineRule="auto"/>
        <w:jc w:val="both"/>
        <w:rPr>
          <w:bCs/>
          <w:szCs w:val="24"/>
        </w:rPr>
      </w:pPr>
    </w:p>
    <w:p w14:paraId="34F06BA3" w14:textId="02017C1B" w:rsidR="00934224" w:rsidRPr="00323378" w:rsidRDefault="009E2CCD" w:rsidP="00E329FC">
      <w:pPr>
        <w:pStyle w:val="ListParagraph"/>
        <w:numPr>
          <w:ilvl w:val="0"/>
          <w:numId w:val="51"/>
        </w:numPr>
        <w:spacing w:after="120" w:line="240" w:lineRule="auto"/>
        <w:ind w:left="714" w:hanging="357"/>
        <w:jc w:val="both"/>
        <w:rPr>
          <w:b/>
          <w:szCs w:val="24"/>
        </w:rPr>
      </w:pPr>
      <w:r>
        <w:rPr>
          <w:b/>
          <w:szCs w:val="24"/>
        </w:rPr>
        <w:t>Iesniegti protesti, no tiem apmierināti</w:t>
      </w:r>
    </w:p>
    <w:p w14:paraId="613DA2EB" w14:textId="34707553" w:rsidR="00934224" w:rsidRDefault="00934224" w:rsidP="00323378">
      <w:pPr>
        <w:spacing w:after="0"/>
        <w:jc w:val="center"/>
        <w:rPr>
          <w:bCs/>
          <w:szCs w:val="24"/>
        </w:rPr>
      </w:pPr>
      <w:r>
        <w:rPr>
          <w:noProof/>
        </w:rPr>
        <w:drawing>
          <wp:inline distT="0" distB="0" distL="0" distR="0" wp14:anchorId="49F97F0D" wp14:editId="73E3F9CD">
            <wp:extent cx="5448300" cy="2673350"/>
            <wp:effectExtent l="0" t="0" r="0" b="12700"/>
            <wp:docPr id="74" name="Chart 74">
              <a:extLst xmlns:a="http://schemas.openxmlformats.org/drawingml/2006/main">
                <a:ext uri="{FF2B5EF4-FFF2-40B4-BE49-F238E27FC236}">
                  <a16:creationId xmlns:a16="http://schemas.microsoft.com/office/drawing/2014/main" id="{00000000-0008-0000-01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3110074" w14:textId="5E4B24E6" w:rsidR="00323378" w:rsidRDefault="00323378" w:rsidP="00323378">
      <w:pPr>
        <w:spacing w:after="0"/>
        <w:rPr>
          <w:bCs/>
          <w:szCs w:val="24"/>
        </w:rPr>
      </w:pPr>
    </w:p>
    <w:p w14:paraId="149FEB83" w14:textId="1CD29160" w:rsidR="00934224" w:rsidRDefault="00323378" w:rsidP="006A5C2B">
      <w:pPr>
        <w:spacing w:after="0" w:line="240" w:lineRule="auto"/>
        <w:jc w:val="both"/>
        <w:rPr>
          <w:bCs/>
          <w:szCs w:val="24"/>
        </w:rPr>
      </w:pPr>
      <w:r>
        <w:rPr>
          <w:bCs/>
          <w:szCs w:val="24"/>
        </w:rPr>
        <w:tab/>
        <w:t>Kontekstā</w:t>
      </w:r>
      <w:r w:rsidR="00934224" w:rsidRPr="00515A32">
        <w:rPr>
          <w:bCs/>
          <w:szCs w:val="24"/>
        </w:rPr>
        <w:t xml:space="preserve"> ar iztiesāto </w:t>
      </w:r>
      <w:r w:rsidR="00034C36">
        <w:rPr>
          <w:bCs/>
          <w:szCs w:val="24"/>
        </w:rPr>
        <w:t>krimināl</w:t>
      </w:r>
      <w:r w:rsidR="00934224" w:rsidRPr="00515A32">
        <w:rPr>
          <w:bCs/>
          <w:szCs w:val="24"/>
        </w:rPr>
        <w:t xml:space="preserve">lietu skaita samazinājumu likumsakarīgs ir </w:t>
      </w:r>
      <w:r w:rsidR="00034C36">
        <w:rPr>
          <w:bCs/>
          <w:szCs w:val="24"/>
        </w:rPr>
        <w:t xml:space="preserve">prokuroru </w:t>
      </w:r>
      <w:r w:rsidR="00934224" w:rsidRPr="00515A32">
        <w:rPr>
          <w:bCs/>
          <w:szCs w:val="24"/>
        </w:rPr>
        <w:t xml:space="preserve">iesniegto protestu skaita samazinājums. </w:t>
      </w:r>
      <w:r w:rsidR="00934224">
        <w:rPr>
          <w:bCs/>
          <w:szCs w:val="24"/>
        </w:rPr>
        <w:t xml:space="preserve">Izņēmums ir Balvu rajona prokuratūra, kur </w:t>
      </w:r>
      <w:r w:rsidR="00034C36">
        <w:rPr>
          <w:bCs/>
          <w:szCs w:val="24"/>
        </w:rPr>
        <w:t xml:space="preserve">prokuroru </w:t>
      </w:r>
      <w:r w:rsidR="00934224">
        <w:rPr>
          <w:bCs/>
          <w:szCs w:val="24"/>
        </w:rPr>
        <w:t xml:space="preserve">iesniegto protestu skaits palielinājies vairāk </w:t>
      </w:r>
      <w:r>
        <w:rPr>
          <w:bCs/>
          <w:szCs w:val="24"/>
        </w:rPr>
        <w:t>ne</w:t>
      </w:r>
      <w:r w:rsidR="00934224">
        <w:rPr>
          <w:bCs/>
          <w:szCs w:val="24"/>
        </w:rPr>
        <w:t>kā divas reizes. Prokurori aktīvāk iesniedz protestus par tiesas noteikto sodu krimināllietās par ekonomiskajiem</w:t>
      </w:r>
      <w:r w:rsidR="00034C36">
        <w:rPr>
          <w:bCs/>
          <w:szCs w:val="24"/>
        </w:rPr>
        <w:t xml:space="preserve"> noziedzīgajiem nodarījumiem un</w:t>
      </w:r>
      <w:r w:rsidR="00934224">
        <w:rPr>
          <w:bCs/>
          <w:szCs w:val="24"/>
        </w:rPr>
        <w:t xml:space="preserve"> par tiesas pieļautajiem procesuālajiem pārkāpumiem. </w:t>
      </w:r>
    </w:p>
    <w:p w14:paraId="0203A8FD" w14:textId="6176A576" w:rsidR="008530D0" w:rsidRDefault="008530D0" w:rsidP="00B97004">
      <w:pPr>
        <w:spacing w:after="0"/>
        <w:jc w:val="both"/>
        <w:rPr>
          <w:bCs/>
          <w:szCs w:val="24"/>
        </w:rPr>
      </w:pPr>
    </w:p>
    <w:p w14:paraId="7A521956" w14:textId="4D9BA92B" w:rsidR="00B97004" w:rsidRPr="00B97004" w:rsidRDefault="00B97004" w:rsidP="00E329FC">
      <w:pPr>
        <w:pStyle w:val="ListParagraph"/>
        <w:numPr>
          <w:ilvl w:val="0"/>
          <w:numId w:val="51"/>
        </w:numPr>
        <w:spacing w:after="120"/>
        <w:ind w:left="714" w:hanging="357"/>
        <w:jc w:val="both"/>
        <w:rPr>
          <w:b/>
          <w:szCs w:val="24"/>
        </w:rPr>
      </w:pPr>
      <w:r>
        <w:rPr>
          <w:b/>
          <w:szCs w:val="24"/>
        </w:rPr>
        <w:lastRenderedPageBreak/>
        <w:t>Izlemtas sūdzības, no tām apmierinātas</w:t>
      </w:r>
    </w:p>
    <w:p w14:paraId="5C6EBFD5" w14:textId="4D38553F" w:rsidR="00934224" w:rsidRDefault="00934224" w:rsidP="00640CB5">
      <w:pPr>
        <w:spacing w:after="0"/>
        <w:jc w:val="center"/>
        <w:rPr>
          <w:bCs/>
          <w:szCs w:val="24"/>
        </w:rPr>
      </w:pPr>
      <w:r>
        <w:rPr>
          <w:noProof/>
        </w:rPr>
        <w:drawing>
          <wp:inline distT="0" distB="0" distL="0" distR="0" wp14:anchorId="2969C4E2" wp14:editId="5B410118">
            <wp:extent cx="5391150" cy="2425700"/>
            <wp:effectExtent l="0" t="0" r="0" b="12700"/>
            <wp:docPr id="130" name="Chart 130">
              <a:extLst xmlns:a="http://schemas.openxmlformats.org/drawingml/2006/main">
                <a:ext uri="{FF2B5EF4-FFF2-40B4-BE49-F238E27FC236}">
                  <a16:creationId xmlns:a16="http://schemas.microsoft.com/office/drawing/2014/main" id="{00000000-0008-0000-01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EBCE001" w14:textId="77777777" w:rsidR="008530D0" w:rsidRDefault="008530D0" w:rsidP="008530D0">
      <w:pPr>
        <w:spacing w:after="0"/>
        <w:jc w:val="center"/>
        <w:rPr>
          <w:bCs/>
          <w:szCs w:val="24"/>
        </w:rPr>
      </w:pPr>
    </w:p>
    <w:p w14:paraId="1FC24478" w14:textId="675CE94D" w:rsidR="00934224" w:rsidRDefault="00934224" w:rsidP="008530D0">
      <w:pPr>
        <w:spacing w:after="0" w:line="240" w:lineRule="auto"/>
        <w:jc w:val="both"/>
        <w:rPr>
          <w:szCs w:val="24"/>
        </w:rPr>
      </w:pPr>
      <w:r>
        <w:rPr>
          <w:szCs w:val="24"/>
        </w:rPr>
        <w:tab/>
      </w:r>
      <w:r w:rsidRPr="00515A32">
        <w:rPr>
          <w:szCs w:val="24"/>
        </w:rPr>
        <w:t>Izlemto sūdzību skaits saglabājies izteikti augsts</w:t>
      </w:r>
      <w:r>
        <w:rPr>
          <w:szCs w:val="24"/>
        </w:rPr>
        <w:t xml:space="preserve"> Daugavpils </w:t>
      </w:r>
      <w:r w:rsidR="00D801BE">
        <w:rPr>
          <w:szCs w:val="24"/>
        </w:rPr>
        <w:t xml:space="preserve">prokuratūrā </w:t>
      </w:r>
      <w:r>
        <w:rPr>
          <w:szCs w:val="24"/>
        </w:rPr>
        <w:t>un Rēzeknes prokuratūrās</w:t>
      </w:r>
      <w:r w:rsidRPr="00515A32">
        <w:rPr>
          <w:szCs w:val="24"/>
        </w:rPr>
        <w:t xml:space="preserve">. Vienlaikus </w:t>
      </w:r>
      <w:r>
        <w:rPr>
          <w:szCs w:val="24"/>
        </w:rPr>
        <w:t>Balvu</w:t>
      </w:r>
      <w:r w:rsidRPr="00515A32">
        <w:rPr>
          <w:szCs w:val="24"/>
        </w:rPr>
        <w:t xml:space="preserve"> rajona prokuratūras rādītāji sūdzību izlemšanā ļauj domāt, ka sūdzību skaita samazinājuma risinājumi tomēr ir iespējami.</w:t>
      </w:r>
    </w:p>
    <w:p w14:paraId="726F0C08" w14:textId="627F4040" w:rsidR="006F6614" w:rsidRDefault="006F6614" w:rsidP="00D801BE">
      <w:pPr>
        <w:spacing w:after="0"/>
        <w:jc w:val="both"/>
        <w:rPr>
          <w:szCs w:val="24"/>
        </w:rPr>
      </w:pPr>
    </w:p>
    <w:p w14:paraId="1CCC6512" w14:textId="67469E5B" w:rsidR="006F6614" w:rsidRPr="00B41DBE" w:rsidRDefault="002055F8" w:rsidP="00034C36">
      <w:pPr>
        <w:spacing w:after="0" w:line="240" w:lineRule="auto"/>
        <w:ind w:firstLine="720"/>
        <w:jc w:val="both"/>
      </w:pPr>
      <w:r>
        <w:rPr>
          <w:szCs w:val="24"/>
        </w:rPr>
        <w:t xml:space="preserve">Kopumā par </w:t>
      </w:r>
      <w:r w:rsidR="006F6614" w:rsidRPr="00B41DBE">
        <w:t xml:space="preserve">Latgales </w:t>
      </w:r>
      <w:r w:rsidR="00034C36">
        <w:rPr>
          <w:rFonts w:cs="Times New Roman"/>
          <w:bCs/>
          <w:szCs w:val="24"/>
        </w:rPr>
        <w:t>tiesas apgabala prokuratūras un tās darbības teritorijā ietilpstošo rajona līmeņa prokuratūru</w:t>
      </w:r>
      <w:r w:rsidR="00034C36">
        <w:rPr>
          <w:bCs/>
          <w:szCs w:val="24"/>
        </w:rPr>
        <w:t xml:space="preserve"> </w:t>
      </w:r>
      <w:r>
        <w:t>darbu jā</w:t>
      </w:r>
      <w:r w:rsidR="00034C36">
        <w:t>at</w:t>
      </w:r>
      <w:r>
        <w:t xml:space="preserve">zīmē, ka </w:t>
      </w:r>
      <w:r w:rsidR="006F6614" w:rsidRPr="00B41DBE">
        <w:t>prokurori uzrauga</w:t>
      </w:r>
      <w:r w:rsidR="00034C36">
        <w:t xml:space="preserve"> izmeklēšanu</w:t>
      </w:r>
      <w:r w:rsidR="006F6614" w:rsidRPr="00B41DBE">
        <w:t xml:space="preserve">, veic kriminālvajāšanu un uztur valsts apsūdzību </w:t>
      </w:r>
      <w:r w:rsidR="00034C36">
        <w:t xml:space="preserve">par </w:t>
      </w:r>
      <w:r w:rsidR="006F6614" w:rsidRPr="00B41DBE">
        <w:t>visu kategoriju</w:t>
      </w:r>
      <w:r w:rsidR="00034C36">
        <w:t xml:space="preserve"> noziedzīgajiem nodarījumiem </w:t>
      </w:r>
      <w:r w:rsidR="006F6614" w:rsidRPr="00B41DBE">
        <w:t>dažādas sarežģītības pakāpes</w:t>
      </w:r>
      <w:r w:rsidR="00034C36">
        <w:t xml:space="preserve"> </w:t>
      </w:r>
      <w:r w:rsidR="006F6614" w:rsidRPr="00B41DBE">
        <w:t>kriminālprocesos, tai skaitā par nonāvēšanu, noziedzīgiem nodarījumiem  pret personas veselību, īpašumu, personas brīvību, godu, cieņu, noziedzīgiem  nodarījumiem tautsaimniecības jomā, noziedzīgiem nodarījumiem pret vispārējo drošību un sabiedrisko kārtību, pret satiksmes drošību un pārvaldības kārtību, jurisdikciju, kā arī noziedzīgiem nodarījumiem valsts institūciju dienestā.</w:t>
      </w:r>
    </w:p>
    <w:p w14:paraId="39D66F7F" w14:textId="77777777" w:rsidR="00034C36" w:rsidRDefault="006F6614" w:rsidP="006F6614">
      <w:pPr>
        <w:spacing w:after="0" w:line="240" w:lineRule="auto"/>
        <w:ind w:firstLine="720"/>
        <w:jc w:val="both"/>
      </w:pPr>
      <w:r w:rsidRPr="00B41DBE">
        <w:t>Pozitīvā nozīmē jāizceļ</w:t>
      </w:r>
      <w:r w:rsidR="00034C36">
        <w:t>:</w:t>
      </w:r>
    </w:p>
    <w:p w14:paraId="45C92E34" w14:textId="7B36C8C4" w:rsidR="00034C36" w:rsidRDefault="006F6614" w:rsidP="00E329FC">
      <w:pPr>
        <w:pStyle w:val="ListParagraph"/>
        <w:numPr>
          <w:ilvl w:val="0"/>
          <w:numId w:val="57"/>
        </w:numPr>
        <w:spacing w:after="0" w:line="240" w:lineRule="auto"/>
        <w:jc w:val="both"/>
      </w:pPr>
      <w:r w:rsidRPr="00B41DBE">
        <w:t>Daugavpils prokuratūras prokurori, kuri 2020.</w:t>
      </w:r>
      <w:r w:rsidR="00034C36">
        <w:t> </w:t>
      </w:r>
      <w:r w:rsidRPr="00B41DBE">
        <w:t>gadā tiesai nodeva 7</w:t>
      </w:r>
      <w:r w:rsidR="00034C36">
        <w:t> </w:t>
      </w:r>
      <w:r w:rsidRPr="00B41DBE">
        <w:t>krimināl</w:t>
      </w:r>
      <w:r w:rsidR="00034C36">
        <w:t>lietas</w:t>
      </w:r>
      <w:r w:rsidRPr="00B41DBE">
        <w:t xml:space="preserve"> par noziedzīgi iegūtu līdzekļu legaliz</w:t>
      </w:r>
      <w:r w:rsidR="00034C36">
        <w:t>ēšanu</w:t>
      </w:r>
      <w:r w:rsidRPr="00B41DBE">
        <w:t>, no kur</w:t>
      </w:r>
      <w:r w:rsidR="00034C36">
        <w:t>ām</w:t>
      </w:r>
      <w:r w:rsidRPr="00B41DBE">
        <w:t xml:space="preserve"> 5</w:t>
      </w:r>
      <w:r w:rsidR="00034C36">
        <w:t xml:space="preserve"> krimināllietas </w:t>
      </w:r>
      <w:r w:rsidRPr="00B41DBE">
        <w:t>nodot</w:t>
      </w:r>
      <w:r w:rsidR="00034C36">
        <w:t xml:space="preserve">as tiesai </w:t>
      </w:r>
      <w:r w:rsidRPr="00B41DBE">
        <w:t xml:space="preserve">vienošanās </w:t>
      </w:r>
      <w:r w:rsidR="00034C36">
        <w:t xml:space="preserve">procesa </w:t>
      </w:r>
      <w:r w:rsidRPr="00B41DBE">
        <w:t>kārtībā</w:t>
      </w:r>
      <w:r w:rsidR="00034C36">
        <w:t>. Turklāt Daugavpils prokuratūras prokurori 1 </w:t>
      </w:r>
      <w:r w:rsidRPr="00B41DBE">
        <w:t>krimin</w:t>
      </w:r>
      <w:r w:rsidR="00034C36">
        <w:t>āllietu</w:t>
      </w:r>
      <w:r w:rsidRPr="00B41DBE">
        <w:t xml:space="preserve"> paātrinātā procesa kārtībā un 3</w:t>
      </w:r>
      <w:r w:rsidR="00034C36">
        <w:t> </w:t>
      </w:r>
      <w:r w:rsidRPr="00B41DBE">
        <w:t>krimināl</w:t>
      </w:r>
      <w:r w:rsidR="00034C36">
        <w:t>lietas</w:t>
      </w:r>
      <w:r w:rsidRPr="00B41DBE">
        <w:t xml:space="preserve"> vienošanās </w:t>
      </w:r>
      <w:r w:rsidR="00034C36">
        <w:t xml:space="preserve">procesa </w:t>
      </w:r>
      <w:r w:rsidRPr="00B41DBE">
        <w:t xml:space="preserve">kārtībā </w:t>
      </w:r>
      <w:r w:rsidR="00034C36">
        <w:t xml:space="preserve">nodeva tiesai </w:t>
      </w:r>
      <w:r w:rsidRPr="00B41DBE">
        <w:t>par kontrabandu, 1</w:t>
      </w:r>
      <w:r w:rsidR="00034C36">
        <w:t>1 krimināllietas</w:t>
      </w:r>
      <w:r w:rsidRPr="00B41DBE">
        <w:t xml:space="preserve"> vienošanās </w:t>
      </w:r>
      <w:r w:rsidR="00034C36">
        <w:t xml:space="preserve">procesa </w:t>
      </w:r>
      <w:r w:rsidRPr="00B41DBE">
        <w:t xml:space="preserve">kārtībā </w:t>
      </w:r>
      <w:r w:rsidR="00034C36">
        <w:t xml:space="preserve">nodeva tiesai </w:t>
      </w:r>
      <w:r w:rsidRPr="00B41DBE">
        <w:t>par kukuļošanu</w:t>
      </w:r>
      <w:r w:rsidR="00034C36">
        <w:t>;</w:t>
      </w:r>
    </w:p>
    <w:p w14:paraId="07DDD3E5" w14:textId="77777777" w:rsidR="00034C36" w:rsidRDefault="006F6614" w:rsidP="00E329FC">
      <w:pPr>
        <w:pStyle w:val="ListParagraph"/>
        <w:numPr>
          <w:ilvl w:val="0"/>
          <w:numId w:val="57"/>
        </w:numPr>
        <w:spacing w:after="0" w:line="240" w:lineRule="auto"/>
        <w:jc w:val="both"/>
      </w:pPr>
      <w:r w:rsidRPr="00B41DBE">
        <w:t>Ludzas rajona prokuratūras prokurori, kuri 2020.</w:t>
      </w:r>
      <w:r w:rsidR="00034C36">
        <w:t> </w:t>
      </w:r>
      <w:r w:rsidRPr="00B41DBE">
        <w:t>gadā tiesai nodeva 4</w:t>
      </w:r>
      <w:r w:rsidR="00034C36">
        <w:t> </w:t>
      </w:r>
      <w:r w:rsidRPr="00B41DBE">
        <w:t>krimināl</w:t>
      </w:r>
      <w:r w:rsidR="00034C36">
        <w:t>lietas</w:t>
      </w:r>
      <w:r w:rsidRPr="00B41DBE">
        <w:t xml:space="preserve"> vienošanās </w:t>
      </w:r>
      <w:r w:rsidR="00034C36">
        <w:t xml:space="preserve">procesa </w:t>
      </w:r>
      <w:r w:rsidRPr="00B41DBE">
        <w:t>kārtībā par kontrabandu, 1</w:t>
      </w:r>
      <w:r w:rsidR="00034C36">
        <w:t> </w:t>
      </w:r>
      <w:r w:rsidRPr="00B41DBE">
        <w:t>kriminā</w:t>
      </w:r>
      <w:r w:rsidR="00034C36">
        <w:t xml:space="preserve">llietu </w:t>
      </w:r>
      <w:r w:rsidRPr="00B41DBE">
        <w:t>paātrinātā procesa kārtībā un 4</w:t>
      </w:r>
      <w:r w:rsidR="00034C36">
        <w:t> </w:t>
      </w:r>
      <w:r w:rsidRPr="00B41DBE">
        <w:t>krimināl</w:t>
      </w:r>
      <w:r w:rsidR="00034C36">
        <w:t>lietas</w:t>
      </w:r>
      <w:r w:rsidRPr="00B41DBE">
        <w:t xml:space="preserve"> vienošanās </w:t>
      </w:r>
      <w:r w:rsidR="00034C36">
        <w:t xml:space="preserve">procesa </w:t>
      </w:r>
      <w:r w:rsidRPr="00B41DBE">
        <w:t>kārtībā par kukuļošanu</w:t>
      </w:r>
      <w:r w:rsidR="00034C36">
        <w:t>;</w:t>
      </w:r>
    </w:p>
    <w:p w14:paraId="4310C059" w14:textId="6B0CE61C" w:rsidR="002055F8" w:rsidRDefault="006F6614" w:rsidP="00E329FC">
      <w:pPr>
        <w:pStyle w:val="ListParagraph"/>
        <w:numPr>
          <w:ilvl w:val="0"/>
          <w:numId w:val="57"/>
        </w:numPr>
        <w:spacing w:after="0" w:line="240" w:lineRule="auto"/>
        <w:jc w:val="both"/>
      </w:pPr>
      <w:r w:rsidRPr="00B41DBE">
        <w:t>Krāslavas rajona prokuratūras prokurori, kuri 2020.</w:t>
      </w:r>
      <w:r w:rsidR="00034C36">
        <w:t> </w:t>
      </w:r>
      <w:r w:rsidRPr="00B41DBE">
        <w:t xml:space="preserve">gadā tiesai </w:t>
      </w:r>
      <w:r w:rsidR="00034C36">
        <w:t xml:space="preserve">nodeva </w:t>
      </w:r>
      <w:r w:rsidRPr="00B41DBE">
        <w:t>4</w:t>
      </w:r>
      <w:r w:rsidR="00034C36">
        <w:t> </w:t>
      </w:r>
      <w:r w:rsidRPr="00B41DBE">
        <w:t>krimināl</w:t>
      </w:r>
      <w:r w:rsidR="00034C36">
        <w:t>lietas</w:t>
      </w:r>
      <w:r w:rsidRPr="00B41DBE">
        <w:t xml:space="preserve"> </w:t>
      </w:r>
      <w:r w:rsidR="00034C36" w:rsidRPr="00B41DBE">
        <w:t>vienošan</w:t>
      </w:r>
      <w:r w:rsidR="00034C36">
        <w:t>ā</w:t>
      </w:r>
      <w:r w:rsidR="00034C36" w:rsidRPr="00B41DBE">
        <w:t xml:space="preserve">s </w:t>
      </w:r>
      <w:r w:rsidR="00034C36">
        <w:t xml:space="preserve">procesa </w:t>
      </w:r>
      <w:r w:rsidR="00034C36" w:rsidRPr="00B41DBE">
        <w:t xml:space="preserve">kārtībā </w:t>
      </w:r>
      <w:r w:rsidRPr="00B41DBE">
        <w:t>par kontrabandu un neatļautām darbībām ar muitošanai pakļautām precēm, 1</w:t>
      </w:r>
      <w:r w:rsidR="00034C36">
        <w:t> </w:t>
      </w:r>
      <w:r w:rsidRPr="00B41DBE">
        <w:t>krimināl</w:t>
      </w:r>
      <w:r w:rsidR="00034C36">
        <w:t>lietu</w:t>
      </w:r>
      <w:r w:rsidRPr="00B41DBE">
        <w:t xml:space="preserve"> paātrināt</w:t>
      </w:r>
      <w:r>
        <w:t>ā</w:t>
      </w:r>
      <w:r w:rsidRPr="00B41DBE">
        <w:t xml:space="preserve"> procesa kārtībā un </w:t>
      </w:r>
      <w:r w:rsidR="00034C36">
        <w:t>7 </w:t>
      </w:r>
      <w:r w:rsidRPr="00B41DBE">
        <w:t>krimināl</w:t>
      </w:r>
      <w:r w:rsidR="00034C36">
        <w:t>lietas</w:t>
      </w:r>
      <w:r w:rsidRPr="00B41DBE">
        <w:t xml:space="preserve"> vienošanās </w:t>
      </w:r>
      <w:r w:rsidR="00034C36">
        <w:t xml:space="preserve">procesa </w:t>
      </w:r>
      <w:r w:rsidRPr="00B41DBE">
        <w:t>kārtībā par kukuļošanu.</w:t>
      </w:r>
    </w:p>
    <w:p w14:paraId="197C279B" w14:textId="1ECC2F77" w:rsidR="006F6614" w:rsidRPr="00B41DBE" w:rsidRDefault="00CB13E7" w:rsidP="00034C36">
      <w:pPr>
        <w:spacing w:after="0" w:line="240" w:lineRule="auto"/>
        <w:ind w:firstLine="720"/>
        <w:jc w:val="both"/>
      </w:pPr>
      <w:r>
        <w:t>Pastiprinātu</w:t>
      </w:r>
      <w:r w:rsidR="00034C36" w:rsidRPr="00B41DBE">
        <w:t xml:space="preserve"> uzmanību Latgales tiesas apgabal</w:t>
      </w:r>
      <w:r w:rsidR="00034C36">
        <w:t xml:space="preserve">a prokuratūras un tās darbības teritorijā </w:t>
      </w:r>
      <w:r w:rsidR="00034C36" w:rsidRPr="00B41DBE">
        <w:t>ietilpstošo</w:t>
      </w:r>
      <w:r w:rsidR="00034C36">
        <w:t xml:space="preserve"> rajona līmeņa</w:t>
      </w:r>
      <w:r w:rsidR="00034C36" w:rsidRPr="00B41DBE">
        <w:t xml:space="preserve"> prokuratūr</w:t>
      </w:r>
      <w:r w:rsidR="00034C36">
        <w:t>u</w:t>
      </w:r>
      <w:r w:rsidR="00034C36" w:rsidRPr="00B41DBE">
        <w:t xml:space="preserve"> prokurori pievērš </w:t>
      </w:r>
      <w:r w:rsidR="00034C36">
        <w:t xml:space="preserve">izmeklēšanas </w:t>
      </w:r>
      <w:r w:rsidR="00034C36" w:rsidRPr="00B41DBE">
        <w:t>uzraudzībai, kriminālvajāšanai un valsts apsūdzības uzturēšanai</w:t>
      </w:r>
      <w:r w:rsidR="00034C36">
        <w:t xml:space="preserve"> par</w:t>
      </w:r>
      <w:r w:rsidR="00047478">
        <w:t xml:space="preserve"> </w:t>
      </w:r>
      <w:r w:rsidR="00034C36">
        <w:t>noziedzīgiem nodarījumiem, kuri atzīti</w:t>
      </w:r>
      <w:r>
        <w:t xml:space="preserve"> par īpaši aktuāliem</w:t>
      </w:r>
      <w:r w:rsidR="00034C36">
        <w:t xml:space="preserve"> saskaņā ar </w:t>
      </w:r>
      <w:r w:rsidR="00034C36" w:rsidRPr="00B41DBE">
        <w:t xml:space="preserve">Ģenerālprokuratūras Krimināltiesiskā departamenta virsprokurora rīkojumu </w:t>
      </w:r>
      <w:r w:rsidR="00034C36" w:rsidRPr="00B41DBE">
        <w:rPr>
          <w:i/>
        </w:rPr>
        <w:t>Par īpaši aktuālām krimināllietām</w:t>
      </w:r>
      <w:r w:rsidR="00034C36">
        <w:t xml:space="preserve">. </w:t>
      </w:r>
      <w:r w:rsidR="00034C36" w:rsidRPr="00B41DBE">
        <w:rPr>
          <w:iCs/>
        </w:rPr>
        <w:t>2020.</w:t>
      </w:r>
      <w:r w:rsidR="00034C36">
        <w:rPr>
          <w:iCs/>
        </w:rPr>
        <w:t> </w:t>
      </w:r>
      <w:r w:rsidR="00034C36" w:rsidRPr="00B41DBE">
        <w:rPr>
          <w:iCs/>
        </w:rPr>
        <w:t>gadā ties</w:t>
      </w:r>
      <w:r w:rsidR="006A5C2B">
        <w:rPr>
          <w:iCs/>
        </w:rPr>
        <w:t>ai</w:t>
      </w:r>
      <w:r w:rsidR="00034C36" w:rsidRPr="00B41DBE">
        <w:rPr>
          <w:iCs/>
        </w:rPr>
        <w:t xml:space="preserve"> tika nodot</w:t>
      </w:r>
      <w:r w:rsidR="00034C36">
        <w:rPr>
          <w:iCs/>
        </w:rPr>
        <w:t>as</w:t>
      </w:r>
      <w:r w:rsidR="00034C36" w:rsidRPr="00B41DBE">
        <w:rPr>
          <w:iCs/>
        </w:rPr>
        <w:t xml:space="preserve"> 102</w:t>
      </w:r>
      <w:r>
        <w:rPr>
          <w:iCs/>
        </w:rPr>
        <w:t> </w:t>
      </w:r>
      <w:r w:rsidR="00034C36" w:rsidRPr="00B41DBE">
        <w:rPr>
          <w:iCs/>
        </w:rPr>
        <w:t>kriminā</w:t>
      </w:r>
      <w:r w:rsidR="00034C36">
        <w:rPr>
          <w:iCs/>
        </w:rPr>
        <w:t xml:space="preserve">llietas par </w:t>
      </w:r>
      <w:r w:rsidR="00034C36" w:rsidRPr="00394754">
        <w:rPr>
          <w:iCs/>
        </w:rPr>
        <w:t>noziedzīgie</w:t>
      </w:r>
      <w:r w:rsidR="00034C36">
        <w:rPr>
          <w:iCs/>
        </w:rPr>
        <w:t>m</w:t>
      </w:r>
      <w:r w:rsidR="00034C36" w:rsidRPr="00394754">
        <w:rPr>
          <w:iCs/>
        </w:rPr>
        <w:t xml:space="preserve"> </w:t>
      </w:r>
      <w:r w:rsidR="00034C36" w:rsidRPr="00B41DBE">
        <w:rPr>
          <w:iCs/>
        </w:rPr>
        <w:t>nodarījumi</w:t>
      </w:r>
      <w:r w:rsidR="00034C36">
        <w:rPr>
          <w:iCs/>
        </w:rPr>
        <w:t>em, kas</w:t>
      </w:r>
      <w:r w:rsidR="00034C36" w:rsidRPr="00B41DBE">
        <w:rPr>
          <w:iCs/>
        </w:rPr>
        <w:t xml:space="preserve"> atzīti par īpaši aktuāliem.</w:t>
      </w:r>
      <w:r w:rsidR="00034C36">
        <w:t xml:space="preserve"> </w:t>
      </w:r>
      <w:r w:rsidR="006F6614" w:rsidRPr="00B41DBE">
        <w:t>Salīdzinājumā ar iepriekšējiem 2</w:t>
      </w:r>
      <w:r w:rsidR="00034C36">
        <w:t> </w:t>
      </w:r>
      <w:r w:rsidR="006F6614" w:rsidRPr="00B41DBE">
        <w:t>gadiem secināms, ka īpaši aktuālo krimināl</w:t>
      </w:r>
      <w:r w:rsidR="00034C36">
        <w:t>lietu</w:t>
      </w:r>
      <w:r w:rsidR="006F6614" w:rsidRPr="00B41DBE">
        <w:t>, kas nodot</w:t>
      </w:r>
      <w:r w:rsidR="00034C36">
        <w:t xml:space="preserve">as </w:t>
      </w:r>
      <w:r w:rsidR="006F6614" w:rsidRPr="00B41DBE">
        <w:t>tiesai</w:t>
      </w:r>
      <w:r w:rsidR="00034C36">
        <w:t>, skaits</w:t>
      </w:r>
      <w:r w:rsidR="006F6614" w:rsidRPr="00B41DBE">
        <w:t xml:space="preserve"> ir būtiski palielinājies</w:t>
      </w:r>
      <w:r w:rsidR="00034C36">
        <w:t xml:space="preserve"> (</w:t>
      </w:r>
      <w:r w:rsidR="006F6614" w:rsidRPr="00B41DBE">
        <w:t>2019.</w:t>
      </w:r>
      <w:r w:rsidR="00034C36">
        <w:t> </w:t>
      </w:r>
      <w:r w:rsidR="006F6614" w:rsidRPr="00B41DBE">
        <w:t>gadā tiesai tika nodot</w:t>
      </w:r>
      <w:r w:rsidR="00034C36">
        <w:t>as</w:t>
      </w:r>
      <w:r w:rsidR="006F6614" w:rsidRPr="00B41DBE">
        <w:t xml:space="preserve"> 5</w:t>
      </w:r>
      <w:r w:rsidR="00034C36">
        <w:t>6 </w:t>
      </w:r>
      <w:r w:rsidR="006F6614" w:rsidRPr="00B41DBE">
        <w:t>īpaši aktuāl</w:t>
      </w:r>
      <w:r w:rsidR="00034C36">
        <w:t>ās</w:t>
      </w:r>
      <w:r w:rsidR="006F6614" w:rsidRPr="00B41DBE">
        <w:t xml:space="preserve"> krimināl</w:t>
      </w:r>
      <w:r w:rsidR="00034C36">
        <w:t>lietas</w:t>
      </w:r>
      <w:r w:rsidR="006F6614" w:rsidRPr="00B41DBE">
        <w:t>, 2018.</w:t>
      </w:r>
      <w:r w:rsidR="00034C36">
        <w:t> </w:t>
      </w:r>
      <w:r w:rsidR="006F6614" w:rsidRPr="00B41DBE">
        <w:t>gadā</w:t>
      </w:r>
      <w:r w:rsidR="00034C36">
        <w:t xml:space="preserve"> – </w:t>
      </w:r>
      <w:r w:rsidR="006F6614" w:rsidRPr="00B41DBE">
        <w:t>68</w:t>
      </w:r>
      <w:r w:rsidR="00034C36">
        <w:t> </w:t>
      </w:r>
      <w:r w:rsidR="006F6614" w:rsidRPr="00B41DBE">
        <w:t>krimināl</w:t>
      </w:r>
      <w:r w:rsidR="00034C36">
        <w:t>lietas)</w:t>
      </w:r>
      <w:r w:rsidR="006F6614" w:rsidRPr="00B41DBE">
        <w:t>. Tas liecina, ka 2020.</w:t>
      </w:r>
      <w:r w:rsidR="00034C36">
        <w:t> </w:t>
      </w:r>
      <w:r w:rsidR="006F6614" w:rsidRPr="00B41DBE">
        <w:t xml:space="preserve">gadā Latgales tiesas </w:t>
      </w:r>
      <w:r w:rsidR="006F6614" w:rsidRPr="00B41DBE">
        <w:lastRenderedPageBreak/>
        <w:t>apgabal</w:t>
      </w:r>
      <w:r w:rsidR="00034C36">
        <w:t>a prokuratūras un tās darbības teritorijā ietilpstošo rajona līmeņa</w:t>
      </w:r>
      <w:r w:rsidR="006F6614" w:rsidRPr="00B41DBE">
        <w:t xml:space="preserve"> prokuratūr</w:t>
      </w:r>
      <w:r w:rsidR="00034C36">
        <w:t>u</w:t>
      </w:r>
      <w:r w:rsidR="006F6614" w:rsidRPr="00B41DBE">
        <w:t xml:space="preserve"> prokurori daudz vairāk uzmanības un darba veltījuši tieši īpaši aktuāl</w:t>
      </w:r>
      <w:r w:rsidR="00034C36">
        <w:t>iem noziedzīgiem nodarījumiem</w:t>
      </w:r>
      <w:r w:rsidR="006F6614" w:rsidRPr="00B41DBE">
        <w:t xml:space="preserve">. Jāatzīmē, ka iepriekšējos divos gados prokurori </w:t>
      </w:r>
      <w:r w:rsidR="00034C36" w:rsidRPr="00B41DBE">
        <w:t xml:space="preserve">par noziedzīgi iegūtu līdzekļu legalizēšanu </w:t>
      </w:r>
      <w:r w:rsidR="006F6614" w:rsidRPr="00B41DBE">
        <w:t>tiesai nodevuši tikai 4</w:t>
      </w:r>
      <w:r w:rsidR="00034C36">
        <w:t> </w:t>
      </w:r>
      <w:r w:rsidR="006F6614" w:rsidRPr="00B41DBE">
        <w:t>krimināl</w:t>
      </w:r>
      <w:r w:rsidR="00034C36">
        <w:t>lietas</w:t>
      </w:r>
      <w:r w:rsidR="006F6614" w:rsidRPr="00B41DBE">
        <w:t>, bet 2020.</w:t>
      </w:r>
      <w:r w:rsidR="00034C36">
        <w:t> </w:t>
      </w:r>
      <w:r w:rsidR="006F6614" w:rsidRPr="00B41DBE">
        <w:t>gadā</w:t>
      </w:r>
      <w:r w:rsidR="00034C36">
        <w:t xml:space="preserve"> – </w:t>
      </w:r>
      <w:r w:rsidR="006F6614" w:rsidRPr="00B41DBE">
        <w:t>10</w:t>
      </w:r>
      <w:r w:rsidR="00034C36">
        <w:t> </w:t>
      </w:r>
      <w:r w:rsidR="006F6614" w:rsidRPr="00B41DBE">
        <w:t>krimināl</w:t>
      </w:r>
      <w:r w:rsidR="00034C36">
        <w:t>lietas</w:t>
      </w:r>
      <w:r w:rsidR="006F6614" w:rsidRPr="00B41DBE">
        <w:t>. Šī pozitīvā tendence ir tieši saistīta ar 2020.</w:t>
      </w:r>
      <w:r w:rsidR="00034C36">
        <w:t> </w:t>
      </w:r>
      <w:r w:rsidR="006F6614" w:rsidRPr="00B41DBE">
        <w:t>gada sākumā Ģenerālprokuratūras prokuroru veikt</w:t>
      </w:r>
      <w:r w:rsidR="00034C36">
        <w:t>aj</w:t>
      </w:r>
      <w:r w:rsidR="006F6614" w:rsidRPr="00B41DBE">
        <w:t xml:space="preserve">ām apmācībām </w:t>
      </w:r>
      <w:r w:rsidR="00034C36">
        <w:t xml:space="preserve">Latvijas </w:t>
      </w:r>
      <w:r w:rsidR="00034C36" w:rsidRPr="00B41DBE">
        <w:t xml:space="preserve">reģionos </w:t>
      </w:r>
      <w:r w:rsidR="006F6614" w:rsidRPr="00B41DBE">
        <w:t>par noziedzīgi iegūtu līdzekļu legalizēšan</w:t>
      </w:r>
      <w:r w:rsidR="00034C36">
        <w:t>as noziedzīgajiem nodarījumiem</w:t>
      </w:r>
      <w:r w:rsidR="006F6614" w:rsidRPr="00B41DBE">
        <w:t xml:space="preserve"> un vadlīniju izstrādi, kas atviegloja prokuroru darbu un </w:t>
      </w:r>
      <w:r w:rsidR="006F6614">
        <w:t xml:space="preserve">veicināja </w:t>
      </w:r>
      <w:r w:rsidR="006F6614" w:rsidRPr="00B41DBE">
        <w:t>izpratni par š</w:t>
      </w:r>
      <w:r w:rsidR="00034C36">
        <w:t>īs</w:t>
      </w:r>
      <w:r w:rsidR="006F6614" w:rsidRPr="00B41DBE">
        <w:t xml:space="preserve"> kategorijas </w:t>
      </w:r>
      <w:r w:rsidR="00034C36">
        <w:t xml:space="preserve">kriminālprocesu </w:t>
      </w:r>
      <w:r w:rsidR="006F6614" w:rsidRPr="00B41DBE">
        <w:t xml:space="preserve">izmeklēšanu un virzību.  Minētais piemērs liecina par to, ka šāda prakse būtu piemērojama arī citos prokuroru darbam aktuālajos jautājumos. </w:t>
      </w:r>
    </w:p>
    <w:p w14:paraId="771C92BE" w14:textId="27E4021D" w:rsidR="00567F0D" w:rsidRDefault="001E0DAE" w:rsidP="00034C36">
      <w:pPr>
        <w:spacing w:after="0" w:line="240" w:lineRule="auto"/>
        <w:ind w:firstLine="720"/>
        <w:jc w:val="both"/>
      </w:pPr>
      <w:r w:rsidRPr="00B41DBE">
        <w:t>2020.</w:t>
      </w:r>
      <w:r>
        <w:t> </w:t>
      </w:r>
      <w:r w:rsidRPr="00B41DBE">
        <w:t>gadā Latgales tiesas apgabal</w:t>
      </w:r>
      <w:r w:rsidR="00034C36">
        <w:t>a prokuratūras darbības teritorijā</w:t>
      </w:r>
      <w:r w:rsidRPr="00B41DBE">
        <w:t xml:space="preserve"> ietilpstošo</w:t>
      </w:r>
      <w:r w:rsidR="00034C36">
        <w:t xml:space="preserve"> rajona līmeņa</w:t>
      </w:r>
      <w:r w:rsidRPr="00B41DBE">
        <w:t xml:space="preserve"> prokuratūr</w:t>
      </w:r>
      <w:r w:rsidR="00034C36">
        <w:t>u</w:t>
      </w:r>
      <w:r w:rsidRPr="00B41DBE">
        <w:t xml:space="preserve"> prokurori īpašu uzmanību pievērsa kriminālprocesu pabeigšanai īsos termiņos (līdz 48 stundām no kriminālprocesa uzsākšanas brīža). Jāpiemin, ka šāda prakse Latgales </w:t>
      </w:r>
      <w:r>
        <w:t xml:space="preserve">tiesas </w:t>
      </w:r>
      <w:r w:rsidRPr="00B41DBE">
        <w:t xml:space="preserve">apgabalā ieviesta jau sen, taču īpašu uzmanību tam prokurori </w:t>
      </w:r>
      <w:r>
        <w:t>pievērsuši</w:t>
      </w:r>
      <w:r w:rsidRPr="00B41DBE">
        <w:t xml:space="preserve"> tieši 2020.</w:t>
      </w:r>
      <w:r>
        <w:t> </w:t>
      </w:r>
      <w:r w:rsidRPr="00B41DBE">
        <w:t xml:space="preserve">gadā, pildot ģenerālprokurora </w:t>
      </w:r>
      <w:r>
        <w:t>norādījumus</w:t>
      </w:r>
      <w:r w:rsidRPr="00B41DBE">
        <w:t xml:space="preserve">. </w:t>
      </w:r>
      <w:r>
        <w:t xml:space="preserve">Lai gan </w:t>
      </w:r>
      <w:r w:rsidR="001E1173">
        <w:t>P</w:t>
      </w:r>
      <w:r w:rsidRPr="00B41DBE">
        <w:t>rokuratūras inform</w:t>
      </w:r>
      <w:r w:rsidR="001E1173">
        <w:t>ācijas</w:t>
      </w:r>
      <w:r w:rsidRPr="00B41DBE">
        <w:t xml:space="preserve"> sistēmas </w:t>
      </w:r>
      <w:r w:rsidR="001E1173">
        <w:t xml:space="preserve">(ProIS) </w:t>
      </w:r>
      <w:r w:rsidRPr="00B41DBE">
        <w:t>statistiskajos rādītājos šāda informācija netiek atsevišķi uzskaitīta</w:t>
      </w:r>
      <w:r>
        <w:t xml:space="preserve">, </w:t>
      </w:r>
      <w:r w:rsidR="001E1173">
        <w:t xml:space="preserve">prokuratūras </w:t>
      </w:r>
      <w:r>
        <w:t>st</w:t>
      </w:r>
      <w:r w:rsidRPr="00B41DBE">
        <w:t>ruktūrvienību virsprokurori veica atsevišķu uzskaiti. Tā 2020.</w:t>
      </w:r>
      <w:r w:rsidR="001E1173">
        <w:t> </w:t>
      </w:r>
      <w:r w:rsidRPr="00B41DBE">
        <w:t>gadā Latgales tiesas apgabal</w:t>
      </w:r>
      <w:r w:rsidR="00034C36">
        <w:t xml:space="preserve">a prokuratūras darbības teritorijā </w:t>
      </w:r>
      <w:r w:rsidRPr="00B41DBE">
        <w:t xml:space="preserve">ietilpstošo rajona </w:t>
      </w:r>
      <w:r w:rsidR="00034C36">
        <w:t xml:space="preserve">līmeņa </w:t>
      </w:r>
      <w:r w:rsidRPr="00B41DBE">
        <w:t xml:space="preserve">prokuratūru prokurori 48 stundu laikā </w:t>
      </w:r>
      <w:r w:rsidR="00034C36">
        <w:t xml:space="preserve">no kriminālprocesa uzsākšanas brīža </w:t>
      </w:r>
      <w:r w:rsidRPr="00B41DBE">
        <w:t xml:space="preserve">pabeiguši </w:t>
      </w:r>
      <w:r w:rsidR="009E7EE0">
        <w:t>102 </w:t>
      </w:r>
      <w:r w:rsidRPr="00B41DBE">
        <w:t>pirmstiesas kriminālprocesus (izbeidzot prokuratūrā ar priekšrakstu par sodu vai personu nosacīti atbrīvojot no kriminālatbildības</w:t>
      </w:r>
      <w:r w:rsidR="001E1173">
        <w:t xml:space="preserve">, </w:t>
      </w:r>
      <w:r w:rsidRPr="00B41DBE">
        <w:t>vai no</w:t>
      </w:r>
      <w:r w:rsidR="006A5C2B">
        <w:t>devuši krimināllietas</w:t>
      </w:r>
      <w:r w:rsidRPr="00B41DBE">
        <w:t xml:space="preserve"> tiesai)</w:t>
      </w:r>
      <w:r>
        <w:t>. Īpaši jāizceļ Balvu rajona prokuratūra – 27 kriminālprocesi, Daugavpils prokuratūra – 27 kriminālprocesi, Krāslavas rajona prokuratūra</w:t>
      </w:r>
      <w:r w:rsidR="009E7EE0">
        <w:t xml:space="preserve"> – </w:t>
      </w:r>
      <w:r>
        <w:t>26 kriminālprocesi, kuri izlemti līdz 48 stundām no kriminālprocesa uzsākšanas brīža.</w:t>
      </w:r>
    </w:p>
    <w:p w14:paraId="130B0D20" w14:textId="6FC371A4" w:rsidR="00567F0D" w:rsidRPr="00B41DBE" w:rsidRDefault="00034C36" w:rsidP="00034C36">
      <w:pPr>
        <w:spacing w:after="0" w:line="240" w:lineRule="auto"/>
        <w:ind w:firstLine="720"/>
        <w:jc w:val="both"/>
      </w:pPr>
      <w:r w:rsidRPr="00B41DBE">
        <w:t>Latgales tiesas apgabal</w:t>
      </w:r>
      <w:r>
        <w:t xml:space="preserve">a prokuratūras un tās darbības teritorijā </w:t>
      </w:r>
      <w:r w:rsidRPr="00B41DBE">
        <w:t>ietilpstošo</w:t>
      </w:r>
      <w:r>
        <w:t xml:space="preserve"> rajona līmeņa</w:t>
      </w:r>
      <w:r w:rsidRPr="00B41DBE">
        <w:t xml:space="preserve"> prokuratūr</w:t>
      </w:r>
      <w:r>
        <w:t>u</w:t>
      </w:r>
      <w:r w:rsidRPr="00B41DBE">
        <w:t xml:space="preserve"> prokurori </w:t>
      </w:r>
      <w:r w:rsidR="00567F0D" w:rsidRPr="00B41DBE">
        <w:t>2020.</w:t>
      </w:r>
      <w:r>
        <w:t> </w:t>
      </w:r>
      <w:r w:rsidR="00567F0D" w:rsidRPr="00B41DBE">
        <w:t xml:space="preserve">gadā </w:t>
      </w:r>
      <w:r>
        <w:t xml:space="preserve">kopumā </w:t>
      </w:r>
      <w:r w:rsidR="00567F0D" w:rsidRPr="00B41DBE">
        <w:t>3</w:t>
      </w:r>
      <w:r>
        <w:t> </w:t>
      </w:r>
      <w:r w:rsidR="00567F0D" w:rsidRPr="00B41DBE">
        <w:t>krimināl</w:t>
      </w:r>
      <w:r>
        <w:t>lietās pret</w:t>
      </w:r>
      <w:r w:rsidR="00567F0D" w:rsidRPr="00B41DBE">
        <w:t xml:space="preserve"> 3</w:t>
      </w:r>
      <w:r>
        <w:t> apsūdzētaj</w:t>
      </w:r>
      <w:r w:rsidR="00F62B7E">
        <w:t>iem</w:t>
      </w:r>
      <w:r w:rsidR="00567F0D" w:rsidRPr="00B41DBE">
        <w:t xml:space="preserve"> pilnībā</w:t>
      </w:r>
      <w:r>
        <w:t xml:space="preserve"> </w:t>
      </w:r>
      <w:r w:rsidR="00567F0D" w:rsidRPr="00B41DBE">
        <w:t>atteikušies no apsūdzības</w:t>
      </w:r>
      <w:r>
        <w:t xml:space="preserve"> </w:t>
      </w:r>
      <w:r w:rsidR="00567F0D" w:rsidRPr="00B41DBE">
        <w:t>un 4</w:t>
      </w:r>
      <w:r>
        <w:t> </w:t>
      </w:r>
      <w:r w:rsidR="00567F0D" w:rsidRPr="00B41DBE">
        <w:t>kriminā</w:t>
      </w:r>
      <w:r>
        <w:t>llietās</w:t>
      </w:r>
      <w:r w:rsidR="00567F0D" w:rsidRPr="00B41DBE">
        <w:t xml:space="preserve"> tiesas attaisnojušas 6</w:t>
      </w:r>
      <w:r>
        <w:t> apsūdzēt</w:t>
      </w:r>
      <w:r w:rsidR="00F62B7E">
        <w:t>os</w:t>
      </w:r>
      <w:r w:rsidR="00567F0D" w:rsidRPr="00B41DBE">
        <w:t>. Pārbaudēs par atteikšanos no apsūdzības</w:t>
      </w:r>
      <w:r>
        <w:t xml:space="preserve"> </w:t>
      </w:r>
      <w:r w:rsidR="00567F0D" w:rsidRPr="00B41DBE">
        <w:t>un</w:t>
      </w:r>
      <w:r>
        <w:t xml:space="preserve"> apsūdzēto</w:t>
      </w:r>
      <w:r w:rsidR="00567F0D" w:rsidRPr="00B41DBE">
        <w:t xml:space="preserve"> attaisnošanas iemesliem konstatēts, ka 2</w:t>
      </w:r>
      <w:r>
        <w:t> </w:t>
      </w:r>
      <w:r w:rsidR="00567F0D" w:rsidRPr="00B41DBE">
        <w:t>krimināl</w:t>
      </w:r>
      <w:r>
        <w:t>lietās</w:t>
      </w:r>
      <w:r w:rsidR="00567F0D" w:rsidRPr="00B41DBE">
        <w:t xml:space="preserve"> prokurora rīcība, pilnībā atsakoties no apsūdzības, bijusi pamatota, jo tas </w:t>
      </w:r>
      <w:r>
        <w:t xml:space="preserve">bija </w:t>
      </w:r>
      <w:r w:rsidR="00567F0D" w:rsidRPr="00B41DBE">
        <w:t>saistīts ar likumdošanas izmaiņām, 2</w:t>
      </w:r>
      <w:r>
        <w:t> </w:t>
      </w:r>
      <w:r w:rsidR="00567F0D" w:rsidRPr="00B41DBE">
        <w:t>krimināl</w:t>
      </w:r>
      <w:r>
        <w:t>lietās</w:t>
      </w:r>
      <w:r w:rsidR="00567F0D" w:rsidRPr="00B41DBE">
        <w:t>, kur</w:t>
      </w:r>
      <w:r>
        <w:t>ās</w:t>
      </w:r>
      <w:r w:rsidR="00567F0D" w:rsidRPr="00B41DBE">
        <w:t xml:space="preserve"> kopumā attaisnot</w:t>
      </w:r>
      <w:r w:rsidR="00F62B7E">
        <w:t>i</w:t>
      </w:r>
      <w:r w:rsidR="00567F0D" w:rsidRPr="00B41DBE">
        <w:t xml:space="preserve"> 4</w:t>
      </w:r>
      <w:r>
        <w:t> apsūdzēt</w:t>
      </w:r>
      <w:r w:rsidR="00F62B7E">
        <w:t>ie</w:t>
      </w:r>
      <w:r w:rsidR="00567F0D" w:rsidRPr="00B41DBE">
        <w:t xml:space="preserve">, pārbaudes veicējs </w:t>
      </w:r>
      <w:r>
        <w:t>ne</w:t>
      </w:r>
      <w:r w:rsidR="00567F0D" w:rsidRPr="00B41DBE">
        <w:t>konstatēj</w:t>
      </w:r>
      <w:r>
        <w:t>a</w:t>
      </w:r>
      <w:r w:rsidR="00567F0D" w:rsidRPr="00B41DBE">
        <w:t xml:space="preserve"> prokuroru pieļautās kļūdas vai trūkumus, kas varētu būt par iemeslu </w:t>
      </w:r>
      <w:r>
        <w:t>apsūdzēto</w:t>
      </w:r>
      <w:r w:rsidR="00567F0D" w:rsidRPr="00B41DBE">
        <w:t xml:space="preserve"> attaisnošanai. </w:t>
      </w:r>
      <w:r>
        <w:t>Tā bija</w:t>
      </w:r>
      <w:r w:rsidR="00567F0D" w:rsidRPr="00B41DBE">
        <w:t xml:space="preserve"> saistīta ar pierādījumu vērtēšanu, atšķirīgiem prokurora un tiesas uzskatiem par to pietiekamību. </w:t>
      </w:r>
      <w:r w:rsidR="00567F0D">
        <w:t>1</w:t>
      </w:r>
      <w:r>
        <w:t> </w:t>
      </w:r>
      <w:r w:rsidR="00567F0D">
        <w:t>krimināl</w:t>
      </w:r>
      <w:r>
        <w:t>lietā</w:t>
      </w:r>
      <w:r w:rsidR="00567F0D">
        <w:t>, kurā attaisnot</w:t>
      </w:r>
      <w:r w:rsidR="00F62B7E">
        <w:t>s</w:t>
      </w:r>
      <w:r w:rsidR="00567F0D">
        <w:t xml:space="preserve"> 1</w:t>
      </w:r>
      <w:r>
        <w:t> apsūdzēt</w:t>
      </w:r>
      <w:r w:rsidR="00F62B7E">
        <w:t>ais</w:t>
      </w:r>
      <w:r>
        <w:t>,</w:t>
      </w:r>
      <w:r w:rsidR="00567F0D">
        <w:t xml:space="preserve"> pārbaudes veicējs konstatēj</w:t>
      </w:r>
      <w:r>
        <w:t>a</w:t>
      </w:r>
      <w:r w:rsidR="00567F0D">
        <w:t xml:space="preserve">, ka lietā nostiprināto pierādījumu kopums un tiesu debašu saturs atklāj, ka vērtējumā prokurors lielā mērā paļāvās uz iekšējo pārliecību, ka izdarīts noziedzīgs nodarījums, kas tad arī ietekmēja pierādīšanas standarta un pierādījumu pietiekamības izvērtēšanas kvalitāti. </w:t>
      </w:r>
      <w:r w:rsidR="00567F0D" w:rsidRPr="00B41DBE">
        <w:t>Šeit saskatāma problēma, kas būtu risināma prokuroru un tiesnešu kvalifikācijas celšanā, kopīgi piedaloties semināros, diskusijās, tostarp par pierādījumu pietiekamību.</w:t>
      </w:r>
      <w:r>
        <w:t xml:space="preserve"> </w:t>
      </w:r>
      <w:r w:rsidR="00567F0D">
        <w:t>1</w:t>
      </w:r>
      <w:r>
        <w:t> </w:t>
      </w:r>
      <w:r w:rsidR="00567F0D" w:rsidRPr="00B41DBE">
        <w:t>krimināl</w:t>
      </w:r>
      <w:r>
        <w:t>lietā</w:t>
      </w:r>
      <w:r w:rsidR="00567F0D" w:rsidRPr="00B41DBE">
        <w:t>, kur</w:t>
      </w:r>
      <w:r w:rsidR="00567F0D">
        <w:t>ā</w:t>
      </w:r>
      <w:r w:rsidR="00567F0D" w:rsidRPr="00B41DBE">
        <w:t xml:space="preserve"> attiecībā pret 1</w:t>
      </w:r>
      <w:r>
        <w:t> </w:t>
      </w:r>
      <w:r w:rsidR="00567F0D" w:rsidRPr="00B41DBE">
        <w:t>apsūdzēto</w:t>
      </w:r>
      <w:r>
        <w:t xml:space="preserve"> </w:t>
      </w:r>
      <w:r w:rsidR="00567F0D" w:rsidRPr="00B41DBE">
        <w:t>prokurors pilnībā atteic</w:t>
      </w:r>
      <w:r>
        <w:t>ā</w:t>
      </w:r>
      <w:r w:rsidR="00567F0D" w:rsidRPr="00B41DBE">
        <w:t>s no apsūdzības, pārbaude vēl nav beigu</w:t>
      </w:r>
      <w:r w:rsidR="00567F0D">
        <w:t>sies</w:t>
      </w:r>
      <w:r w:rsidR="00567F0D" w:rsidRPr="00B41DBE">
        <w:t>.</w:t>
      </w:r>
      <w:r>
        <w:t xml:space="preserve"> Apsūdzēto</w:t>
      </w:r>
      <w:r w:rsidR="00567F0D" w:rsidRPr="00B41DBE">
        <w:t>, pret kur</w:t>
      </w:r>
      <w:r w:rsidR="00CB13E7">
        <w:t>iem</w:t>
      </w:r>
      <w:r w:rsidR="00567F0D" w:rsidRPr="00B41DBE">
        <w:t xml:space="preserve"> prokurors pilnībā atteicies no apsūdzības</w:t>
      </w:r>
      <w:r>
        <w:t>, un tiesas attaisnoto apsūdzēto</w:t>
      </w:r>
      <w:r w:rsidR="00567F0D" w:rsidRPr="00B41DBE">
        <w:t xml:space="preserve"> īpatsvars pret </w:t>
      </w:r>
      <w:r w:rsidRPr="00B41DBE">
        <w:t>2020.</w:t>
      </w:r>
      <w:r>
        <w:t> </w:t>
      </w:r>
      <w:r w:rsidRPr="00B41DBE">
        <w:t xml:space="preserve">gadā </w:t>
      </w:r>
      <w:r w:rsidR="00567F0D" w:rsidRPr="00B41DBE">
        <w:t>ties</w:t>
      </w:r>
      <w:r w:rsidR="006A5C2B">
        <w:t>ai</w:t>
      </w:r>
      <w:r w:rsidR="00567F0D" w:rsidRPr="00B41DBE">
        <w:t xml:space="preserve"> nodot</w:t>
      </w:r>
      <w:r>
        <w:t>aj</w:t>
      </w:r>
      <w:r w:rsidR="00F62B7E">
        <w:t>iem</w:t>
      </w:r>
      <w:r w:rsidR="00567F0D" w:rsidRPr="00B41DBE">
        <w:t xml:space="preserve"> apsūdzēt</w:t>
      </w:r>
      <w:r>
        <w:t>a</w:t>
      </w:r>
      <w:r w:rsidR="00F62B7E">
        <w:t>jiem</w:t>
      </w:r>
      <w:r w:rsidR="00567F0D" w:rsidRPr="00B41DBE">
        <w:t xml:space="preserve"> ir 0,65</w:t>
      </w:r>
      <w:r>
        <w:t> </w:t>
      </w:r>
      <w:r w:rsidR="00567F0D" w:rsidRPr="00B41DBE">
        <w:t>%. 2019.</w:t>
      </w:r>
      <w:r>
        <w:t> </w:t>
      </w:r>
      <w:r w:rsidR="00567F0D" w:rsidRPr="00B41DBE">
        <w:t xml:space="preserve">gadā </w:t>
      </w:r>
      <w:r>
        <w:t xml:space="preserve">Latgales tiesas apgabalā </w:t>
      </w:r>
      <w:r w:rsidR="00567F0D" w:rsidRPr="00B41DBE">
        <w:t>bija attaisnot</w:t>
      </w:r>
      <w:r w:rsidR="00F62B7E">
        <w:t>i</w:t>
      </w:r>
      <w:r w:rsidR="00567F0D" w:rsidRPr="00B41DBE">
        <w:t xml:space="preserve"> 14</w:t>
      </w:r>
      <w:r>
        <w:t> apsūdzēt</w:t>
      </w:r>
      <w:r w:rsidR="00F62B7E">
        <w:t>ie</w:t>
      </w:r>
      <w:r w:rsidR="00567F0D" w:rsidRPr="00B41DBE">
        <w:t>, 2018.gadā</w:t>
      </w:r>
      <w:r>
        <w:t xml:space="preserve"> – </w:t>
      </w:r>
      <w:r w:rsidR="00567F0D" w:rsidRPr="00B41DBE">
        <w:t xml:space="preserve">7 </w:t>
      </w:r>
      <w:r>
        <w:t>apsūdzēt</w:t>
      </w:r>
      <w:r w:rsidR="00F62B7E">
        <w:t>ie</w:t>
      </w:r>
      <w:r w:rsidR="00567F0D" w:rsidRPr="00B41DBE">
        <w:t>.</w:t>
      </w:r>
    </w:p>
    <w:p w14:paraId="6CBBEEBF" w14:textId="00C30901" w:rsidR="00D801BE" w:rsidRDefault="00D801BE" w:rsidP="00D801BE">
      <w:pPr>
        <w:spacing w:after="0"/>
        <w:jc w:val="both"/>
        <w:rPr>
          <w:szCs w:val="24"/>
        </w:rPr>
      </w:pPr>
    </w:p>
    <w:p w14:paraId="553D2954" w14:textId="2F054E02" w:rsidR="00D801BE" w:rsidRPr="00D801BE" w:rsidRDefault="00D801BE" w:rsidP="00D801BE">
      <w:pPr>
        <w:spacing w:after="0"/>
        <w:jc w:val="both"/>
        <w:rPr>
          <w:b/>
          <w:bCs/>
          <w:szCs w:val="24"/>
        </w:rPr>
      </w:pPr>
      <w:r w:rsidRPr="00D801BE">
        <w:rPr>
          <w:b/>
          <w:bCs/>
          <w:szCs w:val="24"/>
        </w:rPr>
        <w:t>Latgales tiesas apgabala prokuratūras virsprokurors A. </w:t>
      </w:r>
      <w:proofErr w:type="spellStart"/>
      <w:r w:rsidRPr="00D801BE">
        <w:rPr>
          <w:b/>
          <w:bCs/>
          <w:szCs w:val="24"/>
        </w:rPr>
        <w:t>Gusarovs</w:t>
      </w:r>
      <w:proofErr w:type="spellEnd"/>
    </w:p>
    <w:p w14:paraId="798E80C2" w14:textId="44CF357C" w:rsidR="00EF0E47" w:rsidRDefault="00D801BE" w:rsidP="00D801BE">
      <w:pPr>
        <w:spacing w:after="0"/>
        <w:jc w:val="both"/>
        <w:rPr>
          <w:b/>
          <w:bCs/>
          <w:szCs w:val="24"/>
        </w:rPr>
      </w:pPr>
      <w:r w:rsidRPr="00D801BE">
        <w:rPr>
          <w:b/>
          <w:bCs/>
          <w:szCs w:val="24"/>
        </w:rPr>
        <w:t>Rēzeknē 202</w:t>
      </w:r>
      <w:r w:rsidR="004517D9">
        <w:rPr>
          <w:b/>
          <w:bCs/>
          <w:szCs w:val="24"/>
        </w:rPr>
        <w:t>1</w:t>
      </w:r>
      <w:r w:rsidRPr="00D801BE">
        <w:rPr>
          <w:b/>
          <w:bCs/>
          <w:szCs w:val="24"/>
        </w:rPr>
        <w:t>. gada 1</w:t>
      </w:r>
      <w:r>
        <w:rPr>
          <w:b/>
          <w:bCs/>
          <w:szCs w:val="24"/>
        </w:rPr>
        <w:t>2</w:t>
      </w:r>
      <w:r w:rsidRPr="00D801BE">
        <w:rPr>
          <w:b/>
          <w:bCs/>
          <w:szCs w:val="24"/>
        </w:rPr>
        <w:t>. februārī</w:t>
      </w:r>
    </w:p>
    <w:p w14:paraId="5C43B654" w14:textId="77777777" w:rsidR="00EF0E47" w:rsidRDefault="00EF0E47">
      <w:pPr>
        <w:rPr>
          <w:b/>
          <w:bCs/>
          <w:szCs w:val="24"/>
        </w:rPr>
      </w:pPr>
      <w:r>
        <w:rPr>
          <w:b/>
          <w:bCs/>
          <w:szCs w:val="24"/>
        </w:rPr>
        <w:br w:type="page"/>
      </w:r>
    </w:p>
    <w:p w14:paraId="6AF5B379" w14:textId="23F285B6" w:rsidR="004A30B3" w:rsidRPr="00577BF3" w:rsidRDefault="004A30B3" w:rsidP="00CF4214">
      <w:pPr>
        <w:spacing w:after="0" w:line="240" w:lineRule="auto"/>
        <w:jc w:val="center"/>
        <w:rPr>
          <w:rFonts w:cs="Times New Roman"/>
          <w:b/>
          <w:sz w:val="32"/>
          <w:szCs w:val="32"/>
        </w:rPr>
      </w:pPr>
      <w:bookmarkStart w:id="30" w:name="_Hlk63691959"/>
      <w:bookmarkStart w:id="31" w:name="_Hlk64580794"/>
      <w:bookmarkEnd w:id="29"/>
      <w:r w:rsidRPr="00577BF3">
        <w:rPr>
          <w:rFonts w:cs="Times New Roman"/>
          <w:b/>
          <w:sz w:val="32"/>
          <w:szCs w:val="32"/>
        </w:rPr>
        <w:lastRenderedPageBreak/>
        <w:t xml:space="preserve">Vidzemes tiesas apgabala prokuratūras un tās darbības teritorijā </w:t>
      </w:r>
      <w:r w:rsidR="008530D0">
        <w:rPr>
          <w:rFonts w:cs="Times New Roman"/>
          <w:b/>
          <w:sz w:val="32"/>
          <w:szCs w:val="32"/>
        </w:rPr>
        <w:t>ietilpstošo</w:t>
      </w:r>
      <w:r w:rsidRPr="00577BF3">
        <w:rPr>
          <w:rFonts w:cs="Times New Roman"/>
          <w:b/>
          <w:sz w:val="32"/>
          <w:szCs w:val="32"/>
        </w:rPr>
        <w:t xml:space="preserve"> rajona līmeņa prokuratūru pārskats par 2020. gada darba rezultātiem</w:t>
      </w:r>
    </w:p>
    <w:p w14:paraId="14269231" w14:textId="77777777" w:rsidR="00F544C2" w:rsidRPr="008530D0" w:rsidRDefault="00F544C2" w:rsidP="00CF4214">
      <w:pPr>
        <w:spacing w:after="0" w:line="240" w:lineRule="auto"/>
        <w:jc w:val="center"/>
        <w:rPr>
          <w:rFonts w:cs="Times New Roman"/>
          <w:b/>
          <w:szCs w:val="24"/>
        </w:rPr>
      </w:pPr>
    </w:p>
    <w:p w14:paraId="7C4917A5" w14:textId="1972FC6C" w:rsidR="004A30B3" w:rsidRPr="00577BF3" w:rsidRDefault="00F544C2" w:rsidP="00CF4214">
      <w:pPr>
        <w:pStyle w:val="ListParagraph"/>
        <w:spacing w:after="0" w:line="240" w:lineRule="auto"/>
        <w:ind w:left="1077"/>
        <w:jc w:val="center"/>
        <w:rPr>
          <w:rFonts w:cs="Times New Roman"/>
          <w:b/>
          <w:bCs/>
          <w:sz w:val="28"/>
          <w:szCs w:val="28"/>
        </w:rPr>
      </w:pPr>
      <w:r w:rsidRPr="00577BF3">
        <w:rPr>
          <w:rFonts w:cs="Times New Roman"/>
          <w:b/>
          <w:bCs/>
          <w:sz w:val="28"/>
          <w:szCs w:val="28"/>
        </w:rPr>
        <w:t>I. </w:t>
      </w:r>
      <w:r w:rsidR="004A30B3" w:rsidRPr="00577BF3">
        <w:rPr>
          <w:rFonts w:cs="Times New Roman"/>
          <w:b/>
          <w:bCs/>
          <w:sz w:val="28"/>
          <w:szCs w:val="28"/>
        </w:rPr>
        <w:t>Strukturālais modelis un prokuroru personālsastāvs</w:t>
      </w:r>
    </w:p>
    <w:p w14:paraId="7FD812F4" w14:textId="77777777" w:rsidR="00F544C2" w:rsidRPr="008530D0" w:rsidRDefault="00F544C2" w:rsidP="00CF4214">
      <w:pPr>
        <w:pStyle w:val="ListParagraph"/>
        <w:spacing w:after="0" w:line="240" w:lineRule="auto"/>
        <w:ind w:left="1077"/>
        <w:rPr>
          <w:rFonts w:cs="Times New Roman"/>
          <w:b/>
          <w:bCs/>
          <w:szCs w:val="24"/>
        </w:rPr>
      </w:pPr>
    </w:p>
    <w:p w14:paraId="1B1D15BF" w14:textId="1E060434" w:rsidR="004A30B3" w:rsidRPr="00577BF3" w:rsidRDefault="004A30B3" w:rsidP="00CF4214">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sidR="00FC5448">
        <w:rPr>
          <w:rFonts w:cs="Times New Roman"/>
          <w:szCs w:val="24"/>
        </w:rPr>
        <w:t xml:space="preserve">2020. gada 28. oktobra redakcijā </w:t>
      </w:r>
      <w:r w:rsidRPr="00577BF3">
        <w:rPr>
          <w:rFonts w:cs="Times New Roman"/>
          <w:szCs w:val="24"/>
        </w:rPr>
        <w:t>Vidzemes tiesas apgabalā 2020. gadā darbojās 1 apgabala līmeņa teritoriālā prokuratūra</w:t>
      </w:r>
      <w:r w:rsidR="00BC172F" w:rsidRPr="00577BF3">
        <w:rPr>
          <w:rFonts w:cs="Times New Roman"/>
          <w:szCs w:val="24"/>
        </w:rPr>
        <w:t>s struktūrvienība</w:t>
      </w:r>
      <w:r w:rsidRPr="00577BF3">
        <w:rPr>
          <w:rFonts w:cs="Times New Roman"/>
          <w:szCs w:val="24"/>
        </w:rPr>
        <w:t xml:space="preserve"> un 7 rajona līmeņa teritoriālās prokuratūras struktūrvienības </w:t>
      </w:r>
      <w:r w:rsidR="00F1054A" w:rsidRPr="00577BF3">
        <w:rPr>
          <w:rFonts w:cs="Times New Roman"/>
          <w:szCs w:val="24"/>
        </w:rPr>
        <w:t>pie</w:t>
      </w:r>
      <w:r w:rsidRPr="00577BF3">
        <w:rPr>
          <w:rFonts w:cs="Times New Roman"/>
          <w:szCs w:val="24"/>
        </w:rPr>
        <w:t xml:space="preserve"> šād</w:t>
      </w:r>
      <w:r w:rsidR="00F1054A" w:rsidRPr="00577BF3">
        <w:rPr>
          <w:rFonts w:cs="Times New Roman"/>
          <w:szCs w:val="24"/>
        </w:rPr>
        <w:t>a</w:t>
      </w:r>
      <w:r w:rsidRPr="00577BF3">
        <w:rPr>
          <w:rFonts w:cs="Times New Roman"/>
          <w:szCs w:val="24"/>
        </w:rPr>
        <w:t xml:space="preserve"> prokuror</w:t>
      </w:r>
      <w:r w:rsidR="002171C6" w:rsidRPr="00577BF3">
        <w:rPr>
          <w:rFonts w:cs="Times New Roman"/>
          <w:szCs w:val="24"/>
        </w:rPr>
        <w:t>a amata</w:t>
      </w:r>
      <w:r w:rsidRPr="00577BF3">
        <w:rPr>
          <w:rFonts w:cs="Times New Roman"/>
          <w:szCs w:val="24"/>
        </w:rPr>
        <w:t xml:space="preserve"> vietu </w:t>
      </w:r>
      <w:r w:rsidR="002F4C67" w:rsidRPr="00577BF3">
        <w:rPr>
          <w:rFonts w:cs="Times New Roman"/>
          <w:szCs w:val="24"/>
        </w:rPr>
        <w:t>sa</w:t>
      </w:r>
      <w:r w:rsidRPr="00577BF3">
        <w:rPr>
          <w:rFonts w:cs="Times New Roman"/>
          <w:szCs w:val="24"/>
        </w:rPr>
        <w:t>dalījum</w:t>
      </w:r>
      <w:r w:rsidR="00F1054A" w:rsidRPr="00577BF3">
        <w:rPr>
          <w:rFonts w:cs="Times New Roman"/>
          <w:szCs w:val="24"/>
        </w:rPr>
        <w:t>a</w:t>
      </w:r>
      <w:r w:rsidRPr="00577BF3">
        <w:rPr>
          <w:rFonts w:cs="Times New Roman"/>
          <w:szCs w:val="24"/>
        </w:rPr>
        <w:t>:</w:t>
      </w:r>
    </w:p>
    <w:p w14:paraId="45D7FD27" w14:textId="5438B53D" w:rsidR="004A30B3" w:rsidRPr="00577BF3" w:rsidRDefault="004A30B3"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Vidzemes tiesas apgabala prokuratūra – 7 prokurora amata vietas (1 virsprokurora un 6 prokurora štata vietas, no tām </w:t>
      </w:r>
      <w:r w:rsidRPr="00577BF3">
        <w:rPr>
          <w:rFonts w:cs="Times New Roman"/>
          <w:lang w:eastAsia="lv-LV"/>
        </w:rPr>
        <w:t xml:space="preserve">4 prokurora štata vietas ar pastāvīgo darbavietu </w:t>
      </w:r>
      <w:r w:rsidR="003A15D7" w:rsidRPr="00577BF3">
        <w:rPr>
          <w:rFonts w:cs="Times New Roman"/>
          <w:lang w:eastAsia="lv-LV"/>
        </w:rPr>
        <w:t>Valmierā</w:t>
      </w:r>
      <w:r w:rsidRPr="00577BF3">
        <w:rPr>
          <w:rFonts w:cs="Times New Roman"/>
          <w:lang w:eastAsia="lv-LV"/>
        </w:rPr>
        <w:t xml:space="preserve">, </w:t>
      </w:r>
      <w:r w:rsidR="003A15D7" w:rsidRPr="00577BF3">
        <w:rPr>
          <w:rFonts w:cs="Times New Roman"/>
          <w:lang w:eastAsia="lv-LV"/>
        </w:rPr>
        <w:t>2 </w:t>
      </w:r>
      <w:r w:rsidRPr="00577BF3">
        <w:rPr>
          <w:rFonts w:cs="Times New Roman"/>
          <w:lang w:eastAsia="lv-LV"/>
        </w:rPr>
        <w:t xml:space="preserve">prokurora štata vietas ar pastāvīgo darbavietu </w:t>
      </w:r>
      <w:r w:rsidR="003A15D7" w:rsidRPr="00577BF3">
        <w:rPr>
          <w:rFonts w:cs="Times New Roman"/>
          <w:lang w:eastAsia="lv-LV"/>
        </w:rPr>
        <w:t>Madonā</w:t>
      </w:r>
      <w:r w:rsidRPr="00577BF3">
        <w:rPr>
          <w:rFonts w:cs="Times New Roman"/>
          <w:szCs w:val="24"/>
        </w:rPr>
        <w:t>);</w:t>
      </w:r>
    </w:p>
    <w:p w14:paraId="0A17A6ED" w14:textId="38588997" w:rsidR="004A30B3" w:rsidRPr="00577BF3" w:rsidRDefault="003A15D7"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Alūksnes </w:t>
      </w:r>
      <w:r w:rsidR="004A30B3" w:rsidRPr="00577BF3">
        <w:rPr>
          <w:rFonts w:cs="Times New Roman"/>
          <w:szCs w:val="24"/>
        </w:rPr>
        <w:t xml:space="preserve">rajona prokuratūra – </w:t>
      </w:r>
      <w:r w:rsidRPr="00577BF3">
        <w:rPr>
          <w:rFonts w:cs="Times New Roman"/>
        </w:rPr>
        <w:t>4 </w:t>
      </w:r>
      <w:r w:rsidR="004A30B3" w:rsidRPr="00577BF3">
        <w:rPr>
          <w:rFonts w:cs="Times New Roman"/>
        </w:rPr>
        <w:t>prokurora</w:t>
      </w:r>
      <w:r w:rsidR="004A30B3" w:rsidRPr="00577BF3">
        <w:rPr>
          <w:rFonts w:cs="Times New Roman"/>
          <w:szCs w:val="24"/>
        </w:rPr>
        <w:t xml:space="preserve"> amata vietas (1 virsprokurora un </w:t>
      </w:r>
      <w:r w:rsidRPr="00577BF3">
        <w:rPr>
          <w:rFonts w:cs="Times New Roman"/>
        </w:rPr>
        <w:t>3 </w:t>
      </w:r>
      <w:r w:rsidR="004A30B3" w:rsidRPr="00577BF3">
        <w:rPr>
          <w:rFonts w:cs="Times New Roman"/>
        </w:rPr>
        <w:t>prokurora</w:t>
      </w:r>
      <w:r w:rsidR="004A30B3" w:rsidRPr="00577BF3">
        <w:rPr>
          <w:rFonts w:cs="Times New Roman"/>
          <w:szCs w:val="24"/>
        </w:rPr>
        <w:t xml:space="preserve"> štata vietas);</w:t>
      </w:r>
    </w:p>
    <w:p w14:paraId="486B78D6" w14:textId="12237357" w:rsidR="004A30B3" w:rsidRPr="00577BF3" w:rsidRDefault="003A15D7"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Cēsu rajona </w:t>
      </w:r>
      <w:r w:rsidR="004A30B3" w:rsidRPr="00577BF3">
        <w:rPr>
          <w:rFonts w:cs="Times New Roman"/>
          <w:szCs w:val="24"/>
        </w:rPr>
        <w:t xml:space="preserve">prokuratūra – </w:t>
      </w:r>
      <w:r w:rsidRPr="00577BF3">
        <w:rPr>
          <w:rFonts w:cs="Times New Roman"/>
          <w:szCs w:val="24"/>
        </w:rPr>
        <w:t>6 </w:t>
      </w:r>
      <w:r w:rsidR="004A30B3" w:rsidRPr="00577BF3">
        <w:rPr>
          <w:rFonts w:cs="Times New Roman"/>
          <w:szCs w:val="24"/>
        </w:rPr>
        <w:t>prokurora amata vietas (1 virsprokurora</w:t>
      </w:r>
      <w:r w:rsidRPr="00577BF3">
        <w:rPr>
          <w:rFonts w:cs="Times New Roman"/>
          <w:szCs w:val="24"/>
        </w:rPr>
        <w:t xml:space="preserve"> un 5 </w:t>
      </w:r>
      <w:r w:rsidR="004A30B3" w:rsidRPr="00577BF3">
        <w:rPr>
          <w:rFonts w:cs="Times New Roman"/>
          <w:szCs w:val="24"/>
        </w:rPr>
        <w:t>prokurora štata vieta</w:t>
      </w:r>
      <w:r w:rsidRPr="00577BF3">
        <w:rPr>
          <w:rFonts w:cs="Times New Roman"/>
          <w:szCs w:val="24"/>
        </w:rPr>
        <w:t>s</w:t>
      </w:r>
      <w:r w:rsidR="004A30B3" w:rsidRPr="00577BF3">
        <w:rPr>
          <w:rFonts w:cs="Times New Roman"/>
          <w:szCs w:val="24"/>
        </w:rPr>
        <w:t>);</w:t>
      </w:r>
    </w:p>
    <w:p w14:paraId="5E07800F" w14:textId="1EE184E8" w:rsidR="004A30B3" w:rsidRPr="00577BF3" w:rsidRDefault="00150DDA"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Gulbenes </w:t>
      </w:r>
      <w:r w:rsidR="004A30B3" w:rsidRPr="00577BF3">
        <w:rPr>
          <w:rFonts w:cs="Times New Roman"/>
          <w:szCs w:val="24"/>
        </w:rPr>
        <w:t xml:space="preserve">rajona prokuratūra – </w:t>
      </w:r>
      <w:bookmarkStart w:id="32" w:name="_Hlk63684631"/>
      <w:r w:rsidRPr="00577BF3">
        <w:rPr>
          <w:rFonts w:cs="Times New Roman"/>
          <w:szCs w:val="24"/>
        </w:rPr>
        <w:t>4 </w:t>
      </w:r>
      <w:r w:rsidR="004A30B3" w:rsidRPr="00577BF3">
        <w:rPr>
          <w:rFonts w:cs="Times New Roman"/>
          <w:szCs w:val="24"/>
        </w:rPr>
        <w:t xml:space="preserve">prokurora amata vietas (1 virsprokurora un </w:t>
      </w:r>
      <w:r w:rsidRPr="00577BF3">
        <w:rPr>
          <w:rFonts w:cs="Times New Roman"/>
          <w:szCs w:val="24"/>
        </w:rPr>
        <w:t>3 </w:t>
      </w:r>
      <w:r w:rsidR="004A30B3" w:rsidRPr="00577BF3">
        <w:rPr>
          <w:rFonts w:cs="Times New Roman"/>
          <w:szCs w:val="24"/>
        </w:rPr>
        <w:t>prokurora štata vietas);</w:t>
      </w:r>
    </w:p>
    <w:bookmarkEnd w:id="32"/>
    <w:p w14:paraId="60C8A2E1" w14:textId="3699A3AD" w:rsidR="004A30B3" w:rsidRPr="00577BF3" w:rsidRDefault="004A30B3" w:rsidP="00B16727">
      <w:pPr>
        <w:pStyle w:val="ListParagraph"/>
        <w:numPr>
          <w:ilvl w:val="0"/>
          <w:numId w:val="1"/>
        </w:numPr>
        <w:spacing w:after="0" w:line="240" w:lineRule="auto"/>
        <w:jc w:val="both"/>
        <w:rPr>
          <w:rFonts w:cs="Times New Roman"/>
          <w:szCs w:val="24"/>
        </w:rPr>
      </w:pPr>
      <w:r w:rsidRPr="00577BF3">
        <w:rPr>
          <w:rFonts w:cs="Times New Roman"/>
          <w:szCs w:val="24"/>
        </w:rPr>
        <w:t>L</w:t>
      </w:r>
      <w:r w:rsidR="00150DDA" w:rsidRPr="00577BF3">
        <w:rPr>
          <w:rFonts w:cs="Times New Roman"/>
          <w:szCs w:val="24"/>
        </w:rPr>
        <w:t xml:space="preserve">imbažu </w:t>
      </w:r>
      <w:r w:rsidRPr="00577BF3">
        <w:rPr>
          <w:rFonts w:cs="Times New Roman"/>
          <w:szCs w:val="24"/>
        </w:rPr>
        <w:t xml:space="preserve">rajona prokuratūra – </w:t>
      </w:r>
      <w:r w:rsidR="00150DDA" w:rsidRPr="00577BF3">
        <w:rPr>
          <w:rFonts w:cs="Times New Roman"/>
          <w:szCs w:val="24"/>
        </w:rPr>
        <w:t>4 </w:t>
      </w:r>
      <w:r w:rsidRPr="00577BF3">
        <w:rPr>
          <w:rFonts w:cs="Times New Roman"/>
          <w:szCs w:val="24"/>
        </w:rPr>
        <w:t xml:space="preserve">prokurora amata vietas (1 virsprokurora un </w:t>
      </w:r>
      <w:r w:rsidR="00150DDA" w:rsidRPr="00577BF3">
        <w:rPr>
          <w:rFonts w:cs="Times New Roman"/>
          <w:szCs w:val="24"/>
        </w:rPr>
        <w:t>3 </w:t>
      </w:r>
      <w:r w:rsidRPr="00577BF3">
        <w:rPr>
          <w:rFonts w:cs="Times New Roman"/>
          <w:szCs w:val="24"/>
        </w:rPr>
        <w:t>prokurora štata vietas);</w:t>
      </w:r>
    </w:p>
    <w:p w14:paraId="0C1D6D01" w14:textId="4E3286C4" w:rsidR="004A30B3" w:rsidRPr="00577BF3" w:rsidRDefault="00150DDA" w:rsidP="00B16727">
      <w:pPr>
        <w:pStyle w:val="ListParagraph"/>
        <w:numPr>
          <w:ilvl w:val="0"/>
          <w:numId w:val="1"/>
        </w:numPr>
        <w:spacing w:after="0" w:line="240" w:lineRule="auto"/>
        <w:jc w:val="both"/>
        <w:rPr>
          <w:rFonts w:cs="Times New Roman"/>
          <w:szCs w:val="24"/>
        </w:rPr>
      </w:pPr>
      <w:r w:rsidRPr="00577BF3">
        <w:rPr>
          <w:rFonts w:cs="Times New Roman"/>
          <w:szCs w:val="24"/>
        </w:rPr>
        <w:t>Madonas</w:t>
      </w:r>
      <w:r w:rsidR="004A30B3" w:rsidRPr="00577BF3">
        <w:rPr>
          <w:rFonts w:cs="Times New Roman"/>
          <w:szCs w:val="24"/>
        </w:rPr>
        <w:t xml:space="preserve"> rajona prokuratūra – </w:t>
      </w:r>
      <w:r w:rsidRPr="00577BF3">
        <w:rPr>
          <w:rFonts w:cs="Times New Roman"/>
          <w:szCs w:val="24"/>
        </w:rPr>
        <w:t>6 </w:t>
      </w:r>
      <w:r w:rsidR="004A30B3" w:rsidRPr="00577BF3">
        <w:rPr>
          <w:rFonts w:cs="Times New Roman"/>
          <w:szCs w:val="24"/>
        </w:rPr>
        <w:t xml:space="preserve">prokurora amata vietas (1 virsprokurora un </w:t>
      </w:r>
      <w:r w:rsidRPr="00577BF3">
        <w:rPr>
          <w:rFonts w:cs="Times New Roman"/>
          <w:szCs w:val="24"/>
        </w:rPr>
        <w:t>5 </w:t>
      </w:r>
      <w:r w:rsidR="004A30B3" w:rsidRPr="00577BF3">
        <w:rPr>
          <w:rFonts w:cs="Times New Roman"/>
          <w:szCs w:val="24"/>
        </w:rPr>
        <w:t>prokurora štata vietas);</w:t>
      </w:r>
    </w:p>
    <w:p w14:paraId="0368F043" w14:textId="3720D3D9" w:rsidR="00150DDA" w:rsidRPr="00577BF3" w:rsidRDefault="00150DDA" w:rsidP="00B16727">
      <w:pPr>
        <w:pStyle w:val="ListParagraph"/>
        <w:numPr>
          <w:ilvl w:val="0"/>
          <w:numId w:val="1"/>
        </w:numPr>
        <w:spacing w:after="0" w:line="240" w:lineRule="auto"/>
        <w:jc w:val="both"/>
        <w:rPr>
          <w:rFonts w:cs="Times New Roman"/>
          <w:szCs w:val="24"/>
        </w:rPr>
      </w:pPr>
      <w:r w:rsidRPr="00577BF3">
        <w:rPr>
          <w:rFonts w:cs="Times New Roman"/>
          <w:szCs w:val="24"/>
        </w:rPr>
        <w:t>Valkas rajona prokuratūra – 4 prokurora amata vietas (1 virsprokurora un 3 prokurora štata vietas);</w:t>
      </w:r>
    </w:p>
    <w:p w14:paraId="680023FF" w14:textId="2D4507EB" w:rsidR="004A30B3" w:rsidRDefault="00150DDA" w:rsidP="00B16727">
      <w:pPr>
        <w:pStyle w:val="ListParagraph"/>
        <w:numPr>
          <w:ilvl w:val="0"/>
          <w:numId w:val="1"/>
        </w:numPr>
        <w:spacing w:after="0" w:line="240" w:lineRule="auto"/>
        <w:ind w:left="714" w:hanging="357"/>
        <w:jc w:val="both"/>
        <w:rPr>
          <w:rFonts w:cs="Times New Roman"/>
          <w:szCs w:val="24"/>
        </w:rPr>
      </w:pPr>
      <w:r w:rsidRPr="00577BF3">
        <w:rPr>
          <w:rFonts w:cs="Times New Roman"/>
          <w:szCs w:val="24"/>
        </w:rPr>
        <w:t>Valmieras rajona</w:t>
      </w:r>
      <w:r w:rsidR="004A30B3" w:rsidRPr="00577BF3">
        <w:rPr>
          <w:rFonts w:cs="Times New Roman"/>
          <w:szCs w:val="24"/>
        </w:rPr>
        <w:t xml:space="preserve"> prokuratūra – </w:t>
      </w:r>
      <w:r w:rsidR="000127A6" w:rsidRPr="00577BF3">
        <w:rPr>
          <w:rFonts w:cs="Times New Roman"/>
          <w:szCs w:val="24"/>
        </w:rPr>
        <w:t>11 </w:t>
      </w:r>
      <w:r w:rsidR="004A30B3" w:rsidRPr="00577BF3">
        <w:rPr>
          <w:rFonts w:cs="Times New Roman"/>
          <w:szCs w:val="24"/>
        </w:rPr>
        <w:t xml:space="preserve">prokurora amata vietas (1 virsprokurora un </w:t>
      </w:r>
      <w:r w:rsidR="000127A6" w:rsidRPr="00577BF3">
        <w:rPr>
          <w:rFonts w:cs="Times New Roman"/>
          <w:szCs w:val="24"/>
        </w:rPr>
        <w:t>10 </w:t>
      </w:r>
      <w:r w:rsidR="004A30B3" w:rsidRPr="00577BF3">
        <w:rPr>
          <w:rFonts w:cs="Times New Roman"/>
          <w:szCs w:val="24"/>
        </w:rPr>
        <w:t>prokurora štata vietas).</w:t>
      </w:r>
    </w:p>
    <w:p w14:paraId="317F86D2" w14:textId="77777777" w:rsidR="00FB0F9F" w:rsidRPr="00577BF3" w:rsidRDefault="00FB0F9F" w:rsidP="00392180">
      <w:pPr>
        <w:spacing w:after="0" w:line="240" w:lineRule="auto"/>
        <w:rPr>
          <w:rFonts w:cs="Times New Roman"/>
          <w:szCs w:val="24"/>
        </w:rPr>
      </w:pPr>
    </w:p>
    <w:bookmarkEnd w:id="30"/>
    <w:p w14:paraId="18802CCF" w14:textId="6D416753" w:rsidR="00160F6B" w:rsidRDefault="008B0A93" w:rsidP="00D67FD2">
      <w:pPr>
        <w:tabs>
          <w:tab w:val="left" w:leader="dot" w:pos="8505"/>
        </w:tabs>
        <w:spacing w:after="0" w:line="240" w:lineRule="auto"/>
        <w:jc w:val="center"/>
        <w:rPr>
          <w:rFonts w:cs="Times New Roman"/>
          <w:szCs w:val="24"/>
        </w:rPr>
      </w:pPr>
      <w:r w:rsidRPr="00577BF3">
        <w:rPr>
          <w:rFonts w:cs="Times New Roman"/>
          <w:noProof/>
        </w:rPr>
        <w:drawing>
          <wp:inline distT="0" distB="0" distL="0" distR="0" wp14:anchorId="5063C57F" wp14:editId="43441370">
            <wp:extent cx="3575050" cy="1593850"/>
            <wp:effectExtent l="0" t="0" r="6350" b="6350"/>
            <wp:docPr id="9" name="Chart 9">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957F4CC" w14:textId="77777777" w:rsidR="00514DEB" w:rsidRPr="00577BF3" w:rsidRDefault="00514DEB" w:rsidP="00514DEB">
      <w:pPr>
        <w:tabs>
          <w:tab w:val="left" w:leader="dot" w:pos="8505"/>
        </w:tabs>
        <w:spacing w:after="0" w:line="240" w:lineRule="auto"/>
        <w:jc w:val="center"/>
        <w:rPr>
          <w:rFonts w:cs="Times New Roman"/>
          <w:szCs w:val="24"/>
        </w:rPr>
      </w:pPr>
    </w:p>
    <w:p w14:paraId="570991D8" w14:textId="206E6012" w:rsidR="00392180" w:rsidRPr="00603172" w:rsidRDefault="00392180" w:rsidP="00392180">
      <w:pPr>
        <w:spacing w:after="0" w:line="240" w:lineRule="auto"/>
        <w:ind w:firstLine="714"/>
        <w:jc w:val="both"/>
        <w:rPr>
          <w:rFonts w:cs="Times New Roman"/>
          <w:szCs w:val="24"/>
        </w:rPr>
      </w:pPr>
      <w:r>
        <w:rPr>
          <w:rFonts w:cs="Times New Roman"/>
          <w:szCs w:val="24"/>
        </w:rPr>
        <w:t>Kopumā Vidzemes tiesas apgabalā uz 2020. gada 31.decembri bija noteiktas 46 prokurora amata vietas, no kurām aizpildītas 38 (virsprokurora un prokurora štata vietas) jeb 8</w:t>
      </w:r>
      <w:r w:rsidR="00F634C2">
        <w:rPr>
          <w:rFonts w:cs="Times New Roman"/>
          <w:szCs w:val="24"/>
        </w:rPr>
        <w:t>3</w:t>
      </w:r>
      <w:r>
        <w:rPr>
          <w:rFonts w:cs="Times New Roman"/>
          <w:szCs w:val="24"/>
        </w:rPr>
        <w:t> %.</w:t>
      </w:r>
    </w:p>
    <w:p w14:paraId="7DACDA3E" w14:textId="2E82CB62" w:rsidR="00824504" w:rsidRPr="00132487" w:rsidRDefault="00735556" w:rsidP="00735556">
      <w:pPr>
        <w:spacing w:after="0" w:line="240" w:lineRule="auto"/>
        <w:ind w:firstLine="714"/>
        <w:jc w:val="both"/>
        <w:rPr>
          <w:rFonts w:eastAsia="Times New Roman"/>
          <w:szCs w:val="24"/>
          <w:lang w:eastAsia="lv-LV"/>
        </w:rPr>
      </w:pPr>
      <w:r>
        <w:rPr>
          <w:rFonts w:eastAsia="Times New Roman"/>
          <w:szCs w:val="24"/>
          <w:lang w:eastAsia="lv-LV"/>
        </w:rPr>
        <w:t>M</w:t>
      </w:r>
      <w:r w:rsidR="000C1611" w:rsidRPr="00132487">
        <w:rPr>
          <w:rFonts w:eastAsia="Times New Roman"/>
          <w:szCs w:val="24"/>
          <w:lang w:eastAsia="lv-LV"/>
        </w:rPr>
        <w:t>inēt</w:t>
      </w:r>
      <w:r>
        <w:rPr>
          <w:rFonts w:eastAsia="Times New Roman"/>
          <w:szCs w:val="24"/>
          <w:lang w:eastAsia="lv-LV"/>
        </w:rPr>
        <w:t xml:space="preserve">ā situācija </w:t>
      </w:r>
      <w:r w:rsidR="00D24C95" w:rsidRPr="00132487">
        <w:rPr>
          <w:rFonts w:eastAsia="Times New Roman"/>
          <w:szCs w:val="24"/>
          <w:lang w:eastAsia="lv-LV"/>
        </w:rPr>
        <w:t>vērtējam</w:t>
      </w:r>
      <w:r>
        <w:rPr>
          <w:rFonts w:eastAsia="Times New Roman"/>
          <w:szCs w:val="24"/>
          <w:lang w:eastAsia="lv-LV"/>
        </w:rPr>
        <w:t>a</w:t>
      </w:r>
      <w:r w:rsidR="00D24C95" w:rsidRPr="00132487">
        <w:rPr>
          <w:rFonts w:eastAsia="Times New Roman"/>
          <w:szCs w:val="24"/>
          <w:lang w:eastAsia="lv-LV"/>
        </w:rPr>
        <w:t xml:space="preserve"> kā būtisks faktors, kas atstāj negatīvu ietekmi uz prokuroru noslodzi un kavē kvalitatīvu prokuratūras funkciju izpildi. </w:t>
      </w:r>
    </w:p>
    <w:p w14:paraId="398885B1" w14:textId="008EB470" w:rsidR="00824504" w:rsidRPr="00577BF3" w:rsidRDefault="00824504" w:rsidP="00824504">
      <w:pPr>
        <w:spacing w:after="0" w:line="240" w:lineRule="auto"/>
        <w:ind w:firstLine="720"/>
        <w:jc w:val="both"/>
        <w:rPr>
          <w:rFonts w:cs="Times New Roman"/>
          <w:szCs w:val="24"/>
        </w:rPr>
      </w:pPr>
      <w:r w:rsidRPr="00577BF3">
        <w:rPr>
          <w:rFonts w:cs="Times New Roman"/>
          <w:szCs w:val="24"/>
        </w:rPr>
        <w:t xml:space="preserve">Prokuratūrā notiekošā reorganizācija ietver rajona līmeņa prokuratūras struktūrvienību apvienošanu, izveidojot jaunas prokuratūras struktūrvienības, tādējādi samazinot to skaitu. Vidzemes tiesas apgabalā no 2021. gada 1. marta, apvienojot līdzšinējās 7 rajona līmeņa prokuratūras struktūrvienības, izveidota 1 jauna rajona līmeņa prokuratūras struktūrvienība – </w:t>
      </w:r>
      <w:r w:rsidRPr="00577BF3">
        <w:rPr>
          <w:rFonts w:cs="Times New Roman"/>
          <w:b/>
          <w:bCs/>
          <w:szCs w:val="24"/>
        </w:rPr>
        <w:t xml:space="preserve">Vidzemes prokuratūra </w:t>
      </w:r>
      <w:r w:rsidRPr="00577BF3">
        <w:rPr>
          <w:rFonts w:cs="Times New Roman"/>
          <w:szCs w:val="24"/>
        </w:rPr>
        <w:t>–</w:t>
      </w:r>
      <w:r w:rsidRPr="00577BF3">
        <w:rPr>
          <w:rFonts w:cs="Times New Roman"/>
          <w:b/>
          <w:bCs/>
          <w:szCs w:val="24"/>
        </w:rPr>
        <w:t xml:space="preserve"> </w:t>
      </w:r>
      <w:r w:rsidRPr="00577BF3">
        <w:rPr>
          <w:rFonts w:cs="Times New Roman"/>
          <w:szCs w:val="24"/>
        </w:rPr>
        <w:t xml:space="preserve">un samazinātas 2 prokurora amata vietas.   </w:t>
      </w:r>
    </w:p>
    <w:p w14:paraId="7B9EDF80" w14:textId="429AA977" w:rsidR="00D24C95" w:rsidRPr="00F86510" w:rsidRDefault="00D24C95" w:rsidP="00824504">
      <w:pPr>
        <w:spacing w:after="0" w:line="240" w:lineRule="auto"/>
        <w:ind w:firstLine="720"/>
        <w:jc w:val="both"/>
        <w:rPr>
          <w:rFonts w:eastAsia="Times New Roman"/>
          <w:szCs w:val="24"/>
          <w:lang w:eastAsia="lv-LV"/>
        </w:rPr>
      </w:pPr>
      <w:r w:rsidRPr="00F86510">
        <w:rPr>
          <w:rFonts w:eastAsia="Times New Roman"/>
          <w:szCs w:val="24"/>
          <w:lang w:eastAsia="lv-LV"/>
        </w:rPr>
        <w:t>Vidzemes prokuratūrā</w:t>
      </w:r>
      <w:r w:rsidR="00C5180C" w:rsidRPr="00F86510">
        <w:rPr>
          <w:rFonts w:eastAsia="Times New Roman"/>
          <w:szCs w:val="24"/>
          <w:lang w:eastAsia="lv-LV"/>
        </w:rPr>
        <w:t xml:space="preserve">, kas </w:t>
      </w:r>
      <w:r w:rsidR="00B539EB" w:rsidRPr="00F86510">
        <w:rPr>
          <w:rFonts w:eastAsia="Times New Roman"/>
          <w:szCs w:val="24"/>
          <w:lang w:eastAsia="lv-LV"/>
        </w:rPr>
        <w:t>no 2021.gada 1. marta</w:t>
      </w:r>
      <w:r w:rsidR="008549EA">
        <w:rPr>
          <w:rFonts w:eastAsia="Times New Roman"/>
          <w:szCs w:val="24"/>
          <w:lang w:eastAsia="lv-LV"/>
        </w:rPr>
        <w:t xml:space="preserve"> </w:t>
      </w:r>
      <w:r w:rsidR="003A120C">
        <w:rPr>
          <w:rFonts w:eastAsia="Times New Roman"/>
          <w:szCs w:val="24"/>
          <w:lang w:eastAsia="lv-LV"/>
        </w:rPr>
        <w:t>būs</w:t>
      </w:r>
      <w:r w:rsidR="00C5180C" w:rsidRPr="00F86510">
        <w:rPr>
          <w:rFonts w:eastAsia="Times New Roman"/>
          <w:szCs w:val="24"/>
          <w:lang w:eastAsia="lv-LV"/>
        </w:rPr>
        <w:t xml:space="preserve"> vienīgā rajo</w:t>
      </w:r>
      <w:r w:rsidR="00B539EB" w:rsidRPr="00F86510">
        <w:rPr>
          <w:rFonts w:eastAsia="Times New Roman"/>
          <w:szCs w:val="24"/>
          <w:lang w:eastAsia="lv-LV"/>
        </w:rPr>
        <w:t>na</w:t>
      </w:r>
      <w:r w:rsidR="00C5180C" w:rsidRPr="00F86510">
        <w:rPr>
          <w:rFonts w:eastAsia="Times New Roman"/>
          <w:szCs w:val="24"/>
          <w:lang w:eastAsia="lv-LV"/>
        </w:rPr>
        <w:t xml:space="preserve"> līmeņa prokuratūras struktūrvienība Vidzemes tiesas apgabala prokuratūras darbības teritorijā</w:t>
      </w:r>
      <w:r w:rsidR="00953193" w:rsidRPr="00F86510">
        <w:rPr>
          <w:rFonts w:eastAsia="Times New Roman"/>
          <w:szCs w:val="24"/>
          <w:lang w:eastAsia="lv-LV"/>
        </w:rPr>
        <w:t>,</w:t>
      </w:r>
      <w:r w:rsidRPr="00F86510">
        <w:rPr>
          <w:rFonts w:eastAsia="Times New Roman"/>
          <w:szCs w:val="24"/>
          <w:lang w:eastAsia="lv-LV"/>
        </w:rPr>
        <w:t xml:space="preserve"> būtu </w:t>
      </w:r>
      <w:r w:rsidRPr="00F86510">
        <w:rPr>
          <w:rFonts w:eastAsia="Times New Roman"/>
          <w:szCs w:val="24"/>
          <w:lang w:eastAsia="lv-LV"/>
        </w:rPr>
        <w:lastRenderedPageBreak/>
        <w:t xml:space="preserve">nepieciešams aizpildīt visas </w:t>
      </w:r>
      <w:r w:rsidR="00CF373E">
        <w:rPr>
          <w:rFonts w:eastAsia="Times New Roman"/>
          <w:szCs w:val="24"/>
          <w:lang w:eastAsia="lv-LV"/>
        </w:rPr>
        <w:t xml:space="preserve">brīvās </w:t>
      </w:r>
      <w:r w:rsidRPr="00F86510">
        <w:rPr>
          <w:rFonts w:eastAsia="Times New Roman"/>
          <w:szCs w:val="24"/>
          <w:lang w:eastAsia="lv-LV"/>
        </w:rPr>
        <w:t>prokuror</w:t>
      </w:r>
      <w:r w:rsidR="00CB67ED">
        <w:rPr>
          <w:rFonts w:eastAsia="Times New Roman"/>
          <w:szCs w:val="24"/>
          <w:lang w:eastAsia="lv-LV"/>
        </w:rPr>
        <w:t>a štata vietas</w:t>
      </w:r>
      <w:r w:rsidR="006F3F00">
        <w:rPr>
          <w:rFonts w:eastAsia="Times New Roman"/>
          <w:szCs w:val="24"/>
          <w:lang w:eastAsia="lv-LV"/>
        </w:rPr>
        <w:t>.</w:t>
      </w:r>
      <w:r w:rsidRPr="00F86510">
        <w:rPr>
          <w:rFonts w:eastAsia="Times New Roman"/>
          <w:szCs w:val="24"/>
          <w:lang w:eastAsia="lv-LV"/>
        </w:rPr>
        <w:t xml:space="preserve"> Šobrīd rajona </w:t>
      </w:r>
      <w:r w:rsidR="006A5C2B">
        <w:rPr>
          <w:rFonts w:eastAsia="Times New Roman"/>
          <w:szCs w:val="24"/>
          <w:lang w:eastAsia="lv-LV"/>
        </w:rPr>
        <w:t xml:space="preserve">līmeņa </w:t>
      </w:r>
      <w:r w:rsidRPr="00F86510">
        <w:rPr>
          <w:rFonts w:eastAsia="Times New Roman"/>
          <w:szCs w:val="24"/>
          <w:lang w:eastAsia="lv-LV"/>
        </w:rPr>
        <w:t xml:space="preserve">prokuratūrās </w:t>
      </w:r>
      <w:r w:rsidR="009C4EF4">
        <w:rPr>
          <w:rFonts w:eastAsia="Times New Roman"/>
          <w:szCs w:val="24"/>
          <w:lang w:eastAsia="lv-LV"/>
        </w:rPr>
        <w:t xml:space="preserve">vakantajās prokurora amata vietās </w:t>
      </w:r>
      <w:r w:rsidRPr="00F86510">
        <w:rPr>
          <w:rFonts w:eastAsia="Times New Roman"/>
          <w:szCs w:val="24"/>
          <w:lang w:eastAsia="lv-LV"/>
        </w:rPr>
        <w:t>stažējas 4</w:t>
      </w:r>
      <w:r w:rsidR="003E3EC0">
        <w:rPr>
          <w:rFonts w:eastAsia="Times New Roman"/>
          <w:szCs w:val="24"/>
          <w:lang w:eastAsia="lv-LV"/>
        </w:rPr>
        <w:t> </w:t>
      </w:r>
      <w:r w:rsidRPr="00F86510">
        <w:rPr>
          <w:rFonts w:eastAsia="Times New Roman"/>
          <w:szCs w:val="24"/>
          <w:lang w:eastAsia="lv-LV"/>
        </w:rPr>
        <w:t xml:space="preserve">prokurora amata kandidāti, </w:t>
      </w:r>
      <w:r w:rsidR="008E3F84">
        <w:rPr>
          <w:rFonts w:eastAsia="Times New Roman"/>
          <w:szCs w:val="24"/>
          <w:lang w:eastAsia="lv-LV"/>
        </w:rPr>
        <w:t>kuri p</w:t>
      </w:r>
      <w:r w:rsidR="003376DD">
        <w:rPr>
          <w:rFonts w:eastAsia="Times New Roman"/>
          <w:szCs w:val="24"/>
          <w:lang w:eastAsia="lv-LV"/>
        </w:rPr>
        <w:t>ie nosacījuma,</w:t>
      </w:r>
      <w:r w:rsidR="00CA3501">
        <w:rPr>
          <w:rFonts w:eastAsia="Times New Roman"/>
          <w:szCs w:val="24"/>
          <w:lang w:eastAsia="lv-LV"/>
        </w:rPr>
        <w:t xml:space="preserve"> ja</w:t>
      </w:r>
      <w:r w:rsidR="008E3F84">
        <w:rPr>
          <w:rFonts w:eastAsia="Times New Roman"/>
          <w:szCs w:val="24"/>
          <w:lang w:eastAsia="lv-LV"/>
        </w:rPr>
        <w:t xml:space="preserve"> veiksmīg</w:t>
      </w:r>
      <w:r w:rsidR="007F1A0E">
        <w:rPr>
          <w:rFonts w:eastAsia="Times New Roman"/>
          <w:szCs w:val="24"/>
          <w:lang w:eastAsia="lv-LV"/>
        </w:rPr>
        <w:t>i nokārto</w:t>
      </w:r>
      <w:r w:rsidR="00CA3501">
        <w:rPr>
          <w:rFonts w:eastAsia="Times New Roman"/>
          <w:szCs w:val="24"/>
          <w:lang w:eastAsia="lv-LV"/>
        </w:rPr>
        <w:t>s</w:t>
      </w:r>
      <w:r w:rsidR="007F1A0E">
        <w:rPr>
          <w:rFonts w:eastAsia="Times New Roman"/>
          <w:szCs w:val="24"/>
          <w:lang w:eastAsia="lv-LV"/>
        </w:rPr>
        <w:t xml:space="preserve"> </w:t>
      </w:r>
      <w:r w:rsidRPr="00F86510">
        <w:rPr>
          <w:rFonts w:eastAsia="Times New Roman"/>
          <w:szCs w:val="24"/>
          <w:lang w:eastAsia="lv-LV"/>
        </w:rPr>
        <w:t>kvalifikācijas pārbaudījum</w:t>
      </w:r>
      <w:r w:rsidR="00CA3501">
        <w:rPr>
          <w:rFonts w:eastAsia="Times New Roman"/>
          <w:szCs w:val="24"/>
          <w:lang w:eastAsia="lv-LV"/>
        </w:rPr>
        <w:t>us,</w:t>
      </w:r>
      <w:r w:rsidR="00C509BF">
        <w:rPr>
          <w:rFonts w:eastAsia="Times New Roman"/>
          <w:szCs w:val="24"/>
          <w:lang w:eastAsia="lv-LV"/>
        </w:rPr>
        <w:t xml:space="preserve"> t</w:t>
      </w:r>
      <w:r w:rsidRPr="00F86510">
        <w:rPr>
          <w:rFonts w:eastAsia="Times New Roman"/>
          <w:szCs w:val="24"/>
          <w:lang w:eastAsia="lv-LV"/>
        </w:rPr>
        <w:t>uvākajā laikā varētu tikt iecelt</w:t>
      </w:r>
      <w:r w:rsidR="00C509BF">
        <w:rPr>
          <w:rFonts w:eastAsia="Times New Roman"/>
          <w:szCs w:val="24"/>
          <w:lang w:eastAsia="lv-LV"/>
        </w:rPr>
        <w:t>i</w:t>
      </w:r>
      <w:r w:rsidRPr="00F86510">
        <w:rPr>
          <w:rFonts w:eastAsia="Times New Roman"/>
          <w:szCs w:val="24"/>
          <w:lang w:eastAsia="lv-LV"/>
        </w:rPr>
        <w:t xml:space="preserve"> prokurora amatā. </w:t>
      </w:r>
      <w:r w:rsidR="00C509BF">
        <w:rPr>
          <w:rFonts w:eastAsia="Times New Roman"/>
          <w:szCs w:val="24"/>
          <w:lang w:eastAsia="lv-LV"/>
        </w:rPr>
        <w:t>Tajā pašā laikā</w:t>
      </w:r>
      <w:r w:rsidRPr="00F86510">
        <w:rPr>
          <w:rFonts w:eastAsia="Times New Roman"/>
          <w:szCs w:val="24"/>
          <w:lang w:eastAsia="lv-LV"/>
        </w:rPr>
        <w:t xml:space="preserve"> zināms, ka 2021.</w:t>
      </w:r>
      <w:r w:rsidR="00C509BF">
        <w:rPr>
          <w:rFonts w:eastAsia="Times New Roman"/>
          <w:szCs w:val="24"/>
          <w:lang w:eastAsia="lv-LV"/>
        </w:rPr>
        <w:t> </w:t>
      </w:r>
      <w:r w:rsidRPr="00F86510">
        <w:rPr>
          <w:rFonts w:eastAsia="Times New Roman"/>
          <w:szCs w:val="24"/>
          <w:lang w:eastAsia="lv-LV"/>
        </w:rPr>
        <w:t>gada 1.</w:t>
      </w:r>
      <w:r w:rsidR="00C509BF">
        <w:rPr>
          <w:rFonts w:eastAsia="Times New Roman"/>
          <w:szCs w:val="24"/>
          <w:lang w:eastAsia="lv-LV"/>
        </w:rPr>
        <w:t> </w:t>
      </w:r>
      <w:r w:rsidRPr="00F86510">
        <w:rPr>
          <w:rFonts w:eastAsia="Times New Roman"/>
          <w:szCs w:val="24"/>
          <w:lang w:eastAsia="lv-LV"/>
        </w:rPr>
        <w:t xml:space="preserve">martā sakarā ar prokuratūras struktūrvienību reorganizāciju </w:t>
      </w:r>
      <w:r w:rsidR="00D129A4" w:rsidRPr="00F86510">
        <w:rPr>
          <w:rFonts w:eastAsia="Times New Roman"/>
          <w:szCs w:val="24"/>
          <w:lang w:eastAsia="lv-LV"/>
        </w:rPr>
        <w:t xml:space="preserve">amata attiecības </w:t>
      </w:r>
      <w:r w:rsidRPr="00F86510">
        <w:rPr>
          <w:rFonts w:eastAsia="Times New Roman"/>
          <w:szCs w:val="24"/>
          <w:lang w:eastAsia="lv-LV"/>
        </w:rPr>
        <w:t>izbeidz 3</w:t>
      </w:r>
      <w:r w:rsidR="003B4A0F">
        <w:rPr>
          <w:rFonts w:eastAsia="Times New Roman"/>
          <w:szCs w:val="24"/>
          <w:lang w:eastAsia="lv-LV"/>
        </w:rPr>
        <w:t> </w:t>
      </w:r>
      <w:r w:rsidR="00D129A4">
        <w:rPr>
          <w:rFonts w:eastAsia="Times New Roman"/>
          <w:szCs w:val="24"/>
          <w:lang w:eastAsia="lv-LV"/>
        </w:rPr>
        <w:t xml:space="preserve">līdzšinējie </w:t>
      </w:r>
      <w:r w:rsidRPr="00F86510">
        <w:rPr>
          <w:rFonts w:eastAsia="Times New Roman"/>
          <w:szCs w:val="24"/>
          <w:lang w:eastAsia="lv-LV"/>
        </w:rPr>
        <w:t>rajona līmeņa prokuratūr</w:t>
      </w:r>
      <w:r w:rsidR="00D129A4">
        <w:rPr>
          <w:rFonts w:eastAsia="Times New Roman"/>
          <w:szCs w:val="24"/>
          <w:lang w:eastAsia="lv-LV"/>
        </w:rPr>
        <w:t>as struktūrvienību</w:t>
      </w:r>
      <w:r w:rsidRPr="00F86510">
        <w:rPr>
          <w:rFonts w:eastAsia="Times New Roman"/>
          <w:szCs w:val="24"/>
          <w:lang w:eastAsia="lv-LV"/>
        </w:rPr>
        <w:t xml:space="preserve"> virsprokurori</w:t>
      </w:r>
      <w:r w:rsidR="00A25F00">
        <w:rPr>
          <w:rFonts w:eastAsia="Times New Roman"/>
          <w:szCs w:val="24"/>
          <w:lang w:eastAsia="lv-LV"/>
        </w:rPr>
        <w:t>.</w:t>
      </w:r>
      <w:r w:rsidRPr="00F86510">
        <w:rPr>
          <w:rFonts w:eastAsia="Times New Roman"/>
          <w:szCs w:val="24"/>
          <w:lang w:eastAsia="lv-LV"/>
        </w:rPr>
        <w:t xml:space="preserve"> Lai nodrošinātu efektīvu prokuroru pilnvaru realizēšanu kriminālprocesos, kā arī mazinātu prokuroru pārslodzes riskus, prokuratūras darbībā pats svarīgākais ir kvalitatīva prokurora amata kandidātu atlase darbam rajona līmeņa prokuratūrās. </w:t>
      </w:r>
    </w:p>
    <w:p w14:paraId="716CE7AD" w14:textId="6BF30B53" w:rsidR="00D24C95" w:rsidRPr="00DF2CD9" w:rsidRDefault="00D24C95" w:rsidP="00DF2CD9">
      <w:pPr>
        <w:spacing w:after="0" w:line="240" w:lineRule="auto"/>
        <w:ind w:firstLine="720"/>
        <w:jc w:val="both"/>
        <w:rPr>
          <w:rFonts w:eastAsia="Times New Roman"/>
          <w:szCs w:val="24"/>
          <w:lang w:eastAsia="lv-LV"/>
        </w:rPr>
      </w:pPr>
      <w:r w:rsidRPr="00F86510">
        <w:rPr>
          <w:rFonts w:eastAsia="Times New Roman"/>
          <w:szCs w:val="24"/>
          <w:lang w:eastAsia="lv-LV"/>
        </w:rPr>
        <w:t xml:space="preserve">Vidzemes tiesas apgabala prokuratūrā šobrīd vakantu </w:t>
      </w:r>
      <w:r w:rsidR="00ED6823">
        <w:rPr>
          <w:rFonts w:eastAsia="Times New Roman"/>
          <w:szCs w:val="24"/>
          <w:lang w:eastAsia="lv-LV"/>
        </w:rPr>
        <w:t xml:space="preserve">prokurora štata </w:t>
      </w:r>
      <w:r w:rsidRPr="00F86510">
        <w:rPr>
          <w:rFonts w:eastAsia="Times New Roman"/>
          <w:szCs w:val="24"/>
          <w:lang w:eastAsia="lv-LV"/>
        </w:rPr>
        <w:t xml:space="preserve">vietu nav, līdz ar to </w:t>
      </w:r>
      <w:r w:rsidR="00E40DA4">
        <w:rPr>
          <w:rFonts w:eastAsia="Times New Roman"/>
          <w:szCs w:val="24"/>
          <w:lang w:eastAsia="lv-LV"/>
        </w:rPr>
        <w:t xml:space="preserve">visu </w:t>
      </w:r>
      <w:r w:rsidRPr="00F86510">
        <w:rPr>
          <w:rFonts w:eastAsia="Times New Roman"/>
          <w:szCs w:val="24"/>
          <w:lang w:eastAsia="lv-LV"/>
        </w:rPr>
        <w:t>prokurora funkciju veikšan</w:t>
      </w:r>
      <w:r w:rsidR="00B05FA9">
        <w:rPr>
          <w:rFonts w:eastAsia="Times New Roman"/>
          <w:szCs w:val="24"/>
          <w:lang w:eastAsia="lv-LV"/>
        </w:rPr>
        <w:t xml:space="preserve">a tajā tiek </w:t>
      </w:r>
      <w:r w:rsidR="00E766CB">
        <w:rPr>
          <w:rFonts w:eastAsia="Times New Roman"/>
          <w:szCs w:val="24"/>
          <w:lang w:eastAsia="lv-LV"/>
        </w:rPr>
        <w:t>nodrošināta pilnībā.</w:t>
      </w:r>
      <w:r w:rsidRPr="00F86510">
        <w:rPr>
          <w:rFonts w:eastAsia="Times New Roman"/>
          <w:szCs w:val="24"/>
          <w:lang w:eastAsia="lv-LV"/>
        </w:rPr>
        <w:t xml:space="preserve"> </w:t>
      </w:r>
    </w:p>
    <w:p w14:paraId="7A00D86C" w14:textId="77777777" w:rsidR="00D24C95" w:rsidRPr="008530D0" w:rsidRDefault="00D24C95" w:rsidP="00F471A2">
      <w:pPr>
        <w:spacing w:after="0" w:line="240" w:lineRule="auto"/>
        <w:ind w:firstLine="720"/>
        <w:jc w:val="both"/>
        <w:rPr>
          <w:rFonts w:eastAsia="Times New Roman"/>
          <w:szCs w:val="24"/>
          <w:lang w:eastAsia="lv-LV"/>
        </w:rPr>
      </w:pPr>
    </w:p>
    <w:p w14:paraId="0D7B9BC0" w14:textId="6936724B" w:rsidR="00D24C95" w:rsidRPr="006F65A6" w:rsidRDefault="00D24C95" w:rsidP="00D24C95">
      <w:pPr>
        <w:spacing w:after="0" w:line="240" w:lineRule="auto"/>
        <w:ind w:firstLine="720"/>
        <w:jc w:val="center"/>
        <w:rPr>
          <w:rFonts w:eastAsia="Times New Roman"/>
          <w:b/>
          <w:bCs/>
          <w:sz w:val="28"/>
          <w:szCs w:val="28"/>
          <w:lang w:eastAsia="lv-LV"/>
        </w:rPr>
      </w:pPr>
      <w:r w:rsidRPr="006F65A6">
        <w:rPr>
          <w:rFonts w:eastAsia="Times New Roman"/>
          <w:b/>
          <w:bCs/>
          <w:sz w:val="28"/>
          <w:szCs w:val="28"/>
          <w:lang w:eastAsia="lv-LV"/>
        </w:rPr>
        <w:t>II</w:t>
      </w:r>
      <w:r w:rsidR="007718A1">
        <w:rPr>
          <w:rFonts w:eastAsia="Times New Roman"/>
          <w:b/>
          <w:bCs/>
          <w:sz w:val="28"/>
          <w:szCs w:val="28"/>
          <w:lang w:eastAsia="lv-LV"/>
        </w:rPr>
        <w:t>. </w:t>
      </w:r>
      <w:r w:rsidRPr="006F65A6">
        <w:rPr>
          <w:rFonts w:eastAsia="Times New Roman"/>
          <w:b/>
          <w:bCs/>
          <w:sz w:val="28"/>
          <w:szCs w:val="28"/>
          <w:lang w:eastAsia="lv-LV"/>
        </w:rPr>
        <w:t xml:space="preserve">Tiesas apgabala prokuratūras darba rādītāji </w:t>
      </w:r>
    </w:p>
    <w:p w14:paraId="5A12D99C" w14:textId="2658CA2A" w:rsidR="00D24C95" w:rsidRPr="00940E02" w:rsidRDefault="00D24C95" w:rsidP="00D24C95">
      <w:pPr>
        <w:spacing w:after="0" w:line="240" w:lineRule="auto"/>
        <w:ind w:firstLine="720"/>
        <w:jc w:val="center"/>
        <w:rPr>
          <w:rFonts w:eastAsia="Times New Roman"/>
          <w:b/>
          <w:bCs/>
          <w:sz w:val="28"/>
          <w:szCs w:val="28"/>
          <w:lang w:eastAsia="lv-LV"/>
        </w:rPr>
      </w:pPr>
      <w:r w:rsidRPr="00940E02">
        <w:rPr>
          <w:rFonts w:eastAsia="Times New Roman"/>
          <w:b/>
          <w:bCs/>
          <w:sz w:val="28"/>
          <w:szCs w:val="28"/>
          <w:lang w:eastAsia="lv-LV"/>
        </w:rPr>
        <w:t>(salīdzinājum</w:t>
      </w:r>
      <w:r w:rsidR="00940E02" w:rsidRPr="00940E02">
        <w:rPr>
          <w:rFonts w:eastAsia="Times New Roman"/>
          <w:b/>
          <w:bCs/>
          <w:sz w:val="28"/>
          <w:szCs w:val="28"/>
          <w:lang w:eastAsia="lv-LV"/>
        </w:rPr>
        <w:t>s</w:t>
      </w:r>
      <w:r w:rsidRPr="00940E02">
        <w:rPr>
          <w:rFonts w:eastAsia="Times New Roman"/>
          <w:b/>
          <w:bCs/>
          <w:sz w:val="28"/>
          <w:szCs w:val="28"/>
          <w:lang w:eastAsia="lv-LV"/>
        </w:rPr>
        <w:t xml:space="preserve"> 3 gadu periodā)</w:t>
      </w:r>
    </w:p>
    <w:p w14:paraId="20330CBE" w14:textId="77777777" w:rsidR="00D24C95" w:rsidRPr="008530D0" w:rsidRDefault="00D24C95" w:rsidP="00940E02">
      <w:pPr>
        <w:spacing w:after="0" w:line="240" w:lineRule="auto"/>
        <w:ind w:firstLine="720"/>
        <w:jc w:val="center"/>
        <w:rPr>
          <w:rFonts w:eastAsia="Times New Roman"/>
          <w:b/>
          <w:bCs/>
          <w:szCs w:val="24"/>
          <w:lang w:eastAsia="lv-LV"/>
        </w:rPr>
      </w:pPr>
    </w:p>
    <w:p w14:paraId="01EF23C7" w14:textId="21F4CC05" w:rsidR="00D24C95" w:rsidRPr="00460D08" w:rsidRDefault="00D24C95" w:rsidP="00E329FC">
      <w:pPr>
        <w:pStyle w:val="ListParagraph"/>
        <w:numPr>
          <w:ilvl w:val="0"/>
          <w:numId w:val="18"/>
        </w:numPr>
        <w:spacing w:after="120" w:line="240" w:lineRule="auto"/>
        <w:ind w:left="714" w:hanging="357"/>
        <w:rPr>
          <w:rFonts w:eastAsia="Times New Roman"/>
          <w:b/>
          <w:bCs/>
          <w:szCs w:val="24"/>
          <w:lang w:eastAsia="lv-LV"/>
        </w:rPr>
      </w:pPr>
      <w:r w:rsidRPr="00D478B8">
        <w:rPr>
          <w:rFonts w:eastAsia="Times New Roman"/>
          <w:b/>
          <w:bCs/>
          <w:szCs w:val="24"/>
          <w:lang w:eastAsia="lv-LV"/>
        </w:rPr>
        <w:t>Kriminālvajāšanai saņemt</w:t>
      </w:r>
      <w:r w:rsidR="005F3494">
        <w:rPr>
          <w:rFonts w:eastAsia="Times New Roman"/>
          <w:b/>
          <w:bCs/>
          <w:szCs w:val="24"/>
          <w:lang w:eastAsia="lv-LV"/>
        </w:rPr>
        <w:t>i</w:t>
      </w:r>
      <w:r w:rsidRPr="00D478B8">
        <w:rPr>
          <w:rFonts w:eastAsia="Times New Roman"/>
          <w:b/>
          <w:bCs/>
          <w:szCs w:val="24"/>
          <w:lang w:eastAsia="lv-LV"/>
        </w:rPr>
        <w:t xml:space="preserve"> krimināl</w:t>
      </w:r>
      <w:r w:rsidR="005F3494">
        <w:rPr>
          <w:rFonts w:eastAsia="Times New Roman"/>
          <w:b/>
          <w:bCs/>
          <w:szCs w:val="24"/>
          <w:lang w:eastAsia="lv-LV"/>
        </w:rPr>
        <w:t>procesi</w:t>
      </w:r>
    </w:p>
    <w:p w14:paraId="1EF986B5" w14:textId="167E12E1" w:rsidR="00D24C95" w:rsidRPr="0083568C" w:rsidRDefault="0083568C" w:rsidP="00495EC8">
      <w:pPr>
        <w:spacing w:after="0" w:line="240" w:lineRule="auto"/>
        <w:jc w:val="center"/>
        <w:rPr>
          <w:rFonts w:eastAsia="Times New Roman"/>
          <w:b/>
          <w:bCs/>
          <w:sz w:val="26"/>
          <w:szCs w:val="26"/>
          <w:lang w:eastAsia="lv-LV"/>
        </w:rPr>
      </w:pPr>
      <w:r>
        <w:rPr>
          <w:noProof/>
        </w:rPr>
        <w:drawing>
          <wp:inline distT="0" distB="0" distL="0" distR="0" wp14:anchorId="5005F2CD" wp14:editId="2E9885EE">
            <wp:extent cx="3968750" cy="1835150"/>
            <wp:effectExtent l="0" t="0" r="12700" b="12700"/>
            <wp:docPr id="100" name="Chart 100">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DA15BD6" w14:textId="77777777" w:rsidR="008132DD" w:rsidRDefault="008132DD" w:rsidP="0083568C">
      <w:pPr>
        <w:spacing w:after="0" w:line="240" w:lineRule="auto"/>
        <w:jc w:val="both"/>
        <w:rPr>
          <w:rFonts w:eastAsia="Times New Roman"/>
          <w:szCs w:val="24"/>
          <w:lang w:eastAsia="lv-LV"/>
        </w:rPr>
      </w:pPr>
    </w:p>
    <w:p w14:paraId="754841E2" w14:textId="003E5571" w:rsidR="00732A28" w:rsidRPr="00460D08" w:rsidRDefault="00D24C95" w:rsidP="00460D08">
      <w:pPr>
        <w:spacing w:after="0" w:line="240" w:lineRule="auto"/>
        <w:ind w:firstLine="720"/>
        <w:jc w:val="both"/>
        <w:rPr>
          <w:rFonts w:eastAsia="Times New Roman"/>
          <w:szCs w:val="24"/>
          <w:lang w:eastAsia="lv-LV"/>
        </w:rPr>
      </w:pPr>
      <w:r w:rsidRPr="00900B2C">
        <w:rPr>
          <w:rFonts w:eastAsia="Times New Roman"/>
          <w:szCs w:val="24"/>
          <w:lang w:eastAsia="lv-LV"/>
        </w:rPr>
        <w:t>Vidzemes tiesas apgabala prokuratūras lietvedībā saņemto krimināl</w:t>
      </w:r>
      <w:r w:rsidR="00E65F60">
        <w:rPr>
          <w:rFonts w:eastAsia="Times New Roman"/>
          <w:szCs w:val="24"/>
          <w:lang w:eastAsia="lv-LV"/>
        </w:rPr>
        <w:t>procesu</w:t>
      </w:r>
      <w:r w:rsidRPr="00900B2C">
        <w:rPr>
          <w:rFonts w:eastAsia="Times New Roman"/>
          <w:szCs w:val="24"/>
          <w:lang w:eastAsia="lv-LV"/>
        </w:rPr>
        <w:t xml:space="preserve"> skaita samazinājums 2020.</w:t>
      </w:r>
      <w:r w:rsidR="008132DD">
        <w:rPr>
          <w:rFonts w:eastAsia="Times New Roman"/>
          <w:szCs w:val="24"/>
          <w:lang w:eastAsia="lv-LV"/>
        </w:rPr>
        <w:t> </w:t>
      </w:r>
      <w:r w:rsidRPr="00900B2C">
        <w:rPr>
          <w:rFonts w:eastAsia="Times New Roman"/>
          <w:szCs w:val="24"/>
          <w:lang w:eastAsia="lv-LV"/>
        </w:rPr>
        <w:t>gadā izskaidrojams ar to, ka apgabala prokuratūras prokurori</w:t>
      </w:r>
      <w:r w:rsidR="00DF1F03" w:rsidRPr="00900B2C">
        <w:rPr>
          <w:rFonts w:eastAsia="Times New Roman"/>
          <w:szCs w:val="24"/>
          <w:lang w:eastAsia="lv-LV"/>
        </w:rPr>
        <w:t xml:space="preserve"> 2018.</w:t>
      </w:r>
      <w:r w:rsidR="00DF1F03">
        <w:rPr>
          <w:rFonts w:eastAsia="Times New Roman"/>
          <w:szCs w:val="24"/>
          <w:lang w:eastAsia="lv-LV"/>
        </w:rPr>
        <w:t> </w:t>
      </w:r>
      <w:r w:rsidR="00DF1F03" w:rsidRPr="00900B2C">
        <w:rPr>
          <w:rFonts w:eastAsia="Times New Roman"/>
          <w:szCs w:val="24"/>
          <w:lang w:eastAsia="lv-LV"/>
        </w:rPr>
        <w:t>gadā</w:t>
      </w:r>
      <w:r w:rsidR="004B6DE9">
        <w:rPr>
          <w:rFonts w:eastAsia="Times New Roman"/>
          <w:szCs w:val="24"/>
          <w:lang w:eastAsia="lv-LV"/>
        </w:rPr>
        <w:t xml:space="preserve"> un </w:t>
      </w:r>
      <w:r w:rsidR="00DF1F03" w:rsidRPr="00900B2C">
        <w:rPr>
          <w:rFonts w:eastAsia="Times New Roman"/>
          <w:szCs w:val="24"/>
          <w:lang w:eastAsia="lv-LV"/>
        </w:rPr>
        <w:t>arī</w:t>
      </w:r>
      <w:r w:rsidR="004B6DE9">
        <w:rPr>
          <w:rFonts w:eastAsia="Times New Roman"/>
          <w:szCs w:val="24"/>
          <w:lang w:eastAsia="lv-LV"/>
        </w:rPr>
        <w:t xml:space="preserve"> </w:t>
      </w:r>
      <w:r w:rsidR="00DF1F03" w:rsidRPr="00900B2C">
        <w:rPr>
          <w:rFonts w:eastAsia="Times New Roman"/>
          <w:szCs w:val="24"/>
          <w:lang w:eastAsia="lv-LV"/>
        </w:rPr>
        <w:t>2019.</w:t>
      </w:r>
      <w:r w:rsidR="00DF1F03">
        <w:rPr>
          <w:rFonts w:eastAsia="Times New Roman"/>
          <w:szCs w:val="24"/>
          <w:lang w:eastAsia="lv-LV"/>
        </w:rPr>
        <w:t> </w:t>
      </w:r>
      <w:r w:rsidR="00DF1F03" w:rsidRPr="00900B2C">
        <w:rPr>
          <w:rFonts w:eastAsia="Times New Roman"/>
          <w:szCs w:val="24"/>
          <w:lang w:eastAsia="lv-LV"/>
        </w:rPr>
        <w:t>gadā</w:t>
      </w:r>
      <w:r w:rsidR="00E600CC">
        <w:rPr>
          <w:rFonts w:eastAsia="Times New Roman"/>
          <w:szCs w:val="24"/>
          <w:lang w:eastAsia="lv-LV"/>
        </w:rPr>
        <w:t>, kad Madonas rajona prokuratūrā reāli strādāja tikai 2 prokurori</w:t>
      </w:r>
      <w:r w:rsidR="00B7190F">
        <w:rPr>
          <w:rFonts w:eastAsia="Times New Roman"/>
          <w:szCs w:val="24"/>
          <w:lang w:eastAsia="lv-LV"/>
        </w:rPr>
        <w:t>, kuriem bija liela noslodze,</w:t>
      </w:r>
      <w:r w:rsidR="00DF1F03" w:rsidRPr="00900B2C">
        <w:rPr>
          <w:rFonts w:eastAsia="Times New Roman"/>
          <w:szCs w:val="24"/>
          <w:lang w:eastAsia="lv-LV"/>
        </w:rPr>
        <w:t xml:space="preserve"> </w:t>
      </w:r>
      <w:r w:rsidR="004B6DE9" w:rsidRPr="00900B2C">
        <w:rPr>
          <w:rFonts w:eastAsia="Times New Roman"/>
          <w:szCs w:val="24"/>
          <w:lang w:eastAsia="lv-LV"/>
        </w:rPr>
        <w:t>iesaistījās Madonas rajona prokuratūrai nodoto krimināl</w:t>
      </w:r>
      <w:r w:rsidR="00E65F60">
        <w:rPr>
          <w:rFonts w:eastAsia="Times New Roman"/>
          <w:szCs w:val="24"/>
          <w:lang w:eastAsia="lv-LV"/>
        </w:rPr>
        <w:t>procesu</w:t>
      </w:r>
      <w:r w:rsidR="004B6DE9" w:rsidRPr="00900B2C">
        <w:rPr>
          <w:rFonts w:eastAsia="Times New Roman"/>
          <w:szCs w:val="24"/>
          <w:lang w:eastAsia="lv-LV"/>
        </w:rPr>
        <w:t xml:space="preserve"> kriminālvajāšanā</w:t>
      </w:r>
      <w:r w:rsidR="002E243D">
        <w:rPr>
          <w:rFonts w:eastAsia="Times New Roman"/>
          <w:szCs w:val="24"/>
          <w:lang w:eastAsia="lv-LV"/>
        </w:rPr>
        <w:t xml:space="preserve">, </w:t>
      </w:r>
      <w:r w:rsidR="00BC10E3">
        <w:rPr>
          <w:rFonts w:eastAsia="Times New Roman"/>
          <w:szCs w:val="24"/>
          <w:lang w:eastAsia="lv-LV"/>
        </w:rPr>
        <w:t>pārņemot t</w:t>
      </w:r>
      <w:r w:rsidR="00D0246C">
        <w:rPr>
          <w:rFonts w:eastAsia="Times New Roman"/>
          <w:szCs w:val="24"/>
          <w:lang w:eastAsia="lv-LV"/>
        </w:rPr>
        <w:t>o</w:t>
      </w:r>
      <w:r w:rsidR="00BC10E3">
        <w:rPr>
          <w:rFonts w:eastAsia="Times New Roman"/>
          <w:szCs w:val="24"/>
          <w:lang w:eastAsia="lv-LV"/>
        </w:rPr>
        <w:t xml:space="preserve">s savā lietvedībā, </w:t>
      </w:r>
      <w:r w:rsidR="002E243D">
        <w:rPr>
          <w:rFonts w:eastAsia="Times New Roman"/>
          <w:szCs w:val="24"/>
          <w:lang w:eastAsia="lv-LV"/>
        </w:rPr>
        <w:t xml:space="preserve">kas attiecīgi palielināja kopējo Vidzemes tiesas apgabala prokuratūrā </w:t>
      </w:r>
      <w:r w:rsidR="008357FF">
        <w:rPr>
          <w:rFonts w:eastAsia="Times New Roman"/>
          <w:szCs w:val="24"/>
          <w:lang w:eastAsia="lv-LV"/>
        </w:rPr>
        <w:t>kriminālvajāšanai saņemto krimināl</w:t>
      </w:r>
      <w:r w:rsidR="00D0246C">
        <w:rPr>
          <w:rFonts w:eastAsia="Times New Roman"/>
          <w:szCs w:val="24"/>
          <w:lang w:eastAsia="lv-LV"/>
        </w:rPr>
        <w:t>procesu</w:t>
      </w:r>
      <w:r w:rsidR="008357FF">
        <w:rPr>
          <w:rFonts w:eastAsia="Times New Roman"/>
          <w:szCs w:val="24"/>
          <w:lang w:eastAsia="lv-LV"/>
        </w:rPr>
        <w:t xml:space="preserve"> skaitu.</w:t>
      </w:r>
      <w:r w:rsidR="001975EF">
        <w:rPr>
          <w:rFonts w:eastAsia="Times New Roman"/>
          <w:szCs w:val="24"/>
          <w:lang w:eastAsia="lv-LV"/>
        </w:rPr>
        <w:t xml:space="preserve"> </w:t>
      </w:r>
    </w:p>
    <w:p w14:paraId="1F80A87A" w14:textId="77777777" w:rsidR="00717F55" w:rsidRDefault="00717F55" w:rsidP="00460D08">
      <w:pPr>
        <w:spacing w:after="0" w:line="240" w:lineRule="auto"/>
        <w:jc w:val="both"/>
        <w:rPr>
          <w:rFonts w:eastAsia="Times New Roman"/>
          <w:sz w:val="26"/>
          <w:szCs w:val="26"/>
          <w:lang w:eastAsia="lv-LV"/>
        </w:rPr>
      </w:pPr>
    </w:p>
    <w:p w14:paraId="7039A813" w14:textId="5CE35EFD" w:rsidR="007F3C44" w:rsidRPr="007F3C44" w:rsidRDefault="00D24C95" w:rsidP="00E329FC">
      <w:pPr>
        <w:pStyle w:val="ListParagraph"/>
        <w:numPr>
          <w:ilvl w:val="0"/>
          <w:numId w:val="18"/>
        </w:numPr>
        <w:spacing w:after="120" w:line="240" w:lineRule="auto"/>
        <w:ind w:left="714" w:hanging="357"/>
        <w:rPr>
          <w:rFonts w:eastAsia="Times New Roman"/>
          <w:b/>
          <w:bCs/>
          <w:szCs w:val="24"/>
          <w:lang w:eastAsia="lv-LV"/>
        </w:rPr>
      </w:pPr>
      <w:r w:rsidRPr="00975C99">
        <w:rPr>
          <w:rFonts w:eastAsia="Times New Roman"/>
          <w:b/>
          <w:bCs/>
          <w:szCs w:val="24"/>
          <w:lang w:eastAsia="lv-LV"/>
        </w:rPr>
        <w:t>Tiesai nodot</w:t>
      </w:r>
      <w:r w:rsidR="00460D08">
        <w:rPr>
          <w:rFonts w:eastAsia="Times New Roman"/>
          <w:b/>
          <w:bCs/>
          <w:szCs w:val="24"/>
          <w:lang w:eastAsia="lv-LV"/>
        </w:rPr>
        <w:t>a</w:t>
      </w:r>
      <w:r w:rsidR="00975C99" w:rsidRPr="00975C99">
        <w:rPr>
          <w:rFonts w:eastAsia="Times New Roman"/>
          <w:b/>
          <w:bCs/>
          <w:szCs w:val="24"/>
          <w:lang w:eastAsia="lv-LV"/>
        </w:rPr>
        <w:t>s</w:t>
      </w:r>
      <w:r w:rsidRPr="00975C99">
        <w:rPr>
          <w:rFonts w:eastAsia="Times New Roman"/>
          <w:b/>
          <w:bCs/>
          <w:szCs w:val="24"/>
          <w:lang w:eastAsia="lv-LV"/>
        </w:rPr>
        <w:t xml:space="preserve"> krimināl</w:t>
      </w:r>
      <w:r w:rsidR="00975C99" w:rsidRPr="00975C99">
        <w:rPr>
          <w:rFonts w:eastAsia="Times New Roman"/>
          <w:b/>
          <w:bCs/>
          <w:szCs w:val="24"/>
          <w:lang w:eastAsia="lv-LV"/>
        </w:rPr>
        <w:t>lietas</w:t>
      </w:r>
      <w:r w:rsidRPr="00975C99">
        <w:rPr>
          <w:rFonts w:eastAsia="Times New Roman"/>
          <w:b/>
          <w:bCs/>
          <w:szCs w:val="24"/>
          <w:lang w:eastAsia="lv-LV"/>
        </w:rPr>
        <w:t>, no t</w:t>
      </w:r>
      <w:r w:rsidR="00975C99" w:rsidRPr="00975C99">
        <w:rPr>
          <w:rFonts w:eastAsia="Times New Roman"/>
          <w:b/>
          <w:bCs/>
          <w:szCs w:val="24"/>
          <w:lang w:eastAsia="lv-LV"/>
        </w:rPr>
        <w:t>ām</w:t>
      </w:r>
      <w:r w:rsidRPr="00975C99">
        <w:rPr>
          <w:rFonts w:eastAsia="Times New Roman"/>
          <w:b/>
          <w:bCs/>
          <w:szCs w:val="24"/>
          <w:lang w:eastAsia="lv-LV"/>
        </w:rPr>
        <w:t xml:space="preserve"> vienošanās procesa kārtībā</w:t>
      </w:r>
    </w:p>
    <w:p w14:paraId="4C0E48D3" w14:textId="07FB5488" w:rsidR="00D24C95" w:rsidRDefault="0064005D" w:rsidP="00DD2AB4">
      <w:pPr>
        <w:spacing w:after="0" w:line="240" w:lineRule="auto"/>
        <w:jc w:val="center"/>
        <w:rPr>
          <w:rFonts w:eastAsia="Times New Roman"/>
          <w:sz w:val="26"/>
          <w:szCs w:val="26"/>
          <w:lang w:eastAsia="lv-LV"/>
        </w:rPr>
      </w:pPr>
      <w:r>
        <w:rPr>
          <w:noProof/>
        </w:rPr>
        <w:drawing>
          <wp:inline distT="0" distB="0" distL="0" distR="0" wp14:anchorId="2F9053F7" wp14:editId="689839F7">
            <wp:extent cx="3962400" cy="1778000"/>
            <wp:effectExtent l="0" t="0" r="0" b="12700"/>
            <wp:docPr id="101" name="Chart 10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F66CE73" w14:textId="77777777" w:rsidR="003023C1" w:rsidRDefault="003023C1" w:rsidP="00D24C95">
      <w:pPr>
        <w:spacing w:after="0" w:line="240" w:lineRule="auto"/>
        <w:ind w:firstLine="720"/>
        <w:jc w:val="both"/>
        <w:rPr>
          <w:rFonts w:eastAsia="Times New Roman"/>
          <w:szCs w:val="24"/>
          <w:lang w:eastAsia="lv-LV"/>
        </w:rPr>
      </w:pPr>
    </w:p>
    <w:p w14:paraId="5B0CAD9A" w14:textId="3B8E0E6A" w:rsidR="00D24C95" w:rsidRPr="00975C99"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Vidzemes tiesas apgabala prokuratūrā vērojama tendence samazināties</w:t>
      </w:r>
      <w:r w:rsidR="0020228E" w:rsidRPr="0020228E">
        <w:rPr>
          <w:rFonts w:eastAsia="Times New Roman"/>
          <w:szCs w:val="24"/>
          <w:lang w:eastAsia="lv-LV"/>
        </w:rPr>
        <w:t xml:space="preserve"> </w:t>
      </w:r>
      <w:r w:rsidR="0020228E" w:rsidRPr="00975C99">
        <w:rPr>
          <w:rFonts w:eastAsia="Times New Roman"/>
          <w:szCs w:val="24"/>
          <w:lang w:eastAsia="lv-LV"/>
        </w:rPr>
        <w:t>vienošanās procesa kārtībā</w:t>
      </w:r>
      <w:r w:rsidRPr="00975C99">
        <w:rPr>
          <w:rFonts w:eastAsia="Times New Roman"/>
          <w:szCs w:val="24"/>
          <w:lang w:eastAsia="lv-LV"/>
        </w:rPr>
        <w:t xml:space="preserve"> tiesai nodoto krimināl</w:t>
      </w:r>
      <w:r w:rsidR="007F3783">
        <w:rPr>
          <w:rFonts w:eastAsia="Times New Roman"/>
          <w:szCs w:val="24"/>
          <w:lang w:eastAsia="lv-LV"/>
        </w:rPr>
        <w:t>lietu</w:t>
      </w:r>
      <w:r w:rsidRPr="00975C99">
        <w:rPr>
          <w:rFonts w:eastAsia="Times New Roman"/>
          <w:szCs w:val="24"/>
          <w:lang w:eastAsia="lv-LV"/>
        </w:rPr>
        <w:t xml:space="preserve"> skaitam</w:t>
      </w:r>
      <w:r w:rsidR="007F3783">
        <w:rPr>
          <w:rFonts w:eastAsia="Times New Roman"/>
          <w:szCs w:val="24"/>
          <w:lang w:eastAsia="lv-LV"/>
        </w:rPr>
        <w:t>.</w:t>
      </w:r>
      <w:r w:rsidRPr="00975C99">
        <w:rPr>
          <w:rFonts w:eastAsia="Times New Roman"/>
          <w:szCs w:val="24"/>
          <w:lang w:eastAsia="lv-LV"/>
        </w:rPr>
        <w:t xml:space="preserve"> 2020.</w:t>
      </w:r>
      <w:r w:rsidR="007F3783">
        <w:rPr>
          <w:rFonts w:eastAsia="Times New Roman"/>
          <w:szCs w:val="24"/>
          <w:lang w:eastAsia="lv-LV"/>
        </w:rPr>
        <w:t> </w:t>
      </w:r>
      <w:r w:rsidRPr="00975C99">
        <w:rPr>
          <w:rFonts w:eastAsia="Times New Roman"/>
          <w:szCs w:val="24"/>
          <w:lang w:eastAsia="lv-LV"/>
        </w:rPr>
        <w:t>gadā vienošanās procesa kārtībā  tiesai nodot</w:t>
      </w:r>
      <w:r w:rsidR="0041445E">
        <w:rPr>
          <w:rFonts w:eastAsia="Times New Roman"/>
          <w:szCs w:val="24"/>
          <w:lang w:eastAsia="lv-LV"/>
        </w:rPr>
        <w:t>as</w:t>
      </w:r>
      <w:r w:rsidRPr="00975C99">
        <w:rPr>
          <w:rFonts w:eastAsia="Times New Roman"/>
          <w:szCs w:val="24"/>
          <w:lang w:eastAsia="lv-LV"/>
        </w:rPr>
        <w:t xml:space="preserve"> 17,64</w:t>
      </w:r>
      <w:r w:rsidR="007F3783">
        <w:rPr>
          <w:rFonts w:eastAsia="Times New Roman"/>
          <w:szCs w:val="24"/>
          <w:lang w:eastAsia="lv-LV"/>
        </w:rPr>
        <w:t> </w:t>
      </w:r>
      <w:r w:rsidRPr="00975C99">
        <w:rPr>
          <w:rFonts w:eastAsia="Times New Roman"/>
          <w:szCs w:val="24"/>
          <w:lang w:eastAsia="lv-LV"/>
        </w:rPr>
        <w:t>% no vis</w:t>
      </w:r>
      <w:r w:rsidR="0041445E">
        <w:rPr>
          <w:rFonts w:eastAsia="Times New Roman"/>
          <w:szCs w:val="24"/>
          <w:lang w:eastAsia="lv-LV"/>
        </w:rPr>
        <w:t>ām</w:t>
      </w:r>
      <w:r w:rsidRPr="00975C99">
        <w:rPr>
          <w:rFonts w:eastAsia="Times New Roman"/>
          <w:szCs w:val="24"/>
          <w:lang w:eastAsia="lv-LV"/>
        </w:rPr>
        <w:t xml:space="preserve"> tiesai nodot</w:t>
      </w:r>
      <w:r w:rsidR="0041445E">
        <w:rPr>
          <w:rFonts w:eastAsia="Times New Roman"/>
          <w:szCs w:val="24"/>
          <w:lang w:eastAsia="lv-LV"/>
        </w:rPr>
        <w:t>ajām</w:t>
      </w:r>
      <w:r w:rsidRPr="00975C99">
        <w:rPr>
          <w:rFonts w:eastAsia="Times New Roman"/>
          <w:szCs w:val="24"/>
          <w:lang w:eastAsia="lv-LV"/>
        </w:rPr>
        <w:t xml:space="preserve"> krimināl</w:t>
      </w:r>
      <w:r w:rsidR="0041445E">
        <w:rPr>
          <w:rFonts w:eastAsia="Times New Roman"/>
          <w:szCs w:val="24"/>
          <w:lang w:eastAsia="lv-LV"/>
        </w:rPr>
        <w:t>lietām</w:t>
      </w:r>
      <w:r w:rsidRPr="00975C99">
        <w:rPr>
          <w:rFonts w:eastAsia="Times New Roman"/>
          <w:szCs w:val="24"/>
          <w:lang w:eastAsia="lv-LV"/>
        </w:rPr>
        <w:t>. Gan 2019.</w:t>
      </w:r>
      <w:r w:rsidR="0041445E">
        <w:rPr>
          <w:rFonts w:eastAsia="Times New Roman"/>
          <w:szCs w:val="24"/>
          <w:lang w:eastAsia="lv-LV"/>
        </w:rPr>
        <w:t> </w:t>
      </w:r>
      <w:r w:rsidRPr="00975C99">
        <w:rPr>
          <w:rFonts w:eastAsia="Times New Roman"/>
          <w:szCs w:val="24"/>
          <w:lang w:eastAsia="lv-LV"/>
        </w:rPr>
        <w:t>gadā, gan arī 2018.</w:t>
      </w:r>
      <w:r w:rsidR="0041445E">
        <w:rPr>
          <w:rFonts w:eastAsia="Times New Roman"/>
          <w:szCs w:val="24"/>
          <w:lang w:eastAsia="lv-LV"/>
        </w:rPr>
        <w:t> </w:t>
      </w:r>
      <w:r w:rsidRPr="00975C99">
        <w:rPr>
          <w:rFonts w:eastAsia="Times New Roman"/>
          <w:szCs w:val="24"/>
          <w:lang w:eastAsia="lv-LV"/>
        </w:rPr>
        <w:t>gad</w:t>
      </w:r>
      <w:r w:rsidR="00A66CCE">
        <w:rPr>
          <w:rFonts w:eastAsia="Times New Roman"/>
          <w:szCs w:val="24"/>
          <w:lang w:eastAsia="lv-LV"/>
        </w:rPr>
        <w:t>ā</w:t>
      </w:r>
      <w:r w:rsidR="002843CB">
        <w:rPr>
          <w:rFonts w:eastAsia="Times New Roman"/>
          <w:szCs w:val="24"/>
          <w:lang w:eastAsia="lv-LV"/>
        </w:rPr>
        <w:t xml:space="preserve"> vienošanās </w:t>
      </w:r>
      <w:r w:rsidRPr="00975C99">
        <w:rPr>
          <w:rFonts w:eastAsia="Times New Roman"/>
          <w:szCs w:val="24"/>
          <w:lang w:eastAsia="lv-LV"/>
        </w:rPr>
        <w:t>procesa kārtīb</w:t>
      </w:r>
      <w:r w:rsidR="002843CB">
        <w:rPr>
          <w:rFonts w:eastAsia="Times New Roman"/>
          <w:szCs w:val="24"/>
          <w:lang w:eastAsia="lv-LV"/>
        </w:rPr>
        <w:t xml:space="preserve">ā </w:t>
      </w:r>
      <w:r w:rsidRPr="00975C99">
        <w:rPr>
          <w:rFonts w:eastAsia="Times New Roman"/>
          <w:szCs w:val="24"/>
          <w:lang w:eastAsia="lv-LV"/>
        </w:rPr>
        <w:t xml:space="preserve">tiesai </w:t>
      </w:r>
      <w:r w:rsidR="002843CB">
        <w:rPr>
          <w:rFonts w:eastAsia="Times New Roman"/>
          <w:szCs w:val="24"/>
          <w:lang w:eastAsia="lv-LV"/>
        </w:rPr>
        <w:t xml:space="preserve">nodoto krimināllietu </w:t>
      </w:r>
      <w:r w:rsidR="003671F1">
        <w:rPr>
          <w:rFonts w:eastAsia="Times New Roman"/>
          <w:szCs w:val="24"/>
          <w:lang w:eastAsia="lv-LV"/>
        </w:rPr>
        <w:t>procentuālā attiecība pret visām tiesai nodotajām krimināllietām bija attiecīgi</w:t>
      </w:r>
      <w:r w:rsidRPr="00975C99">
        <w:rPr>
          <w:rFonts w:eastAsia="Times New Roman"/>
          <w:szCs w:val="24"/>
          <w:lang w:eastAsia="lv-LV"/>
        </w:rPr>
        <w:t xml:space="preserve"> 31,25</w:t>
      </w:r>
      <w:r w:rsidR="003671F1">
        <w:rPr>
          <w:rFonts w:eastAsia="Times New Roman"/>
          <w:szCs w:val="24"/>
          <w:lang w:eastAsia="lv-LV"/>
        </w:rPr>
        <w:t> </w:t>
      </w:r>
      <w:r w:rsidRPr="00975C99">
        <w:rPr>
          <w:rFonts w:eastAsia="Times New Roman"/>
          <w:szCs w:val="24"/>
          <w:lang w:eastAsia="lv-LV"/>
        </w:rPr>
        <w:t>% un 44,18</w:t>
      </w:r>
      <w:r w:rsidR="003671F1">
        <w:rPr>
          <w:rFonts w:eastAsia="Times New Roman"/>
          <w:szCs w:val="24"/>
          <w:lang w:eastAsia="lv-LV"/>
        </w:rPr>
        <w:t> </w:t>
      </w:r>
      <w:r w:rsidRPr="00975C99">
        <w:rPr>
          <w:rFonts w:eastAsia="Times New Roman"/>
          <w:szCs w:val="24"/>
          <w:lang w:eastAsia="lv-LV"/>
        </w:rPr>
        <w:t xml:space="preserve">%, kas izskaidrojams ar </w:t>
      </w:r>
      <w:r w:rsidRPr="00975C99">
        <w:rPr>
          <w:rFonts w:eastAsia="Times New Roman"/>
          <w:szCs w:val="24"/>
          <w:lang w:eastAsia="lv-LV"/>
        </w:rPr>
        <w:lastRenderedPageBreak/>
        <w:t xml:space="preserve">to, ka </w:t>
      </w:r>
      <w:r w:rsidR="006A5C2B">
        <w:rPr>
          <w:rFonts w:eastAsia="Times New Roman"/>
          <w:szCs w:val="24"/>
          <w:lang w:eastAsia="lv-LV"/>
        </w:rPr>
        <w:t xml:space="preserve">Vidzemes tiesas </w:t>
      </w:r>
      <w:r w:rsidRPr="00975C99">
        <w:rPr>
          <w:rFonts w:eastAsia="Times New Roman"/>
          <w:szCs w:val="24"/>
          <w:lang w:eastAsia="lv-LV"/>
        </w:rPr>
        <w:t xml:space="preserve">apgabala prokuratūras prokurori palīdzēja izlīdzināt darba noslodzi Madonas rajona prokuratūras prokuroriem un rajona </w:t>
      </w:r>
      <w:r w:rsidR="006A5C2B">
        <w:rPr>
          <w:rFonts w:eastAsia="Times New Roman"/>
          <w:szCs w:val="24"/>
          <w:lang w:eastAsia="lv-LV"/>
        </w:rPr>
        <w:t xml:space="preserve">līmeņa </w:t>
      </w:r>
      <w:r w:rsidRPr="00975C99">
        <w:rPr>
          <w:rFonts w:eastAsia="Times New Roman"/>
          <w:szCs w:val="24"/>
          <w:lang w:eastAsia="lv-LV"/>
        </w:rPr>
        <w:t xml:space="preserve">prokuratūrā tomēr pārsvarā ir kriminālprocesi par </w:t>
      </w:r>
      <w:r w:rsidR="00084946">
        <w:rPr>
          <w:rFonts w:eastAsia="Times New Roman"/>
          <w:szCs w:val="24"/>
          <w:lang w:eastAsia="lv-LV"/>
        </w:rPr>
        <w:t xml:space="preserve">salīdzinoši vienkāršākiem </w:t>
      </w:r>
      <w:r w:rsidRPr="00975C99">
        <w:rPr>
          <w:rFonts w:eastAsia="Times New Roman"/>
          <w:szCs w:val="24"/>
          <w:lang w:eastAsia="lv-LV"/>
        </w:rPr>
        <w:t>noziedzīgiem nodarījumiem</w:t>
      </w:r>
      <w:r w:rsidR="00CE3E52">
        <w:rPr>
          <w:rFonts w:eastAsia="Times New Roman"/>
          <w:szCs w:val="24"/>
          <w:lang w:eastAsia="lv-LV"/>
        </w:rPr>
        <w:t>, kuru pabeigšana vienošanās procesa kārtībā iespējama biežāk</w:t>
      </w:r>
      <w:r w:rsidR="00D555D2">
        <w:rPr>
          <w:rFonts w:eastAsia="Times New Roman"/>
          <w:szCs w:val="24"/>
          <w:lang w:eastAsia="lv-LV"/>
        </w:rPr>
        <w:t xml:space="preserve"> salīdzinājumā ar apgabala </w:t>
      </w:r>
      <w:r w:rsidR="006A5C2B">
        <w:rPr>
          <w:rFonts w:eastAsia="Times New Roman"/>
          <w:szCs w:val="24"/>
          <w:lang w:eastAsia="lv-LV"/>
        </w:rPr>
        <w:t xml:space="preserve">līmeņa </w:t>
      </w:r>
      <w:r w:rsidR="009F6A53">
        <w:rPr>
          <w:rFonts w:eastAsia="Times New Roman"/>
          <w:szCs w:val="24"/>
          <w:lang w:eastAsia="lv-LV"/>
        </w:rPr>
        <w:t xml:space="preserve">prokuratūras prokuroru </w:t>
      </w:r>
      <w:r w:rsidR="00A94D0D">
        <w:rPr>
          <w:rFonts w:eastAsia="Times New Roman"/>
          <w:szCs w:val="24"/>
          <w:lang w:eastAsia="lv-LV"/>
        </w:rPr>
        <w:t>lietvedībā esošajiem kriminālprocesiem</w:t>
      </w:r>
      <w:r w:rsidRPr="00975C99">
        <w:rPr>
          <w:rFonts w:eastAsia="Times New Roman"/>
          <w:szCs w:val="24"/>
          <w:lang w:eastAsia="lv-LV"/>
        </w:rPr>
        <w:t>.</w:t>
      </w:r>
    </w:p>
    <w:p w14:paraId="106CDCD1" w14:textId="463500DD" w:rsidR="00D24C95" w:rsidRPr="00975C99" w:rsidRDefault="00D24C95" w:rsidP="00D24C95">
      <w:pPr>
        <w:spacing w:after="0" w:line="240" w:lineRule="auto"/>
        <w:ind w:firstLine="720"/>
        <w:rPr>
          <w:rFonts w:eastAsia="Times New Roman"/>
          <w:szCs w:val="24"/>
          <w:lang w:eastAsia="lv-LV"/>
        </w:rPr>
      </w:pPr>
    </w:p>
    <w:p w14:paraId="4BD92C25" w14:textId="2CBA1811" w:rsidR="001C3C00" w:rsidRPr="007F3C44" w:rsidRDefault="007F3C44" w:rsidP="00E329FC">
      <w:pPr>
        <w:pStyle w:val="ListParagraph"/>
        <w:numPr>
          <w:ilvl w:val="0"/>
          <w:numId w:val="18"/>
        </w:numPr>
        <w:spacing w:after="0" w:line="240" w:lineRule="auto"/>
        <w:ind w:left="714" w:hanging="357"/>
        <w:rPr>
          <w:rFonts w:eastAsia="Times New Roman"/>
          <w:b/>
          <w:bCs/>
          <w:szCs w:val="24"/>
          <w:lang w:eastAsia="lv-LV"/>
        </w:rPr>
      </w:pPr>
      <w:r>
        <w:rPr>
          <w:noProof/>
        </w:rPr>
        <w:drawing>
          <wp:anchor distT="0" distB="0" distL="114300" distR="114300" simplePos="0" relativeHeight="251686400" behindDoc="0" locked="0" layoutInCell="1" allowOverlap="1" wp14:anchorId="626CB421" wp14:editId="601CC3C6">
            <wp:simplePos x="0" y="0"/>
            <wp:positionH relativeFrom="margin">
              <wp:align>center</wp:align>
            </wp:positionH>
            <wp:positionV relativeFrom="paragraph">
              <wp:posOffset>279804</wp:posOffset>
            </wp:positionV>
            <wp:extent cx="3937000" cy="1828800"/>
            <wp:effectExtent l="0" t="0" r="6350" b="0"/>
            <wp:wrapTopAndBottom/>
            <wp:docPr id="36" name="Chart 36">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r w:rsidR="00D24C95" w:rsidRPr="00A94D0D">
        <w:rPr>
          <w:rFonts w:eastAsia="Times New Roman"/>
          <w:b/>
          <w:bCs/>
          <w:szCs w:val="24"/>
          <w:lang w:eastAsia="lv-LV"/>
        </w:rPr>
        <w:t>Prokuratūrā pabeigti kriminālprocesi</w:t>
      </w:r>
      <w:r w:rsidR="001C3C00">
        <w:rPr>
          <w:rFonts w:eastAsia="Times New Roman"/>
          <w:b/>
          <w:bCs/>
          <w:szCs w:val="24"/>
          <w:lang w:eastAsia="lv-LV"/>
        </w:rPr>
        <w:t>, nenododot krimināllietu tiesai</w:t>
      </w:r>
      <w:r w:rsidR="00A808E3" w:rsidRPr="00A808E3">
        <w:rPr>
          <w:noProof/>
        </w:rPr>
        <w:t xml:space="preserve"> </w:t>
      </w:r>
    </w:p>
    <w:p w14:paraId="30E94124" w14:textId="68CA4FB8" w:rsidR="00D24C95" w:rsidRPr="009126D0" w:rsidRDefault="00D24C95" w:rsidP="001C3C00">
      <w:pPr>
        <w:spacing w:after="0" w:line="240" w:lineRule="auto"/>
        <w:jc w:val="both"/>
        <w:rPr>
          <w:rFonts w:eastAsia="Times New Roman"/>
          <w:b/>
          <w:bCs/>
          <w:sz w:val="26"/>
          <w:szCs w:val="26"/>
          <w:lang w:eastAsia="lv-LV"/>
        </w:rPr>
      </w:pPr>
    </w:p>
    <w:p w14:paraId="7F74CE6D" w14:textId="7EF75DC5" w:rsidR="00D24C95" w:rsidRPr="00975C99"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Lai arī Vidzemes tiesas apgabala prokuratūrā kriminālvajāšanai saņemt</w:t>
      </w:r>
      <w:r w:rsidR="00C12754">
        <w:rPr>
          <w:rFonts w:eastAsia="Times New Roman"/>
          <w:szCs w:val="24"/>
          <w:lang w:eastAsia="lv-LV"/>
        </w:rPr>
        <w:t>ie</w:t>
      </w:r>
      <w:r w:rsidRPr="00975C99">
        <w:rPr>
          <w:rFonts w:eastAsia="Times New Roman"/>
          <w:szCs w:val="24"/>
          <w:lang w:eastAsia="lv-LV"/>
        </w:rPr>
        <w:t xml:space="preserve"> krimināl</w:t>
      </w:r>
      <w:r w:rsidR="00134DFC">
        <w:rPr>
          <w:rFonts w:eastAsia="Times New Roman"/>
          <w:szCs w:val="24"/>
          <w:lang w:eastAsia="lv-LV"/>
        </w:rPr>
        <w:t xml:space="preserve">procesi </w:t>
      </w:r>
      <w:r w:rsidRPr="00975C99">
        <w:rPr>
          <w:rFonts w:eastAsia="Times New Roman"/>
          <w:szCs w:val="24"/>
          <w:lang w:eastAsia="lv-LV"/>
        </w:rPr>
        <w:t>ir apjomīg</w:t>
      </w:r>
      <w:r w:rsidR="00134DFC">
        <w:rPr>
          <w:rFonts w:eastAsia="Times New Roman"/>
          <w:szCs w:val="24"/>
          <w:lang w:eastAsia="lv-LV"/>
        </w:rPr>
        <w:t>i</w:t>
      </w:r>
      <w:r w:rsidRPr="00975C99">
        <w:rPr>
          <w:rFonts w:eastAsia="Times New Roman"/>
          <w:szCs w:val="24"/>
          <w:lang w:eastAsia="lv-LV"/>
        </w:rPr>
        <w:t xml:space="preserve"> un sarežģīt</w:t>
      </w:r>
      <w:r w:rsidR="00134DFC">
        <w:rPr>
          <w:rFonts w:eastAsia="Times New Roman"/>
          <w:szCs w:val="24"/>
          <w:lang w:eastAsia="lv-LV"/>
        </w:rPr>
        <w:t>i</w:t>
      </w:r>
      <w:r w:rsidRPr="00975C99">
        <w:rPr>
          <w:rFonts w:eastAsia="Times New Roman"/>
          <w:szCs w:val="24"/>
          <w:lang w:eastAsia="lv-LV"/>
        </w:rPr>
        <w:t>, 3</w:t>
      </w:r>
      <w:r w:rsidR="001C3C00">
        <w:rPr>
          <w:rFonts w:eastAsia="Times New Roman"/>
          <w:szCs w:val="24"/>
          <w:lang w:eastAsia="lv-LV"/>
        </w:rPr>
        <w:t> </w:t>
      </w:r>
      <w:r w:rsidRPr="00975C99">
        <w:rPr>
          <w:rFonts w:eastAsia="Times New Roman"/>
          <w:szCs w:val="24"/>
          <w:lang w:eastAsia="lv-LV"/>
        </w:rPr>
        <w:t>gadu periodā katru gadu palielinās prokuratūrā pabeigto kriminālprocesu skaits</w:t>
      </w:r>
      <w:r w:rsidR="001C3C00">
        <w:rPr>
          <w:rFonts w:eastAsia="Times New Roman"/>
          <w:szCs w:val="24"/>
          <w:lang w:eastAsia="lv-LV"/>
        </w:rPr>
        <w:t>, nenododot krimināllietu tiesai.</w:t>
      </w:r>
      <w:r w:rsidRPr="00975C99">
        <w:rPr>
          <w:rFonts w:eastAsia="Times New Roman"/>
          <w:szCs w:val="24"/>
          <w:lang w:eastAsia="lv-LV"/>
        </w:rPr>
        <w:t xml:space="preserve"> 2020.</w:t>
      </w:r>
      <w:r w:rsidR="00A473A9">
        <w:rPr>
          <w:rFonts w:eastAsia="Times New Roman"/>
          <w:szCs w:val="24"/>
          <w:lang w:eastAsia="lv-LV"/>
        </w:rPr>
        <w:t> </w:t>
      </w:r>
      <w:r w:rsidRPr="00975C99">
        <w:rPr>
          <w:rFonts w:eastAsia="Times New Roman"/>
          <w:szCs w:val="24"/>
          <w:lang w:eastAsia="lv-LV"/>
        </w:rPr>
        <w:t xml:space="preserve">gadā </w:t>
      </w:r>
      <w:r w:rsidR="00255CBF" w:rsidRPr="00975C99">
        <w:rPr>
          <w:rFonts w:eastAsia="Times New Roman"/>
          <w:szCs w:val="24"/>
          <w:lang w:eastAsia="lv-LV"/>
        </w:rPr>
        <w:t>17,39</w:t>
      </w:r>
      <w:r w:rsidR="00255CBF">
        <w:rPr>
          <w:rFonts w:eastAsia="Times New Roman"/>
          <w:szCs w:val="24"/>
          <w:lang w:eastAsia="lv-LV"/>
        </w:rPr>
        <w:t> </w:t>
      </w:r>
      <w:r w:rsidR="00255CBF" w:rsidRPr="00975C99">
        <w:rPr>
          <w:rFonts w:eastAsia="Times New Roman"/>
          <w:szCs w:val="24"/>
          <w:lang w:eastAsia="lv-LV"/>
        </w:rPr>
        <w:t>% no visiem</w:t>
      </w:r>
      <w:r w:rsidR="000F17CF">
        <w:rPr>
          <w:rFonts w:eastAsia="Times New Roman"/>
          <w:szCs w:val="24"/>
          <w:lang w:eastAsia="lv-LV"/>
        </w:rPr>
        <w:t xml:space="preserve"> prokuratūrā</w:t>
      </w:r>
      <w:r w:rsidR="00255CBF" w:rsidRPr="00975C99">
        <w:rPr>
          <w:rFonts w:eastAsia="Times New Roman"/>
          <w:szCs w:val="24"/>
          <w:lang w:eastAsia="lv-LV"/>
        </w:rPr>
        <w:t xml:space="preserve"> pabeigtajiem kriminālprocesiem</w:t>
      </w:r>
      <w:r w:rsidR="009816BC">
        <w:rPr>
          <w:rFonts w:eastAsia="Times New Roman"/>
          <w:szCs w:val="24"/>
          <w:lang w:eastAsia="lv-LV"/>
        </w:rPr>
        <w:t xml:space="preserve"> </w:t>
      </w:r>
      <w:r w:rsidRPr="00975C99">
        <w:rPr>
          <w:rFonts w:eastAsia="Times New Roman"/>
          <w:szCs w:val="24"/>
          <w:lang w:eastAsia="lv-LV"/>
        </w:rPr>
        <w:t xml:space="preserve">krimināltiesisko attiecību taisnīgs noregulējums </w:t>
      </w:r>
      <w:r w:rsidR="00064C02" w:rsidRPr="00975C99">
        <w:rPr>
          <w:rFonts w:eastAsia="Times New Roman"/>
          <w:szCs w:val="24"/>
          <w:lang w:eastAsia="lv-LV"/>
        </w:rPr>
        <w:t xml:space="preserve">panākts </w:t>
      </w:r>
      <w:r w:rsidRPr="00975C99">
        <w:rPr>
          <w:rFonts w:eastAsia="Times New Roman"/>
          <w:szCs w:val="24"/>
          <w:lang w:eastAsia="lv-LV"/>
        </w:rPr>
        <w:t>prokuratūrā.</w:t>
      </w:r>
    </w:p>
    <w:p w14:paraId="3F202F52" w14:textId="77777777" w:rsidR="00D24C95" w:rsidRPr="00975C99" w:rsidRDefault="00D24C95" w:rsidP="00D24C95">
      <w:pPr>
        <w:spacing w:after="0" w:line="240" w:lineRule="auto"/>
        <w:ind w:firstLine="720"/>
        <w:jc w:val="both"/>
        <w:rPr>
          <w:rFonts w:eastAsia="Times New Roman"/>
          <w:szCs w:val="24"/>
          <w:lang w:eastAsia="lv-LV"/>
        </w:rPr>
      </w:pPr>
    </w:p>
    <w:p w14:paraId="4126CE40" w14:textId="681A3D71" w:rsidR="00197BE0" w:rsidRPr="007F3C44" w:rsidRDefault="00AB027E" w:rsidP="00E329FC">
      <w:pPr>
        <w:pStyle w:val="ListParagraph"/>
        <w:numPr>
          <w:ilvl w:val="0"/>
          <w:numId w:val="18"/>
        </w:numPr>
        <w:spacing w:after="120" w:line="240" w:lineRule="auto"/>
        <w:ind w:left="714" w:hanging="357"/>
        <w:jc w:val="both"/>
        <w:rPr>
          <w:rFonts w:eastAsia="Times New Roman"/>
          <w:b/>
          <w:bCs/>
          <w:szCs w:val="24"/>
          <w:lang w:eastAsia="lv-LV"/>
        </w:rPr>
      </w:pPr>
      <w:r>
        <w:rPr>
          <w:noProof/>
        </w:rPr>
        <w:drawing>
          <wp:anchor distT="0" distB="0" distL="114300" distR="114300" simplePos="0" relativeHeight="251688448" behindDoc="0" locked="0" layoutInCell="1" allowOverlap="1" wp14:anchorId="0FB638B5" wp14:editId="7DD748DC">
            <wp:simplePos x="0" y="0"/>
            <wp:positionH relativeFrom="margin">
              <wp:align>center</wp:align>
            </wp:positionH>
            <wp:positionV relativeFrom="paragraph">
              <wp:posOffset>408824</wp:posOffset>
            </wp:positionV>
            <wp:extent cx="5403850" cy="3587750"/>
            <wp:effectExtent l="0" t="0" r="6350" b="12700"/>
            <wp:wrapTopAndBottom/>
            <wp:docPr id="37" name="Chart 37">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r w:rsidR="004B47C4">
        <w:rPr>
          <w:rFonts w:eastAsia="Times New Roman"/>
          <w:b/>
          <w:bCs/>
          <w:szCs w:val="24"/>
          <w:lang w:eastAsia="lv-LV"/>
        </w:rPr>
        <w:t>P</w:t>
      </w:r>
      <w:r w:rsidR="00D24C95" w:rsidRPr="00D437A6">
        <w:rPr>
          <w:rFonts w:eastAsia="Times New Roman"/>
          <w:b/>
          <w:bCs/>
          <w:szCs w:val="24"/>
          <w:lang w:eastAsia="lv-LV"/>
        </w:rPr>
        <w:t>abeigt</w:t>
      </w:r>
      <w:r w:rsidR="00D3246D">
        <w:rPr>
          <w:rFonts w:eastAsia="Times New Roman"/>
          <w:b/>
          <w:bCs/>
          <w:szCs w:val="24"/>
          <w:lang w:eastAsia="lv-LV"/>
        </w:rPr>
        <w:t>i kriminālprocesi par atsevišķiem noziedzīgiem nodarījumiem</w:t>
      </w:r>
      <w:r w:rsidR="00D24C95" w:rsidRPr="00D437A6">
        <w:rPr>
          <w:rFonts w:eastAsia="Times New Roman"/>
          <w:b/>
          <w:bCs/>
          <w:szCs w:val="24"/>
          <w:lang w:eastAsia="lv-LV"/>
        </w:rPr>
        <w:t xml:space="preserve"> (īpaši aktuāli</w:t>
      </w:r>
      <w:r w:rsidR="00D3246D" w:rsidRPr="00D3246D">
        <w:rPr>
          <w:rFonts w:eastAsia="Times New Roman"/>
          <w:b/>
          <w:bCs/>
          <w:szCs w:val="24"/>
          <w:lang w:eastAsia="lv-LV"/>
        </w:rPr>
        <w:t xml:space="preserve"> </w:t>
      </w:r>
      <w:r w:rsidR="00D3246D" w:rsidRPr="00D437A6">
        <w:rPr>
          <w:rFonts w:eastAsia="Times New Roman"/>
          <w:b/>
          <w:bCs/>
          <w:szCs w:val="24"/>
          <w:lang w:eastAsia="lv-LV"/>
        </w:rPr>
        <w:t>pēc apdraudējuma objekta</w:t>
      </w:r>
      <w:r w:rsidR="00D24C95" w:rsidRPr="00D437A6">
        <w:rPr>
          <w:rFonts w:eastAsia="Times New Roman"/>
          <w:b/>
          <w:bCs/>
          <w:szCs w:val="24"/>
          <w:lang w:eastAsia="lv-LV"/>
        </w:rPr>
        <w:t>)</w:t>
      </w:r>
    </w:p>
    <w:p w14:paraId="618CCBEA" w14:textId="026A2C10" w:rsidR="00D24C95" w:rsidRPr="00930E2D" w:rsidRDefault="00D24C95" w:rsidP="0046016B">
      <w:pPr>
        <w:spacing w:after="0" w:line="240" w:lineRule="auto"/>
        <w:jc w:val="both"/>
        <w:rPr>
          <w:rFonts w:eastAsia="Times New Roman"/>
          <w:b/>
          <w:bCs/>
          <w:sz w:val="26"/>
          <w:szCs w:val="26"/>
          <w:lang w:eastAsia="lv-LV"/>
        </w:rPr>
      </w:pPr>
    </w:p>
    <w:p w14:paraId="7177B6CF" w14:textId="1BEC194B" w:rsidR="00D24C95" w:rsidRPr="00975C99" w:rsidRDefault="000A4EAD" w:rsidP="00D24C95">
      <w:pPr>
        <w:spacing w:after="0" w:line="240" w:lineRule="auto"/>
        <w:ind w:firstLine="720"/>
        <w:jc w:val="both"/>
        <w:rPr>
          <w:rFonts w:eastAsia="Times New Roman"/>
          <w:szCs w:val="24"/>
          <w:lang w:eastAsia="lv-LV"/>
        </w:rPr>
      </w:pPr>
      <w:r>
        <w:rPr>
          <w:rFonts w:eastAsia="Times New Roman"/>
          <w:szCs w:val="24"/>
          <w:lang w:eastAsia="lv-LV"/>
        </w:rPr>
        <w:t xml:space="preserve">Vidzemes </w:t>
      </w:r>
      <w:r w:rsidR="006A5C2B">
        <w:rPr>
          <w:rFonts w:eastAsia="Times New Roman"/>
          <w:szCs w:val="24"/>
          <w:lang w:eastAsia="lv-LV"/>
        </w:rPr>
        <w:t>tiesas apgabalā</w:t>
      </w:r>
      <w:r>
        <w:rPr>
          <w:rFonts w:eastAsia="Times New Roman"/>
          <w:szCs w:val="24"/>
          <w:lang w:eastAsia="lv-LV"/>
        </w:rPr>
        <w:t xml:space="preserve"> </w:t>
      </w:r>
      <w:r w:rsidR="00D24C95" w:rsidRPr="00975C99">
        <w:rPr>
          <w:rFonts w:eastAsia="Times New Roman"/>
          <w:szCs w:val="24"/>
          <w:lang w:eastAsia="lv-LV"/>
        </w:rPr>
        <w:t>2018.</w:t>
      </w:r>
      <w:r w:rsidR="007C6536">
        <w:rPr>
          <w:rFonts w:eastAsia="Times New Roman"/>
          <w:szCs w:val="24"/>
          <w:lang w:eastAsia="lv-LV"/>
        </w:rPr>
        <w:t> </w:t>
      </w:r>
      <w:r w:rsidR="00D24C95" w:rsidRPr="00975C99">
        <w:rPr>
          <w:rFonts w:eastAsia="Times New Roman"/>
          <w:szCs w:val="24"/>
          <w:lang w:eastAsia="lv-LV"/>
        </w:rPr>
        <w:t>gadā un 2019.</w:t>
      </w:r>
      <w:r w:rsidR="007C6536">
        <w:rPr>
          <w:rFonts w:eastAsia="Times New Roman"/>
          <w:szCs w:val="24"/>
          <w:lang w:eastAsia="lv-LV"/>
        </w:rPr>
        <w:t> </w:t>
      </w:r>
      <w:r w:rsidR="00D24C95" w:rsidRPr="00975C99">
        <w:rPr>
          <w:rFonts w:eastAsia="Times New Roman"/>
          <w:szCs w:val="24"/>
          <w:lang w:eastAsia="lv-LV"/>
        </w:rPr>
        <w:t xml:space="preserve">gadā </w:t>
      </w:r>
      <w:r w:rsidR="00327D63">
        <w:rPr>
          <w:rFonts w:eastAsia="Times New Roman"/>
          <w:szCs w:val="24"/>
          <w:lang w:eastAsia="lv-LV"/>
        </w:rPr>
        <w:t xml:space="preserve">bija </w:t>
      </w:r>
      <w:r w:rsidR="00D24C95" w:rsidRPr="00975C99">
        <w:rPr>
          <w:rFonts w:eastAsia="Times New Roman"/>
          <w:szCs w:val="24"/>
          <w:lang w:eastAsia="lv-LV"/>
        </w:rPr>
        <w:t>izteikts nozie</w:t>
      </w:r>
      <w:r w:rsidR="00AE3D83">
        <w:rPr>
          <w:rFonts w:eastAsia="Times New Roman"/>
          <w:szCs w:val="24"/>
          <w:lang w:eastAsia="lv-LV"/>
        </w:rPr>
        <w:t>dzīgu nodarījumu</w:t>
      </w:r>
      <w:r w:rsidR="00D24C95" w:rsidRPr="00975C99">
        <w:rPr>
          <w:rFonts w:eastAsia="Times New Roman"/>
          <w:szCs w:val="24"/>
          <w:lang w:eastAsia="lv-LV"/>
        </w:rPr>
        <w:t xml:space="preserve"> pret tikumību un dzimumneaizskaramību, kas izdarīti ar mazgadīgo vai nepilngadīgo, pārsvars </w:t>
      </w:r>
      <w:r w:rsidR="00D24C95" w:rsidRPr="00975C99">
        <w:rPr>
          <w:rFonts w:eastAsia="Times New Roman"/>
          <w:szCs w:val="24"/>
          <w:lang w:eastAsia="lv-LV"/>
        </w:rPr>
        <w:lastRenderedPageBreak/>
        <w:t>attiecībā pret citiem nozie</w:t>
      </w:r>
      <w:r w:rsidR="00AE3D83">
        <w:rPr>
          <w:rFonts w:eastAsia="Times New Roman"/>
          <w:szCs w:val="24"/>
          <w:lang w:eastAsia="lv-LV"/>
        </w:rPr>
        <w:t>dzīg</w:t>
      </w:r>
      <w:r w:rsidR="006A5C2B">
        <w:rPr>
          <w:rFonts w:eastAsia="Times New Roman"/>
          <w:szCs w:val="24"/>
          <w:lang w:eastAsia="lv-LV"/>
        </w:rPr>
        <w:t>a</w:t>
      </w:r>
      <w:r w:rsidR="00AE3D83">
        <w:rPr>
          <w:rFonts w:eastAsia="Times New Roman"/>
          <w:szCs w:val="24"/>
          <w:lang w:eastAsia="lv-LV"/>
        </w:rPr>
        <w:t xml:space="preserve"> nodarījum</w:t>
      </w:r>
      <w:r w:rsidR="006A5C2B">
        <w:rPr>
          <w:rFonts w:eastAsia="Times New Roman"/>
          <w:szCs w:val="24"/>
          <w:lang w:eastAsia="lv-LV"/>
        </w:rPr>
        <w:t>a</w:t>
      </w:r>
      <w:r w:rsidR="00D24C95" w:rsidRPr="00975C99">
        <w:rPr>
          <w:rFonts w:eastAsia="Times New Roman"/>
          <w:szCs w:val="24"/>
          <w:lang w:eastAsia="lv-LV"/>
        </w:rPr>
        <w:t xml:space="preserve"> veidiem, kas savukārt 2020.</w:t>
      </w:r>
      <w:r w:rsidR="003F3784">
        <w:rPr>
          <w:rFonts w:eastAsia="Times New Roman"/>
          <w:szCs w:val="24"/>
          <w:lang w:eastAsia="lv-LV"/>
        </w:rPr>
        <w:t> </w:t>
      </w:r>
      <w:r w:rsidR="00D24C95" w:rsidRPr="00975C99">
        <w:rPr>
          <w:rFonts w:eastAsia="Times New Roman"/>
          <w:szCs w:val="24"/>
          <w:lang w:eastAsia="lv-LV"/>
        </w:rPr>
        <w:t>gadā  samazinājies par 25</w:t>
      </w:r>
      <w:r w:rsidR="003F3784">
        <w:rPr>
          <w:rFonts w:eastAsia="Times New Roman"/>
          <w:szCs w:val="24"/>
          <w:lang w:eastAsia="lv-LV"/>
        </w:rPr>
        <w:t> </w:t>
      </w:r>
      <w:r w:rsidR="00D24C95" w:rsidRPr="00975C99">
        <w:rPr>
          <w:rFonts w:eastAsia="Times New Roman"/>
          <w:szCs w:val="24"/>
          <w:lang w:eastAsia="lv-LV"/>
        </w:rPr>
        <w:t>%, toties 2020.</w:t>
      </w:r>
      <w:r w:rsidR="003F3784">
        <w:rPr>
          <w:rFonts w:eastAsia="Times New Roman"/>
          <w:szCs w:val="24"/>
          <w:lang w:eastAsia="lv-LV"/>
        </w:rPr>
        <w:t> </w:t>
      </w:r>
      <w:r w:rsidR="00D24C95" w:rsidRPr="00975C99">
        <w:rPr>
          <w:rFonts w:eastAsia="Times New Roman"/>
          <w:szCs w:val="24"/>
          <w:lang w:eastAsia="lv-LV"/>
        </w:rPr>
        <w:t>gadā pabeigt</w:t>
      </w:r>
      <w:r w:rsidR="00D57CE7">
        <w:rPr>
          <w:rFonts w:eastAsia="Times New Roman"/>
          <w:szCs w:val="24"/>
          <w:lang w:eastAsia="lv-LV"/>
        </w:rPr>
        <w:t>i</w:t>
      </w:r>
      <w:r w:rsidR="00D24C95" w:rsidRPr="00975C99">
        <w:rPr>
          <w:rFonts w:eastAsia="Times New Roman"/>
          <w:szCs w:val="24"/>
          <w:lang w:eastAsia="lv-LV"/>
        </w:rPr>
        <w:t xml:space="preserve"> 3 krimināl</w:t>
      </w:r>
      <w:r w:rsidR="00D57CE7">
        <w:rPr>
          <w:rFonts w:eastAsia="Times New Roman"/>
          <w:szCs w:val="24"/>
          <w:lang w:eastAsia="lv-LV"/>
        </w:rPr>
        <w:t>procesi</w:t>
      </w:r>
      <w:r w:rsidR="00D24C95" w:rsidRPr="00975C99">
        <w:rPr>
          <w:rFonts w:eastAsia="Times New Roman"/>
          <w:szCs w:val="24"/>
          <w:lang w:eastAsia="lv-LV"/>
        </w:rPr>
        <w:t xml:space="preserve"> par slepkavībām.  </w:t>
      </w:r>
    </w:p>
    <w:p w14:paraId="18AD0522" w14:textId="479A2CDA" w:rsidR="00D24C95" w:rsidRPr="00975C99"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Jāatzīmē, ka 2020.</w:t>
      </w:r>
      <w:r w:rsidR="00D57CE7">
        <w:rPr>
          <w:rFonts w:eastAsia="Times New Roman"/>
          <w:szCs w:val="24"/>
          <w:lang w:eastAsia="lv-LV"/>
        </w:rPr>
        <w:t> </w:t>
      </w:r>
      <w:r w:rsidRPr="00975C99">
        <w:rPr>
          <w:rFonts w:eastAsia="Times New Roman"/>
          <w:szCs w:val="24"/>
          <w:lang w:eastAsia="lv-LV"/>
        </w:rPr>
        <w:t>gadā Vidzemes tiesas apgabala prokuratūrā 1</w:t>
      </w:r>
      <w:r w:rsidR="00D11210">
        <w:rPr>
          <w:rFonts w:eastAsia="Times New Roman"/>
          <w:szCs w:val="24"/>
          <w:lang w:eastAsia="lv-LV"/>
        </w:rPr>
        <w:t> </w:t>
      </w:r>
      <w:r w:rsidRPr="00975C99">
        <w:rPr>
          <w:rFonts w:eastAsia="Times New Roman"/>
          <w:szCs w:val="24"/>
          <w:lang w:eastAsia="lv-LV"/>
        </w:rPr>
        <w:t>kriminālprocesā Kriminālprocesa likuma 59.</w:t>
      </w:r>
      <w:r w:rsidR="00D11210">
        <w:rPr>
          <w:rFonts w:eastAsia="Times New Roman"/>
          <w:szCs w:val="24"/>
          <w:lang w:eastAsia="lv-LV"/>
        </w:rPr>
        <w:t> </w:t>
      </w:r>
      <w:r w:rsidRPr="00975C99">
        <w:rPr>
          <w:rFonts w:eastAsia="Times New Roman"/>
          <w:szCs w:val="24"/>
          <w:lang w:eastAsia="lv-LV"/>
        </w:rPr>
        <w:t>nodaļas kārtībā pieņemts lēmums par procesa uzsākšanu par noziedzīgi iegūtu mantu</w:t>
      </w:r>
      <w:r w:rsidR="0069758D">
        <w:rPr>
          <w:rFonts w:eastAsia="Times New Roman"/>
          <w:szCs w:val="24"/>
          <w:lang w:eastAsia="lv-LV"/>
        </w:rPr>
        <w:t xml:space="preserve"> un </w:t>
      </w:r>
      <w:r w:rsidRPr="00975C99">
        <w:rPr>
          <w:rFonts w:eastAsia="Times New Roman"/>
          <w:szCs w:val="24"/>
          <w:lang w:eastAsia="lv-LV"/>
        </w:rPr>
        <w:t>8</w:t>
      </w:r>
      <w:r w:rsidR="00D11210">
        <w:rPr>
          <w:rFonts w:eastAsia="Times New Roman"/>
          <w:szCs w:val="24"/>
          <w:lang w:eastAsia="lv-LV"/>
        </w:rPr>
        <w:t> </w:t>
      </w:r>
      <w:r w:rsidRPr="00975C99">
        <w:rPr>
          <w:rFonts w:eastAsia="Times New Roman"/>
          <w:szCs w:val="24"/>
          <w:lang w:eastAsia="lv-LV"/>
        </w:rPr>
        <w:t xml:space="preserve">kriminālprocesos </w:t>
      </w:r>
      <w:r w:rsidR="006A5C2B">
        <w:rPr>
          <w:rFonts w:eastAsia="Times New Roman"/>
          <w:szCs w:val="24"/>
          <w:lang w:eastAsia="lv-LV"/>
        </w:rPr>
        <w:t>Vidzemes tiesas apgabala</w:t>
      </w:r>
      <w:r w:rsidRPr="00975C99">
        <w:rPr>
          <w:rFonts w:eastAsia="Times New Roman"/>
          <w:szCs w:val="24"/>
          <w:lang w:eastAsia="lv-LV"/>
        </w:rPr>
        <w:t xml:space="preserve"> prokuratūras prokurori devuši piekrišanu </w:t>
      </w:r>
      <w:r w:rsidR="00E70B8E">
        <w:rPr>
          <w:rFonts w:eastAsia="Times New Roman"/>
          <w:szCs w:val="24"/>
          <w:lang w:eastAsia="lv-LV"/>
        </w:rPr>
        <w:t xml:space="preserve">izmeklētājiem </w:t>
      </w:r>
      <w:r w:rsidR="00A522C4">
        <w:rPr>
          <w:rFonts w:eastAsia="Times New Roman"/>
          <w:szCs w:val="24"/>
          <w:lang w:eastAsia="lv-LV"/>
        </w:rPr>
        <w:t>izdalīt no krimināllietas materiālus</w:t>
      </w:r>
      <w:r w:rsidR="004F5F2B">
        <w:rPr>
          <w:rFonts w:eastAsia="Times New Roman"/>
          <w:szCs w:val="24"/>
          <w:lang w:eastAsia="lv-LV"/>
        </w:rPr>
        <w:t xml:space="preserve"> un uzsākt procesu par noziedzīgi iegūtu mantu, kas nosūtīti tiesai</w:t>
      </w:r>
      <w:r w:rsidR="008E74FD">
        <w:rPr>
          <w:rFonts w:eastAsia="Times New Roman"/>
          <w:szCs w:val="24"/>
          <w:lang w:eastAsia="lv-LV"/>
        </w:rPr>
        <w:t xml:space="preserve">. No </w:t>
      </w:r>
      <w:r w:rsidR="00DB77F6">
        <w:rPr>
          <w:rFonts w:eastAsia="Times New Roman"/>
          <w:szCs w:val="24"/>
          <w:lang w:eastAsia="lv-LV"/>
        </w:rPr>
        <w:t xml:space="preserve">tiesā </w:t>
      </w:r>
      <w:r w:rsidR="000526CA">
        <w:rPr>
          <w:rFonts w:eastAsia="Times New Roman"/>
          <w:szCs w:val="24"/>
          <w:lang w:eastAsia="lv-LV"/>
        </w:rPr>
        <w:t>i</w:t>
      </w:r>
      <w:r w:rsidRPr="00975C99">
        <w:rPr>
          <w:rFonts w:eastAsia="Times New Roman"/>
          <w:szCs w:val="24"/>
          <w:lang w:eastAsia="lv-LV"/>
        </w:rPr>
        <w:t>zskatīt</w:t>
      </w:r>
      <w:r w:rsidR="00DB77F6">
        <w:rPr>
          <w:rFonts w:eastAsia="Times New Roman"/>
          <w:szCs w:val="24"/>
          <w:lang w:eastAsia="lv-LV"/>
        </w:rPr>
        <w:t xml:space="preserve">ajiem </w:t>
      </w:r>
      <w:r w:rsidRPr="00975C99">
        <w:rPr>
          <w:rFonts w:eastAsia="Times New Roman"/>
          <w:szCs w:val="24"/>
          <w:lang w:eastAsia="lv-LV"/>
        </w:rPr>
        <w:t xml:space="preserve">6 </w:t>
      </w:r>
      <w:r w:rsidR="009A54E1">
        <w:rPr>
          <w:rFonts w:eastAsia="Times New Roman"/>
          <w:szCs w:val="24"/>
          <w:lang w:eastAsia="lv-LV"/>
        </w:rPr>
        <w:t>procesiem</w:t>
      </w:r>
      <w:r w:rsidRPr="00975C99">
        <w:rPr>
          <w:rFonts w:eastAsia="Times New Roman"/>
          <w:szCs w:val="24"/>
          <w:lang w:eastAsia="lv-LV"/>
        </w:rPr>
        <w:t xml:space="preserve"> visos gadījumos tiesa pieņēma lēmumu arestētos finanšu līdzekļus atzīt par noziedzīgi iegūtu mantu.</w:t>
      </w:r>
    </w:p>
    <w:p w14:paraId="40AAAC6A" w14:textId="77777777" w:rsidR="00D24C95" w:rsidRPr="00975C99" w:rsidRDefault="00D24C95" w:rsidP="00D24C95">
      <w:pPr>
        <w:spacing w:after="0" w:line="240" w:lineRule="auto"/>
        <w:ind w:firstLine="720"/>
        <w:jc w:val="both"/>
        <w:rPr>
          <w:rFonts w:eastAsia="Times New Roman"/>
          <w:szCs w:val="24"/>
          <w:lang w:eastAsia="lv-LV"/>
        </w:rPr>
      </w:pPr>
    </w:p>
    <w:p w14:paraId="57E98066" w14:textId="0CE82AE3" w:rsidR="00D24C95" w:rsidRPr="002E7A44" w:rsidRDefault="002E7A44" w:rsidP="00E329FC">
      <w:pPr>
        <w:pStyle w:val="ListParagraph"/>
        <w:numPr>
          <w:ilvl w:val="0"/>
          <w:numId w:val="18"/>
        </w:numPr>
        <w:spacing w:after="0" w:line="240" w:lineRule="auto"/>
        <w:rPr>
          <w:rFonts w:eastAsia="Times New Roman"/>
          <w:b/>
          <w:bCs/>
          <w:szCs w:val="24"/>
          <w:lang w:eastAsia="lv-LV"/>
        </w:rPr>
      </w:pPr>
      <w:r>
        <w:rPr>
          <w:noProof/>
        </w:rPr>
        <w:drawing>
          <wp:anchor distT="0" distB="0" distL="114300" distR="114300" simplePos="0" relativeHeight="251690496" behindDoc="0" locked="0" layoutInCell="1" allowOverlap="1" wp14:anchorId="05205928" wp14:editId="75F5B8C3">
            <wp:simplePos x="0" y="0"/>
            <wp:positionH relativeFrom="margin">
              <wp:align>center</wp:align>
            </wp:positionH>
            <wp:positionV relativeFrom="paragraph">
              <wp:posOffset>276513</wp:posOffset>
            </wp:positionV>
            <wp:extent cx="3956050" cy="1917700"/>
            <wp:effectExtent l="0" t="0" r="6350" b="6350"/>
            <wp:wrapTopAndBottom/>
            <wp:docPr id="38" name="Chart 38">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sidR="00C45000" w:rsidRPr="00D815C7">
        <w:rPr>
          <w:rFonts w:eastAsia="Times New Roman"/>
          <w:b/>
          <w:bCs/>
          <w:szCs w:val="24"/>
          <w:lang w:eastAsia="lv-LV"/>
        </w:rPr>
        <w:t>Prokuroru u</w:t>
      </w:r>
      <w:r w:rsidR="00D24C95" w:rsidRPr="00D815C7">
        <w:rPr>
          <w:rFonts w:eastAsia="Times New Roman"/>
          <w:b/>
          <w:bCs/>
          <w:szCs w:val="24"/>
          <w:lang w:eastAsia="lv-LV"/>
        </w:rPr>
        <w:t>zraudzībā pieņemti kriminālprocesi</w:t>
      </w:r>
    </w:p>
    <w:p w14:paraId="68086104" w14:textId="77777777" w:rsidR="00D24C95" w:rsidRDefault="00D24C95" w:rsidP="0046206B">
      <w:pPr>
        <w:spacing w:after="0" w:line="240" w:lineRule="auto"/>
        <w:jc w:val="both"/>
        <w:rPr>
          <w:rFonts w:eastAsia="Times New Roman"/>
          <w:sz w:val="26"/>
          <w:szCs w:val="26"/>
          <w:lang w:eastAsia="lv-LV"/>
        </w:rPr>
      </w:pPr>
    </w:p>
    <w:p w14:paraId="247ED815" w14:textId="464BC5CE" w:rsidR="00D24C95" w:rsidRPr="00975C99"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Vidzemes tiesas apgabala prokuratūras uzraudzībā pieņemto kriminālprocesu skaita nelielais pieaugums vistiešākā</w:t>
      </w:r>
      <w:r w:rsidR="006A5C2B">
        <w:rPr>
          <w:rFonts w:eastAsia="Times New Roman"/>
          <w:szCs w:val="24"/>
          <w:lang w:eastAsia="lv-LV"/>
        </w:rPr>
        <w:t xml:space="preserve"> veidā</w:t>
      </w:r>
      <w:r w:rsidRPr="00975C99">
        <w:rPr>
          <w:rFonts w:eastAsia="Times New Roman"/>
          <w:szCs w:val="24"/>
          <w:lang w:eastAsia="lv-LV"/>
        </w:rPr>
        <w:t xml:space="preserve"> saistāms ar izmeklēšanas iestādēs pēc Krimināllikuma 195.</w:t>
      </w:r>
      <w:r w:rsidR="000E2686">
        <w:rPr>
          <w:rFonts w:eastAsia="Times New Roman"/>
          <w:szCs w:val="24"/>
          <w:lang w:eastAsia="lv-LV"/>
        </w:rPr>
        <w:t> </w:t>
      </w:r>
      <w:r w:rsidRPr="00975C99">
        <w:rPr>
          <w:rFonts w:eastAsia="Times New Roman"/>
          <w:szCs w:val="24"/>
          <w:lang w:eastAsia="lv-LV"/>
        </w:rPr>
        <w:t>panta uzsākto kriminālprocesu skaita būtisku palielinājumu, kā arī to kriminālprocesu skaita pieaugumu, kuri uzsākti par Krimināllikuma 16.</w:t>
      </w:r>
      <w:r w:rsidR="000E2686">
        <w:rPr>
          <w:rFonts w:eastAsia="Times New Roman"/>
          <w:szCs w:val="24"/>
          <w:lang w:eastAsia="lv-LV"/>
        </w:rPr>
        <w:t> </w:t>
      </w:r>
      <w:r w:rsidRPr="00975C99">
        <w:rPr>
          <w:rFonts w:eastAsia="Times New Roman"/>
          <w:szCs w:val="24"/>
          <w:lang w:eastAsia="lv-LV"/>
        </w:rPr>
        <w:t>nodaļā paredzētajiem noziedzīg</w:t>
      </w:r>
      <w:r w:rsidR="00FA68C7">
        <w:rPr>
          <w:rFonts w:eastAsia="Times New Roman"/>
          <w:szCs w:val="24"/>
          <w:lang w:eastAsia="lv-LV"/>
        </w:rPr>
        <w:t>aj</w:t>
      </w:r>
      <w:r w:rsidRPr="00975C99">
        <w:rPr>
          <w:rFonts w:eastAsia="Times New Roman"/>
          <w:szCs w:val="24"/>
          <w:lang w:eastAsia="lv-LV"/>
        </w:rPr>
        <w:t>iem nodarījumiem pret nepilngadīgo un mazgadīgo tikumību un dzimumneaizskaramību.</w:t>
      </w:r>
    </w:p>
    <w:p w14:paraId="31345A3F" w14:textId="77777777" w:rsidR="00D24C95" w:rsidRPr="00975C99" w:rsidRDefault="00D24C95" w:rsidP="00D24C95">
      <w:pPr>
        <w:spacing w:after="0" w:line="240" w:lineRule="auto"/>
        <w:ind w:firstLine="720"/>
        <w:jc w:val="both"/>
        <w:rPr>
          <w:rFonts w:eastAsia="Times New Roman"/>
          <w:szCs w:val="24"/>
          <w:lang w:eastAsia="lv-LV"/>
        </w:rPr>
      </w:pPr>
    </w:p>
    <w:p w14:paraId="4076FAB4" w14:textId="7D2060DA" w:rsidR="00D24C95" w:rsidRPr="00FA68C7" w:rsidRDefault="00D218DB" w:rsidP="00E329FC">
      <w:pPr>
        <w:pStyle w:val="ListParagraph"/>
        <w:numPr>
          <w:ilvl w:val="0"/>
          <w:numId w:val="18"/>
        </w:numPr>
        <w:spacing w:after="0" w:line="240" w:lineRule="auto"/>
        <w:jc w:val="both"/>
        <w:rPr>
          <w:rFonts w:eastAsia="Times New Roman"/>
          <w:b/>
          <w:bCs/>
          <w:szCs w:val="24"/>
          <w:lang w:eastAsia="lv-LV"/>
        </w:rPr>
      </w:pPr>
      <w:r>
        <w:rPr>
          <w:noProof/>
        </w:rPr>
        <w:drawing>
          <wp:anchor distT="0" distB="0" distL="114300" distR="114300" simplePos="0" relativeHeight="251692544" behindDoc="0" locked="0" layoutInCell="1" allowOverlap="1" wp14:anchorId="75060838" wp14:editId="112FBD63">
            <wp:simplePos x="0" y="0"/>
            <wp:positionH relativeFrom="margin">
              <wp:align>center</wp:align>
            </wp:positionH>
            <wp:positionV relativeFrom="paragraph">
              <wp:posOffset>295217</wp:posOffset>
            </wp:positionV>
            <wp:extent cx="3968750" cy="2165350"/>
            <wp:effectExtent l="0" t="0" r="12700" b="6350"/>
            <wp:wrapTopAndBottom/>
            <wp:docPr id="41" name="Chart 4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r w:rsidR="00D24C95" w:rsidRPr="00FA68C7">
        <w:rPr>
          <w:rFonts w:eastAsia="Times New Roman"/>
          <w:b/>
          <w:bCs/>
          <w:szCs w:val="24"/>
          <w:lang w:eastAsia="lv-LV"/>
        </w:rPr>
        <w:t>Prokuroru dotie norādījumi</w:t>
      </w:r>
    </w:p>
    <w:p w14:paraId="3A3305C2" w14:textId="1F64E7E1" w:rsidR="00D24C95" w:rsidRPr="007D07E9" w:rsidRDefault="00D24C95" w:rsidP="00D218DB">
      <w:pPr>
        <w:spacing w:after="0" w:line="240" w:lineRule="auto"/>
        <w:jc w:val="both"/>
        <w:rPr>
          <w:rFonts w:eastAsia="Times New Roman"/>
          <w:b/>
          <w:bCs/>
          <w:sz w:val="26"/>
          <w:szCs w:val="26"/>
          <w:lang w:eastAsia="lv-LV"/>
        </w:rPr>
      </w:pPr>
    </w:p>
    <w:p w14:paraId="5270C196" w14:textId="2028B483" w:rsidR="00D24C95" w:rsidRPr="00975C99" w:rsidRDefault="00BC1DE3" w:rsidP="00D24C95">
      <w:pPr>
        <w:spacing w:after="0" w:line="240" w:lineRule="auto"/>
        <w:ind w:firstLine="720"/>
        <w:jc w:val="both"/>
        <w:rPr>
          <w:rFonts w:eastAsia="Times New Roman"/>
          <w:szCs w:val="24"/>
          <w:lang w:eastAsia="lv-LV"/>
        </w:rPr>
      </w:pPr>
      <w:r>
        <w:rPr>
          <w:rFonts w:eastAsia="Times New Roman"/>
          <w:szCs w:val="24"/>
          <w:lang w:eastAsia="lv-LV"/>
        </w:rPr>
        <w:t>Vidzemes tiesas apgabala prokuratūras p</w:t>
      </w:r>
      <w:r w:rsidR="00D24C95" w:rsidRPr="00975C99">
        <w:rPr>
          <w:rFonts w:eastAsia="Times New Roman"/>
          <w:szCs w:val="24"/>
          <w:lang w:eastAsia="lv-LV"/>
        </w:rPr>
        <w:t>rokuroru doto norādījumu skaits, salīdzinot ar 2019.</w:t>
      </w:r>
      <w:r w:rsidR="00FC4D8C">
        <w:rPr>
          <w:rFonts w:eastAsia="Times New Roman"/>
          <w:szCs w:val="24"/>
          <w:lang w:eastAsia="lv-LV"/>
        </w:rPr>
        <w:t> </w:t>
      </w:r>
      <w:r w:rsidR="00D24C95" w:rsidRPr="00975C99">
        <w:rPr>
          <w:rFonts w:eastAsia="Times New Roman"/>
          <w:szCs w:val="24"/>
          <w:lang w:eastAsia="lv-LV"/>
        </w:rPr>
        <w:t>gadu, ir samazinājies par 17,2 %, kas nav vērtējams kā negatīvs prokuroru darba rādītājs, jo prokurori pēc iespējas ātrāk iesaistās neatliekamo un sākotnējo izmeklēšanas darbību veikšanā, kā arī jau no kriminālprocesa uzsākšanas brīža nekavējoties vienojas ar procesa virzītāju par iespējamo kriminālprocesa virzību. Tomēr prokuroru iesaistīšanās kriminālprocesa izmeklēšanas norisē arvien ir aktuāla kā katru gadu. Prokuroru dotie norādījumi pozitīvi ietekmē izmeklēšanas kvalitāti un veicina kriminālprocesu virzību.</w:t>
      </w:r>
    </w:p>
    <w:p w14:paraId="4ABF76BA" w14:textId="4E9518F3" w:rsidR="00D24C95" w:rsidRDefault="00D24C95" w:rsidP="00D24C95">
      <w:pPr>
        <w:spacing w:after="0" w:line="240" w:lineRule="auto"/>
        <w:ind w:firstLine="720"/>
        <w:jc w:val="both"/>
        <w:rPr>
          <w:rFonts w:eastAsia="Times New Roman"/>
          <w:szCs w:val="24"/>
          <w:lang w:eastAsia="lv-LV"/>
        </w:rPr>
      </w:pPr>
    </w:p>
    <w:p w14:paraId="2EFA68DC" w14:textId="5A24B265" w:rsidR="00D24C95" w:rsidRPr="00EA6DC0" w:rsidRDefault="00CB05CA" w:rsidP="00E329FC">
      <w:pPr>
        <w:pStyle w:val="ListParagraph"/>
        <w:numPr>
          <w:ilvl w:val="0"/>
          <w:numId w:val="18"/>
        </w:numPr>
        <w:spacing w:after="0" w:line="240" w:lineRule="auto"/>
        <w:jc w:val="both"/>
        <w:rPr>
          <w:rFonts w:eastAsia="Times New Roman"/>
          <w:b/>
          <w:bCs/>
          <w:szCs w:val="24"/>
          <w:lang w:eastAsia="lv-LV"/>
        </w:rPr>
      </w:pPr>
      <w:r>
        <w:rPr>
          <w:noProof/>
        </w:rPr>
        <w:lastRenderedPageBreak/>
        <w:drawing>
          <wp:anchor distT="0" distB="0" distL="114300" distR="114300" simplePos="0" relativeHeight="251694592" behindDoc="0" locked="0" layoutInCell="1" allowOverlap="1" wp14:anchorId="0A7281FE" wp14:editId="62FEA4A5">
            <wp:simplePos x="0" y="0"/>
            <wp:positionH relativeFrom="margin">
              <wp:align>center</wp:align>
            </wp:positionH>
            <wp:positionV relativeFrom="paragraph">
              <wp:posOffset>428509</wp:posOffset>
            </wp:positionV>
            <wp:extent cx="3962400" cy="1879600"/>
            <wp:effectExtent l="0" t="0" r="0" b="6350"/>
            <wp:wrapTopAndBottom/>
            <wp:docPr id="42" name="Chart 42">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r w:rsidR="00D24C95" w:rsidRPr="00507668">
        <w:rPr>
          <w:rFonts w:eastAsia="Times New Roman"/>
          <w:b/>
          <w:bCs/>
          <w:szCs w:val="24"/>
          <w:lang w:eastAsia="lv-LV"/>
        </w:rPr>
        <w:t xml:space="preserve">Valsts apsūdzības uzturēšana </w:t>
      </w:r>
      <w:r w:rsidR="00507668">
        <w:rPr>
          <w:rFonts w:eastAsia="Times New Roman"/>
          <w:b/>
          <w:bCs/>
          <w:szCs w:val="24"/>
          <w:lang w:eastAsia="lv-LV"/>
        </w:rPr>
        <w:t xml:space="preserve">pirmās </w:t>
      </w:r>
      <w:r w:rsidR="00D24C95" w:rsidRPr="00507668">
        <w:rPr>
          <w:rFonts w:eastAsia="Times New Roman"/>
          <w:b/>
          <w:bCs/>
          <w:szCs w:val="24"/>
          <w:lang w:eastAsia="lv-LV"/>
        </w:rPr>
        <w:t xml:space="preserve">instances tiesā (izskatītas </w:t>
      </w:r>
      <w:r w:rsidR="006A5C2B">
        <w:rPr>
          <w:rFonts w:eastAsia="Times New Roman"/>
          <w:b/>
          <w:bCs/>
          <w:szCs w:val="24"/>
          <w:lang w:eastAsia="lv-LV"/>
        </w:rPr>
        <w:t>krimināl</w:t>
      </w:r>
      <w:r w:rsidR="00D24C95" w:rsidRPr="00507668">
        <w:rPr>
          <w:rFonts w:eastAsia="Times New Roman"/>
          <w:b/>
          <w:bCs/>
          <w:szCs w:val="24"/>
          <w:lang w:eastAsia="lv-LV"/>
        </w:rPr>
        <w:t>lietas), no tām ar pierādījumu pārbaudi</w:t>
      </w:r>
    </w:p>
    <w:p w14:paraId="5F3E2A8F" w14:textId="77777777" w:rsidR="00894D4F" w:rsidRDefault="00894D4F" w:rsidP="00CB05CA">
      <w:pPr>
        <w:spacing w:after="0" w:line="240" w:lineRule="auto"/>
        <w:jc w:val="both"/>
        <w:rPr>
          <w:rFonts w:eastAsia="Times New Roman"/>
          <w:szCs w:val="24"/>
          <w:lang w:eastAsia="lv-LV"/>
        </w:rPr>
      </w:pPr>
    </w:p>
    <w:p w14:paraId="146A8562" w14:textId="65BD15D1" w:rsidR="0046206B" w:rsidRDefault="004B6F02" w:rsidP="00CB05CA">
      <w:pPr>
        <w:spacing w:after="0" w:line="240" w:lineRule="auto"/>
        <w:ind w:firstLine="720"/>
        <w:jc w:val="both"/>
        <w:rPr>
          <w:rFonts w:eastAsia="Times New Roman"/>
          <w:szCs w:val="24"/>
          <w:lang w:eastAsia="lv-LV"/>
        </w:rPr>
      </w:pPr>
      <w:r>
        <w:rPr>
          <w:rFonts w:eastAsia="Times New Roman"/>
          <w:szCs w:val="24"/>
          <w:lang w:eastAsia="lv-LV"/>
        </w:rPr>
        <w:t>P</w:t>
      </w:r>
      <w:r w:rsidR="006D2FA2">
        <w:rPr>
          <w:rFonts w:eastAsia="Times New Roman"/>
          <w:szCs w:val="24"/>
          <w:lang w:eastAsia="lv-LV"/>
        </w:rPr>
        <w:t xml:space="preserve">irmās </w:t>
      </w:r>
      <w:r w:rsidR="00D24C95" w:rsidRPr="00975C99">
        <w:rPr>
          <w:rFonts w:eastAsia="Times New Roman"/>
          <w:szCs w:val="24"/>
          <w:lang w:eastAsia="lv-LV"/>
        </w:rPr>
        <w:t>instances tiesā iztiesāto krimināllietu</w:t>
      </w:r>
      <w:r w:rsidR="009E6336">
        <w:rPr>
          <w:rFonts w:eastAsia="Times New Roman"/>
          <w:szCs w:val="24"/>
          <w:lang w:eastAsia="lv-LV"/>
        </w:rPr>
        <w:t>, kuras tiesai nodevuši Vidzemes tiesas apgabala prokuratūras prokurori</w:t>
      </w:r>
      <w:r w:rsidR="00411F58">
        <w:rPr>
          <w:rFonts w:eastAsia="Times New Roman"/>
          <w:szCs w:val="24"/>
          <w:lang w:eastAsia="lv-LV"/>
        </w:rPr>
        <w:t>,</w:t>
      </w:r>
      <w:r w:rsidR="00D24C95" w:rsidRPr="00975C99">
        <w:rPr>
          <w:rFonts w:eastAsia="Times New Roman"/>
          <w:szCs w:val="24"/>
          <w:lang w:eastAsia="lv-LV"/>
        </w:rPr>
        <w:t xml:space="preserve"> skait</w:t>
      </w:r>
      <w:r>
        <w:rPr>
          <w:rFonts w:eastAsia="Times New Roman"/>
          <w:szCs w:val="24"/>
          <w:lang w:eastAsia="lv-LV"/>
        </w:rPr>
        <w:t>s</w:t>
      </w:r>
      <w:r w:rsidR="007018F9">
        <w:rPr>
          <w:rFonts w:eastAsia="Times New Roman"/>
          <w:szCs w:val="24"/>
          <w:lang w:eastAsia="lv-LV"/>
        </w:rPr>
        <w:t xml:space="preserve"> 2020. gadā</w:t>
      </w:r>
      <w:r w:rsidR="00D24C95" w:rsidRPr="00975C99">
        <w:rPr>
          <w:rFonts w:eastAsia="Times New Roman"/>
          <w:szCs w:val="24"/>
          <w:lang w:eastAsia="lv-LV"/>
        </w:rPr>
        <w:t>, salīdzinot ar iepriekšējiem gadiem, kaut nedaudz, tomēr ir samazinājies</w:t>
      </w:r>
      <w:r w:rsidR="00E93EFE">
        <w:rPr>
          <w:rFonts w:eastAsia="Times New Roman"/>
          <w:szCs w:val="24"/>
          <w:lang w:eastAsia="lv-LV"/>
        </w:rPr>
        <w:t>, kas savukārt palielina</w:t>
      </w:r>
      <w:r w:rsidR="002C354B">
        <w:rPr>
          <w:rFonts w:eastAsia="Times New Roman"/>
          <w:szCs w:val="24"/>
          <w:lang w:eastAsia="lv-LV"/>
        </w:rPr>
        <w:t xml:space="preserve"> iztiesāšanā esošo krimināllietu uzkrājumu.</w:t>
      </w:r>
      <w:r w:rsidR="003E221E">
        <w:rPr>
          <w:rFonts w:eastAsia="Times New Roman"/>
          <w:szCs w:val="24"/>
          <w:lang w:eastAsia="lv-LV"/>
        </w:rPr>
        <w:t xml:space="preserve"> Savu ietekmi uz to ir atstājuši</w:t>
      </w:r>
      <w:r w:rsidR="00C14E58">
        <w:rPr>
          <w:rFonts w:eastAsia="Times New Roman"/>
          <w:szCs w:val="24"/>
          <w:lang w:eastAsia="lv-LV"/>
        </w:rPr>
        <w:t xml:space="preserve"> </w:t>
      </w:r>
      <w:r w:rsidR="00794907">
        <w:rPr>
          <w:rFonts w:eastAsia="Times New Roman"/>
          <w:szCs w:val="24"/>
          <w:lang w:eastAsia="lv-LV"/>
        </w:rPr>
        <w:t>arī v</w:t>
      </w:r>
      <w:r w:rsidR="00794907" w:rsidRPr="00975C99">
        <w:rPr>
          <w:rFonts w:eastAsia="Times New Roman"/>
          <w:szCs w:val="24"/>
          <w:lang w:eastAsia="lv-LV"/>
        </w:rPr>
        <w:t>alstī noteiktie pasākumi sakarā ar ārkārt</w:t>
      </w:r>
      <w:r w:rsidR="00794907">
        <w:rPr>
          <w:rFonts w:eastAsia="Times New Roman"/>
          <w:szCs w:val="24"/>
          <w:lang w:eastAsia="lv-LV"/>
        </w:rPr>
        <w:t>ējo</w:t>
      </w:r>
      <w:r w:rsidR="00794907" w:rsidRPr="00975C99">
        <w:rPr>
          <w:rFonts w:eastAsia="Times New Roman"/>
          <w:szCs w:val="24"/>
          <w:lang w:eastAsia="lv-LV"/>
        </w:rPr>
        <w:t xml:space="preserve"> situāciju </w:t>
      </w:r>
      <w:r w:rsidR="00794907">
        <w:rPr>
          <w:rFonts w:eastAsia="Times New Roman"/>
          <w:szCs w:val="24"/>
          <w:lang w:eastAsia="lv-LV"/>
        </w:rPr>
        <w:t>Covid-19</w:t>
      </w:r>
      <w:r w:rsidR="00794907" w:rsidRPr="00975C99">
        <w:rPr>
          <w:rFonts w:eastAsia="Times New Roman"/>
          <w:szCs w:val="24"/>
          <w:lang w:eastAsia="lv-LV"/>
        </w:rPr>
        <w:t xml:space="preserve"> izplatības ierobežošanai</w:t>
      </w:r>
      <w:r w:rsidR="00794907">
        <w:rPr>
          <w:rFonts w:eastAsia="Times New Roman"/>
          <w:szCs w:val="24"/>
          <w:lang w:eastAsia="lv-LV"/>
        </w:rPr>
        <w:t>.</w:t>
      </w:r>
      <w:r w:rsidR="007018F9">
        <w:rPr>
          <w:rFonts w:eastAsia="Times New Roman"/>
          <w:szCs w:val="24"/>
          <w:lang w:eastAsia="lv-LV"/>
        </w:rPr>
        <w:t xml:space="preserve"> </w:t>
      </w:r>
      <w:r w:rsidR="00D24C95" w:rsidRPr="00975C99">
        <w:rPr>
          <w:rFonts w:eastAsia="Times New Roman"/>
          <w:szCs w:val="24"/>
          <w:lang w:eastAsia="lv-LV"/>
        </w:rPr>
        <w:t xml:space="preserve">Valsts apsūdzības uzturēšana </w:t>
      </w:r>
      <w:r w:rsidR="006D2FA2">
        <w:rPr>
          <w:rFonts w:eastAsia="Times New Roman"/>
          <w:szCs w:val="24"/>
          <w:lang w:eastAsia="lv-LV"/>
        </w:rPr>
        <w:t xml:space="preserve">pirmās </w:t>
      </w:r>
      <w:r w:rsidR="00D24C95" w:rsidRPr="00975C99">
        <w:rPr>
          <w:rFonts w:eastAsia="Times New Roman"/>
          <w:szCs w:val="24"/>
          <w:lang w:eastAsia="lv-LV"/>
        </w:rPr>
        <w:t>instances tiesā prasa lielu prokurora darba laika resursu. Sadarbībā ar tiesnešiem jāmeklē risinājums iztiesāšanas procesa efektīvākai norisei. Kā viens no risinājumiem ir krimināllietu izskatīšana rakstveida procesā, ja tas ir iespējams.</w:t>
      </w:r>
    </w:p>
    <w:p w14:paraId="6F650872" w14:textId="77777777" w:rsidR="0046206B" w:rsidRPr="00975C99" w:rsidRDefault="0046206B" w:rsidP="00657445">
      <w:pPr>
        <w:spacing w:after="0" w:line="240" w:lineRule="auto"/>
        <w:jc w:val="both"/>
        <w:rPr>
          <w:rFonts w:eastAsia="Times New Roman"/>
          <w:szCs w:val="24"/>
          <w:lang w:eastAsia="lv-LV"/>
        </w:rPr>
      </w:pPr>
    </w:p>
    <w:p w14:paraId="0B793E0B" w14:textId="354A7A42" w:rsidR="00D24C95" w:rsidRPr="00021A0D" w:rsidRDefault="008A3CF1" w:rsidP="00E329FC">
      <w:pPr>
        <w:pStyle w:val="ListParagraph"/>
        <w:numPr>
          <w:ilvl w:val="0"/>
          <w:numId w:val="18"/>
        </w:numPr>
        <w:spacing w:after="0" w:line="240" w:lineRule="auto"/>
        <w:rPr>
          <w:rFonts w:eastAsia="Times New Roman"/>
          <w:b/>
          <w:bCs/>
          <w:szCs w:val="24"/>
          <w:lang w:eastAsia="lv-LV"/>
        </w:rPr>
      </w:pPr>
      <w:r>
        <w:rPr>
          <w:noProof/>
        </w:rPr>
        <w:drawing>
          <wp:anchor distT="0" distB="0" distL="114300" distR="114300" simplePos="0" relativeHeight="251696640" behindDoc="0" locked="0" layoutInCell="1" allowOverlap="1" wp14:anchorId="7E5B5F71" wp14:editId="07761DF9">
            <wp:simplePos x="0" y="0"/>
            <wp:positionH relativeFrom="margin">
              <wp:align>center</wp:align>
            </wp:positionH>
            <wp:positionV relativeFrom="paragraph">
              <wp:posOffset>451485</wp:posOffset>
            </wp:positionV>
            <wp:extent cx="3956050" cy="1651000"/>
            <wp:effectExtent l="0" t="0" r="6350" b="6350"/>
            <wp:wrapTopAndBottom/>
            <wp:docPr id="90" name="Chart 90">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r w:rsidR="00D24C95" w:rsidRPr="00021A0D">
        <w:rPr>
          <w:rFonts w:eastAsia="Times New Roman"/>
          <w:b/>
          <w:bCs/>
          <w:szCs w:val="24"/>
          <w:lang w:eastAsia="lv-LV"/>
        </w:rPr>
        <w:t xml:space="preserve">Valsts apsūdzības uzturēšana apelācijas instances tiesā (izskatītas </w:t>
      </w:r>
      <w:r w:rsidR="006A5C2B">
        <w:rPr>
          <w:rFonts w:eastAsia="Times New Roman"/>
          <w:b/>
          <w:bCs/>
          <w:szCs w:val="24"/>
          <w:lang w:eastAsia="lv-LV"/>
        </w:rPr>
        <w:t>krimināl</w:t>
      </w:r>
      <w:r w:rsidR="00D24C95" w:rsidRPr="00021A0D">
        <w:rPr>
          <w:rFonts w:eastAsia="Times New Roman"/>
          <w:b/>
          <w:bCs/>
          <w:szCs w:val="24"/>
          <w:lang w:eastAsia="lv-LV"/>
        </w:rPr>
        <w:t>lietas), no tām mutvārdu/rakstveida procesā</w:t>
      </w:r>
    </w:p>
    <w:p w14:paraId="02931B51" w14:textId="77777777" w:rsidR="00C16D6B" w:rsidRDefault="00C16D6B" w:rsidP="008A3CF1">
      <w:pPr>
        <w:spacing w:after="0" w:line="240" w:lineRule="auto"/>
        <w:jc w:val="both"/>
        <w:rPr>
          <w:rFonts w:eastAsia="Times New Roman"/>
          <w:szCs w:val="24"/>
          <w:lang w:eastAsia="lv-LV"/>
        </w:rPr>
      </w:pPr>
    </w:p>
    <w:p w14:paraId="45ED3168" w14:textId="5D83D59E" w:rsidR="00D24C95" w:rsidRPr="00081E33" w:rsidRDefault="00D24C95" w:rsidP="00CB02C5">
      <w:pPr>
        <w:spacing w:after="0" w:line="240" w:lineRule="auto"/>
        <w:ind w:firstLine="720"/>
        <w:jc w:val="both"/>
        <w:rPr>
          <w:rFonts w:eastAsia="Times New Roman"/>
          <w:b/>
          <w:bCs/>
          <w:sz w:val="26"/>
          <w:szCs w:val="26"/>
          <w:lang w:eastAsia="lv-LV"/>
        </w:rPr>
      </w:pPr>
      <w:r w:rsidRPr="00975C99">
        <w:rPr>
          <w:rFonts w:eastAsia="Times New Roman"/>
          <w:szCs w:val="24"/>
          <w:lang w:eastAsia="lv-LV"/>
        </w:rPr>
        <w:t>Vidzemes tiesas apgabalā, neskatoties uz valstī noteikto ārkārt</w:t>
      </w:r>
      <w:r w:rsidR="00C16D6B">
        <w:rPr>
          <w:rFonts w:eastAsia="Times New Roman"/>
          <w:szCs w:val="24"/>
          <w:lang w:eastAsia="lv-LV"/>
        </w:rPr>
        <w:t>ējo</w:t>
      </w:r>
      <w:r w:rsidRPr="00975C99">
        <w:rPr>
          <w:rFonts w:eastAsia="Times New Roman"/>
          <w:szCs w:val="24"/>
          <w:lang w:eastAsia="lv-LV"/>
        </w:rPr>
        <w:t xml:space="preserve"> situāciju saistībā ar </w:t>
      </w:r>
      <w:r w:rsidR="003B6CC8">
        <w:rPr>
          <w:rFonts w:eastAsia="Times New Roman"/>
          <w:szCs w:val="24"/>
          <w:lang w:eastAsia="lv-LV"/>
        </w:rPr>
        <w:t>Covid-19</w:t>
      </w:r>
      <w:r w:rsidRPr="00975C99">
        <w:rPr>
          <w:rFonts w:eastAsia="Times New Roman"/>
          <w:szCs w:val="24"/>
          <w:lang w:eastAsia="lv-LV"/>
        </w:rPr>
        <w:t>, 2020.</w:t>
      </w:r>
      <w:r w:rsidR="00C16D6B">
        <w:rPr>
          <w:rFonts w:eastAsia="Times New Roman"/>
          <w:szCs w:val="24"/>
          <w:lang w:eastAsia="lv-LV"/>
        </w:rPr>
        <w:t> </w:t>
      </w:r>
      <w:r w:rsidRPr="00975C99">
        <w:rPr>
          <w:rFonts w:eastAsia="Times New Roman"/>
          <w:szCs w:val="24"/>
          <w:lang w:eastAsia="lv-LV"/>
        </w:rPr>
        <w:t xml:space="preserve">gadā tomēr </w:t>
      </w:r>
      <w:r w:rsidR="006A5C2B">
        <w:rPr>
          <w:rFonts w:eastAsia="Times New Roman"/>
          <w:szCs w:val="24"/>
          <w:lang w:eastAsia="lv-LV"/>
        </w:rPr>
        <w:t>krimināl</w:t>
      </w:r>
      <w:r w:rsidRPr="00975C99">
        <w:rPr>
          <w:rFonts w:eastAsia="Times New Roman"/>
          <w:szCs w:val="24"/>
          <w:lang w:eastAsia="lv-LV"/>
        </w:rPr>
        <w:t>lietas tika pārsvarā izskatītas mutvārdu procesā. Nākotnē apelācijas instanc</w:t>
      </w:r>
      <w:r w:rsidR="006A5C2B">
        <w:rPr>
          <w:rFonts w:eastAsia="Times New Roman"/>
          <w:szCs w:val="24"/>
          <w:lang w:eastAsia="lv-LV"/>
        </w:rPr>
        <w:t>es tiesā krimināl</w:t>
      </w:r>
      <w:r w:rsidRPr="00975C99">
        <w:rPr>
          <w:rFonts w:eastAsia="Times New Roman"/>
          <w:szCs w:val="24"/>
          <w:lang w:eastAsia="lv-LV"/>
        </w:rPr>
        <w:t xml:space="preserve">lietas pēc iespējas būtu izskatāmas rakstveida procesā, kas šobrīd arī notiek, lai nerastos pārāk liels neizskatīto </w:t>
      </w:r>
      <w:r w:rsidR="006A5C2B">
        <w:rPr>
          <w:rFonts w:eastAsia="Times New Roman"/>
          <w:szCs w:val="24"/>
          <w:lang w:eastAsia="lv-LV"/>
        </w:rPr>
        <w:t>krimināl</w:t>
      </w:r>
      <w:r w:rsidRPr="00975C99">
        <w:rPr>
          <w:rFonts w:eastAsia="Times New Roman"/>
          <w:szCs w:val="24"/>
          <w:lang w:eastAsia="lv-LV"/>
        </w:rPr>
        <w:t>lietu atlikums.</w:t>
      </w:r>
    </w:p>
    <w:p w14:paraId="276CE2FC" w14:textId="77777777" w:rsidR="008721BF" w:rsidRPr="00975C99" w:rsidRDefault="008721BF" w:rsidP="00D24C95">
      <w:pPr>
        <w:spacing w:after="0" w:line="240" w:lineRule="auto"/>
        <w:jc w:val="both"/>
        <w:rPr>
          <w:rFonts w:eastAsia="Times New Roman"/>
          <w:b/>
          <w:bCs/>
          <w:szCs w:val="24"/>
          <w:lang w:eastAsia="lv-LV"/>
        </w:rPr>
      </w:pPr>
    </w:p>
    <w:p w14:paraId="06F018F1" w14:textId="236458D0" w:rsidR="00D24C95" w:rsidRPr="00EC6C0E" w:rsidRDefault="00EC6C0E" w:rsidP="00E329FC">
      <w:pPr>
        <w:pStyle w:val="ListParagraph"/>
        <w:numPr>
          <w:ilvl w:val="0"/>
          <w:numId w:val="18"/>
        </w:numPr>
        <w:spacing w:after="0" w:line="240" w:lineRule="auto"/>
        <w:rPr>
          <w:rFonts w:eastAsia="Times New Roman"/>
          <w:b/>
          <w:bCs/>
          <w:szCs w:val="24"/>
          <w:lang w:eastAsia="lv-LV"/>
        </w:rPr>
      </w:pPr>
      <w:r>
        <w:rPr>
          <w:noProof/>
        </w:rPr>
        <w:drawing>
          <wp:anchor distT="0" distB="0" distL="114300" distR="114300" simplePos="0" relativeHeight="251698688" behindDoc="0" locked="0" layoutInCell="1" allowOverlap="1" wp14:anchorId="7D7B2E89" wp14:editId="239C73A0">
            <wp:simplePos x="0" y="0"/>
            <wp:positionH relativeFrom="margin">
              <wp:align>center</wp:align>
            </wp:positionH>
            <wp:positionV relativeFrom="paragraph">
              <wp:posOffset>265949</wp:posOffset>
            </wp:positionV>
            <wp:extent cx="3968750" cy="1600200"/>
            <wp:effectExtent l="0" t="0" r="12700" b="0"/>
            <wp:wrapTopAndBottom/>
            <wp:docPr id="132" name="Chart 132">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00D24C95" w:rsidRPr="00647409">
        <w:rPr>
          <w:rFonts w:eastAsia="Times New Roman"/>
          <w:b/>
          <w:bCs/>
          <w:szCs w:val="24"/>
          <w:lang w:eastAsia="lv-LV"/>
        </w:rPr>
        <w:t>Iesniegti</w:t>
      </w:r>
      <w:r w:rsidR="00677FAC">
        <w:rPr>
          <w:rFonts w:eastAsia="Times New Roman"/>
          <w:b/>
          <w:bCs/>
          <w:szCs w:val="24"/>
          <w:lang w:eastAsia="lv-LV"/>
        </w:rPr>
        <w:t xml:space="preserve"> </w:t>
      </w:r>
      <w:r w:rsidR="00D24C95" w:rsidRPr="00647409">
        <w:rPr>
          <w:rFonts w:eastAsia="Times New Roman"/>
          <w:b/>
          <w:bCs/>
          <w:szCs w:val="24"/>
          <w:lang w:eastAsia="lv-LV"/>
        </w:rPr>
        <w:t xml:space="preserve">protesti, no </w:t>
      </w:r>
      <w:r w:rsidR="00647409">
        <w:rPr>
          <w:rFonts w:eastAsia="Times New Roman"/>
          <w:b/>
          <w:bCs/>
          <w:szCs w:val="24"/>
          <w:lang w:eastAsia="lv-LV"/>
        </w:rPr>
        <w:t>tiem</w:t>
      </w:r>
      <w:r w:rsidR="00D24C95" w:rsidRPr="00647409">
        <w:rPr>
          <w:rFonts w:eastAsia="Times New Roman"/>
          <w:b/>
          <w:bCs/>
          <w:szCs w:val="24"/>
          <w:lang w:eastAsia="lv-LV"/>
        </w:rPr>
        <w:t xml:space="preserve"> apmierināt</w:t>
      </w:r>
      <w:r>
        <w:rPr>
          <w:rFonts w:eastAsia="Times New Roman"/>
          <w:b/>
          <w:bCs/>
          <w:szCs w:val="24"/>
          <w:lang w:eastAsia="lv-LV"/>
        </w:rPr>
        <w:t>i</w:t>
      </w:r>
    </w:p>
    <w:p w14:paraId="5F7B0611" w14:textId="77777777" w:rsidR="008721BF" w:rsidRDefault="008721BF" w:rsidP="00EC6C0E">
      <w:pPr>
        <w:spacing w:after="0" w:line="240" w:lineRule="auto"/>
        <w:jc w:val="both"/>
        <w:rPr>
          <w:rFonts w:eastAsia="Times New Roman"/>
          <w:sz w:val="26"/>
          <w:szCs w:val="26"/>
          <w:lang w:eastAsia="lv-LV"/>
        </w:rPr>
      </w:pPr>
    </w:p>
    <w:p w14:paraId="55A4EE15" w14:textId="7AEFF3B9" w:rsidR="00D24C95" w:rsidRPr="00975C99" w:rsidRDefault="006A5C2B" w:rsidP="00C17F01">
      <w:pPr>
        <w:spacing w:after="0" w:line="240" w:lineRule="auto"/>
        <w:ind w:firstLine="720"/>
        <w:jc w:val="both"/>
        <w:rPr>
          <w:rFonts w:eastAsia="Times New Roman"/>
          <w:szCs w:val="24"/>
          <w:lang w:eastAsia="lv-LV"/>
        </w:rPr>
      </w:pPr>
      <w:r>
        <w:rPr>
          <w:rFonts w:eastAsia="Times New Roman"/>
          <w:szCs w:val="24"/>
          <w:lang w:eastAsia="lv-LV"/>
        </w:rPr>
        <w:t>Vidzemes tiesas apgabala prokuratūras prokuroru i</w:t>
      </w:r>
      <w:r w:rsidR="00D24C95" w:rsidRPr="00975C99">
        <w:rPr>
          <w:rFonts w:eastAsia="Times New Roman"/>
          <w:szCs w:val="24"/>
          <w:lang w:eastAsia="lv-LV"/>
        </w:rPr>
        <w:t>esniegto protestu skaits 2020.</w:t>
      </w:r>
      <w:r w:rsidR="004448E4">
        <w:rPr>
          <w:rFonts w:eastAsia="Times New Roman"/>
          <w:szCs w:val="24"/>
          <w:lang w:eastAsia="lv-LV"/>
        </w:rPr>
        <w:t> </w:t>
      </w:r>
      <w:r w:rsidR="00D24C95" w:rsidRPr="00975C99">
        <w:rPr>
          <w:rFonts w:eastAsia="Times New Roman"/>
          <w:szCs w:val="24"/>
          <w:lang w:eastAsia="lv-LV"/>
        </w:rPr>
        <w:t>gadā, salīdzinot ar 2019.</w:t>
      </w:r>
      <w:r w:rsidR="004448E4">
        <w:rPr>
          <w:rFonts w:eastAsia="Times New Roman"/>
          <w:szCs w:val="24"/>
          <w:lang w:eastAsia="lv-LV"/>
        </w:rPr>
        <w:t> </w:t>
      </w:r>
      <w:r w:rsidR="00D24C95" w:rsidRPr="00975C99">
        <w:rPr>
          <w:rFonts w:eastAsia="Times New Roman"/>
          <w:szCs w:val="24"/>
          <w:lang w:eastAsia="lv-LV"/>
        </w:rPr>
        <w:t>gadu, ir būtiski samazinājies, t.</w:t>
      </w:r>
      <w:r w:rsidR="004448E4">
        <w:rPr>
          <w:rFonts w:eastAsia="Times New Roman"/>
          <w:szCs w:val="24"/>
          <w:lang w:eastAsia="lv-LV"/>
        </w:rPr>
        <w:t> </w:t>
      </w:r>
      <w:r w:rsidR="00D24C95" w:rsidRPr="00975C99">
        <w:rPr>
          <w:rFonts w:eastAsia="Times New Roman"/>
          <w:szCs w:val="24"/>
          <w:lang w:eastAsia="lv-LV"/>
        </w:rPr>
        <w:t>i., par</w:t>
      </w:r>
      <w:r w:rsidR="004448E4">
        <w:rPr>
          <w:rFonts w:eastAsia="Times New Roman"/>
          <w:szCs w:val="24"/>
          <w:lang w:eastAsia="lv-LV"/>
        </w:rPr>
        <w:t xml:space="preserve"> </w:t>
      </w:r>
      <w:r w:rsidR="00D24C95" w:rsidRPr="00975C99">
        <w:rPr>
          <w:rFonts w:eastAsia="Times New Roman"/>
          <w:szCs w:val="24"/>
          <w:lang w:eastAsia="lv-LV"/>
        </w:rPr>
        <w:t xml:space="preserve">26,66 </w:t>
      </w:r>
      <w:r w:rsidR="00660327">
        <w:rPr>
          <w:rFonts w:eastAsia="Times New Roman"/>
          <w:szCs w:val="24"/>
          <w:lang w:eastAsia="lv-LV"/>
        </w:rPr>
        <w:t> </w:t>
      </w:r>
      <w:r w:rsidR="00D24C95" w:rsidRPr="00975C99">
        <w:rPr>
          <w:rFonts w:eastAsia="Times New Roman"/>
          <w:szCs w:val="24"/>
          <w:lang w:eastAsia="lv-LV"/>
        </w:rPr>
        <w:t>%</w:t>
      </w:r>
      <w:r w:rsidR="00505A34">
        <w:rPr>
          <w:rFonts w:eastAsia="Times New Roman"/>
          <w:szCs w:val="24"/>
          <w:lang w:eastAsia="lv-LV"/>
        </w:rPr>
        <w:t xml:space="preserve">, ko varētu izskaidrot ar </w:t>
      </w:r>
      <w:r w:rsidR="006D44E0">
        <w:rPr>
          <w:rFonts w:eastAsia="Times New Roman"/>
          <w:szCs w:val="24"/>
          <w:lang w:eastAsia="lv-LV"/>
        </w:rPr>
        <w:t xml:space="preserve">to, ka </w:t>
      </w:r>
      <w:r w:rsidR="00A27775">
        <w:rPr>
          <w:rFonts w:eastAsia="Times New Roman"/>
          <w:szCs w:val="24"/>
          <w:lang w:eastAsia="lv-LV"/>
        </w:rPr>
        <w:t>t</w:t>
      </w:r>
      <w:r w:rsidR="00D24C95" w:rsidRPr="00975C99">
        <w:rPr>
          <w:rFonts w:eastAsia="Times New Roman"/>
          <w:szCs w:val="24"/>
          <w:lang w:eastAsia="lv-LV"/>
        </w:rPr>
        <w:t xml:space="preserve">iesas </w:t>
      </w:r>
      <w:r w:rsidR="00FF344F">
        <w:rPr>
          <w:rFonts w:eastAsia="Times New Roman"/>
          <w:szCs w:val="24"/>
          <w:lang w:eastAsia="lv-LV"/>
        </w:rPr>
        <w:t>un prokuror</w:t>
      </w:r>
      <w:r w:rsidR="00C13E76">
        <w:rPr>
          <w:rFonts w:eastAsia="Times New Roman"/>
          <w:szCs w:val="24"/>
          <w:lang w:eastAsia="lv-LV"/>
        </w:rPr>
        <w:t xml:space="preserve">u viedokļos nav bijusi būtiska atšķirība un nav arī konstatēti </w:t>
      </w:r>
      <w:r w:rsidR="00C17F01">
        <w:rPr>
          <w:rFonts w:eastAsia="Times New Roman"/>
          <w:szCs w:val="24"/>
          <w:lang w:eastAsia="lv-LV"/>
        </w:rPr>
        <w:t xml:space="preserve">būtiski </w:t>
      </w:r>
      <w:r w:rsidR="00523E15">
        <w:rPr>
          <w:rFonts w:eastAsia="Times New Roman"/>
          <w:szCs w:val="24"/>
          <w:lang w:eastAsia="lv-LV"/>
        </w:rPr>
        <w:t>materiālo vai procesuālo normu pārkāpumi</w:t>
      </w:r>
      <w:r w:rsidR="00D00DD7">
        <w:rPr>
          <w:rFonts w:eastAsia="Times New Roman"/>
          <w:szCs w:val="24"/>
          <w:lang w:eastAsia="lv-LV"/>
        </w:rPr>
        <w:t xml:space="preserve">, </w:t>
      </w:r>
      <w:r w:rsidR="008E7963">
        <w:rPr>
          <w:rFonts w:eastAsia="Times New Roman"/>
          <w:szCs w:val="24"/>
          <w:lang w:eastAsia="lv-LV"/>
        </w:rPr>
        <w:t xml:space="preserve">lai prokuroriem būtu pamats iesniegt apelācijas vai </w:t>
      </w:r>
      <w:r w:rsidR="00C17F01">
        <w:rPr>
          <w:rFonts w:eastAsia="Times New Roman"/>
          <w:szCs w:val="24"/>
          <w:lang w:eastAsia="lv-LV"/>
        </w:rPr>
        <w:t>kasācijas protestus.</w:t>
      </w:r>
      <w:r w:rsidR="00D24C95" w:rsidRPr="00975C99">
        <w:rPr>
          <w:rFonts w:eastAsia="Times New Roman"/>
          <w:szCs w:val="24"/>
          <w:lang w:eastAsia="lv-LV"/>
        </w:rPr>
        <w:t xml:space="preserve"> </w:t>
      </w:r>
    </w:p>
    <w:p w14:paraId="152ABD42" w14:textId="77777777" w:rsidR="00D24C95" w:rsidRPr="00975C99" w:rsidRDefault="00D24C95" w:rsidP="00C17F01">
      <w:pPr>
        <w:spacing w:after="0" w:line="240" w:lineRule="auto"/>
        <w:jc w:val="both"/>
        <w:rPr>
          <w:rFonts w:eastAsia="Times New Roman"/>
          <w:szCs w:val="24"/>
          <w:lang w:eastAsia="lv-LV"/>
        </w:rPr>
      </w:pPr>
    </w:p>
    <w:p w14:paraId="3A1CEADD" w14:textId="6233BD68" w:rsidR="00D24C95" w:rsidRDefault="005D06E0" w:rsidP="00E329FC">
      <w:pPr>
        <w:pStyle w:val="ListParagraph"/>
        <w:numPr>
          <w:ilvl w:val="0"/>
          <w:numId w:val="18"/>
        </w:numPr>
        <w:spacing w:after="0" w:line="240" w:lineRule="auto"/>
        <w:rPr>
          <w:rFonts w:eastAsia="Times New Roman"/>
          <w:b/>
          <w:bCs/>
          <w:szCs w:val="24"/>
          <w:lang w:eastAsia="lv-LV"/>
        </w:rPr>
      </w:pPr>
      <w:r>
        <w:rPr>
          <w:noProof/>
        </w:rPr>
        <w:drawing>
          <wp:anchor distT="0" distB="0" distL="114300" distR="114300" simplePos="0" relativeHeight="251700736" behindDoc="0" locked="0" layoutInCell="1" allowOverlap="1" wp14:anchorId="101036BA" wp14:editId="190E0F68">
            <wp:simplePos x="0" y="0"/>
            <wp:positionH relativeFrom="margin">
              <wp:align>center</wp:align>
            </wp:positionH>
            <wp:positionV relativeFrom="paragraph">
              <wp:posOffset>276282</wp:posOffset>
            </wp:positionV>
            <wp:extent cx="3981450" cy="1644015"/>
            <wp:effectExtent l="0" t="0" r="0" b="13335"/>
            <wp:wrapTopAndBottom/>
            <wp:docPr id="134" name="Chart 134">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r w:rsidR="00D24C95" w:rsidRPr="00C7027D">
        <w:rPr>
          <w:rFonts w:eastAsia="Times New Roman"/>
          <w:b/>
          <w:bCs/>
          <w:szCs w:val="24"/>
          <w:lang w:eastAsia="lv-LV"/>
        </w:rPr>
        <w:t xml:space="preserve">Tiesā attaisnoto </w:t>
      </w:r>
      <w:r w:rsidR="006A5C2B">
        <w:rPr>
          <w:rFonts w:eastAsia="Times New Roman"/>
          <w:b/>
          <w:bCs/>
          <w:szCs w:val="24"/>
          <w:lang w:eastAsia="lv-LV"/>
        </w:rPr>
        <w:t>apsūdzēto</w:t>
      </w:r>
      <w:r w:rsidR="00F62B7E">
        <w:rPr>
          <w:rFonts w:eastAsia="Times New Roman"/>
          <w:b/>
          <w:bCs/>
          <w:szCs w:val="24"/>
          <w:lang w:eastAsia="lv-LV"/>
        </w:rPr>
        <w:t xml:space="preserve"> </w:t>
      </w:r>
      <w:r w:rsidR="00D24C95" w:rsidRPr="00C7027D">
        <w:rPr>
          <w:rFonts w:eastAsia="Times New Roman"/>
          <w:b/>
          <w:bCs/>
          <w:szCs w:val="24"/>
          <w:lang w:eastAsia="lv-LV"/>
        </w:rPr>
        <w:t>skaits</w:t>
      </w:r>
    </w:p>
    <w:p w14:paraId="36E50255" w14:textId="7CC2605B" w:rsidR="00813329" w:rsidRPr="005D06E0" w:rsidRDefault="00813329" w:rsidP="005D06E0">
      <w:pPr>
        <w:spacing w:after="0" w:line="240" w:lineRule="auto"/>
        <w:rPr>
          <w:rFonts w:eastAsia="Times New Roman"/>
          <w:b/>
          <w:bCs/>
          <w:szCs w:val="24"/>
          <w:lang w:eastAsia="lv-LV"/>
        </w:rPr>
      </w:pPr>
    </w:p>
    <w:p w14:paraId="026AE72C" w14:textId="215D6692" w:rsidR="00D24C95" w:rsidRPr="00975C99"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 xml:space="preserve">Tiesā attaisnoto </w:t>
      </w:r>
      <w:r w:rsidR="006A5C2B">
        <w:rPr>
          <w:rFonts w:eastAsia="Times New Roman"/>
          <w:szCs w:val="24"/>
          <w:lang w:eastAsia="lv-LV"/>
        </w:rPr>
        <w:t>apsūdzēto</w:t>
      </w:r>
      <w:r w:rsidRPr="00975C99">
        <w:rPr>
          <w:rFonts w:eastAsia="Times New Roman"/>
          <w:szCs w:val="24"/>
          <w:lang w:eastAsia="lv-LV"/>
        </w:rPr>
        <w:t xml:space="preserve"> skaits vērtējams kā zems un dod pamatu prokuror</w:t>
      </w:r>
      <w:r w:rsidR="003C79F3">
        <w:rPr>
          <w:rFonts w:eastAsia="Times New Roman"/>
          <w:szCs w:val="24"/>
          <w:lang w:eastAsia="lv-LV"/>
        </w:rPr>
        <w:t>u</w:t>
      </w:r>
      <w:r w:rsidRPr="00975C99">
        <w:rPr>
          <w:rFonts w:eastAsia="Times New Roman"/>
          <w:szCs w:val="24"/>
          <w:lang w:eastAsia="lv-LV"/>
        </w:rPr>
        <w:t xml:space="preserve"> darba kvalitāti novērtēt pozitīvi. 2020.</w:t>
      </w:r>
      <w:r w:rsidR="00805E58">
        <w:rPr>
          <w:rFonts w:eastAsia="Times New Roman"/>
          <w:szCs w:val="24"/>
          <w:lang w:eastAsia="lv-LV"/>
        </w:rPr>
        <w:t> </w:t>
      </w:r>
      <w:r w:rsidRPr="00975C99">
        <w:rPr>
          <w:rFonts w:eastAsia="Times New Roman"/>
          <w:szCs w:val="24"/>
          <w:lang w:eastAsia="lv-LV"/>
        </w:rPr>
        <w:t xml:space="preserve">gadā pārbaudēs par </w:t>
      </w:r>
      <w:r w:rsidR="007E7C3B">
        <w:rPr>
          <w:rFonts w:eastAsia="Times New Roman"/>
          <w:szCs w:val="24"/>
          <w:lang w:eastAsia="lv-LV"/>
        </w:rPr>
        <w:t xml:space="preserve">prokuroru </w:t>
      </w:r>
      <w:r w:rsidRPr="00975C99">
        <w:rPr>
          <w:rFonts w:eastAsia="Times New Roman"/>
          <w:szCs w:val="24"/>
          <w:lang w:eastAsia="lv-LV"/>
        </w:rPr>
        <w:t>atteikšanos no</w:t>
      </w:r>
      <w:r w:rsidR="00B87EA8">
        <w:rPr>
          <w:rFonts w:eastAsia="Times New Roman"/>
          <w:szCs w:val="24"/>
          <w:lang w:eastAsia="lv-LV"/>
        </w:rPr>
        <w:t xml:space="preserve"> </w:t>
      </w:r>
      <w:r w:rsidRPr="00975C99">
        <w:rPr>
          <w:rFonts w:eastAsia="Times New Roman"/>
          <w:szCs w:val="24"/>
          <w:lang w:eastAsia="lv-LV"/>
        </w:rPr>
        <w:t xml:space="preserve">apsūdzības un </w:t>
      </w:r>
      <w:r w:rsidR="006A5C2B">
        <w:rPr>
          <w:rFonts w:eastAsia="Times New Roman"/>
          <w:szCs w:val="24"/>
          <w:lang w:eastAsia="lv-LV"/>
        </w:rPr>
        <w:t>apsūdzēto</w:t>
      </w:r>
      <w:r w:rsidR="00F62B7E">
        <w:rPr>
          <w:rFonts w:eastAsia="Times New Roman"/>
          <w:szCs w:val="24"/>
          <w:lang w:eastAsia="lv-LV"/>
        </w:rPr>
        <w:t xml:space="preserve"> </w:t>
      </w:r>
      <w:r w:rsidRPr="00975C99">
        <w:rPr>
          <w:rFonts w:eastAsia="Times New Roman"/>
          <w:szCs w:val="24"/>
          <w:lang w:eastAsia="lv-LV"/>
        </w:rPr>
        <w:t>attaisnošanas</w:t>
      </w:r>
      <w:r w:rsidR="007E7C3B">
        <w:rPr>
          <w:rFonts w:eastAsia="Times New Roman"/>
          <w:szCs w:val="24"/>
          <w:lang w:eastAsia="lv-LV"/>
        </w:rPr>
        <w:t xml:space="preserve"> </w:t>
      </w:r>
      <w:r w:rsidRPr="00975C99">
        <w:rPr>
          <w:rFonts w:eastAsia="Times New Roman"/>
          <w:szCs w:val="24"/>
          <w:lang w:eastAsia="lv-LV"/>
        </w:rPr>
        <w:t>iemesliem</w:t>
      </w:r>
      <w:r w:rsidR="003C79F3">
        <w:rPr>
          <w:rFonts w:eastAsia="Times New Roman"/>
          <w:szCs w:val="24"/>
          <w:lang w:eastAsia="lv-LV"/>
        </w:rPr>
        <w:t xml:space="preserve"> </w:t>
      </w:r>
      <w:r w:rsidRPr="00975C99">
        <w:rPr>
          <w:rFonts w:eastAsia="Times New Roman"/>
          <w:szCs w:val="24"/>
          <w:lang w:eastAsia="lv-LV"/>
        </w:rPr>
        <w:t xml:space="preserve">konstatēts, ka tiesas spriedumos iekļautie secinājumi norāda uz to, ka </w:t>
      </w:r>
      <w:r w:rsidR="006A5C2B">
        <w:rPr>
          <w:rFonts w:eastAsia="Times New Roman"/>
          <w:szCs w:val="24"/>
          <w:lang w:eastAsia="lv-LV"/>
        </w:rPr>
        <w:t xml:space="preserve">apsūdzēto </w:t>
      </w:r>
      <w:r w:rsidRPr="00975C99">
        <w:rPr>
          <w:rFonts w:eastAsia="Times New Roman"/>
          <w:szCs w:val="24"/>
          <w:lang w:eastAsia="lv-LV"/>
        </w:rPr>
        <w:t xml:space="preserve">attaisnošanas iemesls nav jāmeklē prokuroru neefektīvā rīcībā vai nolaidībā, bet gan </w:t>
      </w:r>
      <w:r w:rsidR="006A5C2B">
        <w:rPr>
          <w:rFonts w:eastAsia="Times New Roman"/>
          <w:szCs w:val="24"/>
          <w:lang w:eastAsia="lv-LV"/>
        </w:rPr>
        <w:t>krimināl</w:t>
      </w:r>
      <w:r w:rsidRPr="00975C99">
        <w:rPr>
          <w:rFonts w:eastAsia="Times New Roman"/>
          <w:szCs w:val="24"/>
          <w:lang w:eastAsia="lv-LV"/>
        </w:rPr>
        <w:t>lietā nostiprināto pierādījumu dažādā uztveršanā un novērtēšanā (</w:t>
      </w:r>
      <w:r w:rsidR="00F66BB0">
        <w:rPr>
          <w:rFonts w:eastAsia="Times New Roman"/>
          <w:szCs w:val="24"/>
          <w:lang w:eastAsia="lv-LV"/>
        </w:rPr>
        <w:t xml:space="preserve">pierādījumu </w:t>
      </w:r>
      <w:r w:rsidRPr="00975C99">
        <w:rPr>
          <w:rFonts w:eastAsia="Times New Roman"/>
          <w:szCs w:val="24"/>
          <w:lang w:eastAsia="lv-LV"/>
        </w:rPr>
        <w:t>pietiekamība un pieļaujamība)</w:t>
      </w:r>
      <w:r w:rsidR="00F8298E">
        <w:rPr>
          <w:rFonts w:eastAsia="Times New Roman"/>
          <w:szCs w:val="24"/>
          <w:lang w:eastAsia="lv-LV"/>
        </w:rPr>
        <w:t xml:space="preserve">. Tāpat </w:t>
      </w:r>
      <w:r w:rsidRPr="00975C99">
        <w:rPr>
          <w:rFonts w:eastAsia="Times New Roman"/>
          <w:szCs w:val="24"/>
          <w:lang w:eastAsia="lv-LV"/>
        </w:rPr>
        <w:t>pamat</w:t>
      </w:r>
      <w:r w:rsidR="00F8298E">
        <w:rPr>
          <w:rFonts w:eastAsia="Times New Roman"/>
          <w:szCs w:val="24"/>
          <w:lang w:eastAsia="lv-LV"/>
        </w:rPr>
        <w:t>s</w:t>
      </w:r>
      <w:r w:rsidRPr="00975C99">
        <w:rPr>
          <w:rFonts w:eastAsia="Times New Roman"/>
          <w:szCs w:val="24"/>
          <w:lang w:eastAsia="lv-LV"/>
        </w:rPr>
        <w:t xml:space="preserve"> attaisnojoša sprieduma taisīšanai </w:t>
      </w:r>
      <w:r w:rsidR="00F8298E">
        <w:rPr>
          <w:rFonts w:eastAsia="Times New Roman"/>
          <w:szCs w:val="24"/>
          <w:lang w:eastAsia="lv-LV"/>
        </w:rPr>
        <w:t xml:space="preserve">ir </w:t>
      </w:r>
      <w:r w:rsidRPr="00975C99">
        <w:rPr>
          <w:rFonts w:eastAsia="Times New Roman"/>
          <w:szCs w:val="24"/>
          <w:lang w:eastAsia="lv-LV"/>
        </w:rPr>
        <w:t>bij</w:t>
      </w:r>
      <w:r w:rsidR="00F8298E">
        <w:rPr>
          <w:rFonts w:eastAsia="Times New Roman"/>
          <w:szCs w:val="24"/>
          <w:lang w:eastAsia="lv-LV"/>
        </w:rPr>
        <w:t>is</w:t>
      </w:r>
      <w:r w:rsidRPr="00975C99">
        <w:rPr>
          <w:rFonts w:eastAsia="Times New Roman"/>
          <w:szCs w:val="24"/>
          <w:lang w:eastAsia="lv-LV"/>
        </w:rPr>
        <w:t xml:space="preserve"> </w:t>
      </w:r>
      <w:r w:rsidR="003E4C03">
        <w:rPr>
          <w:rFonts w:eastAsia="Times New Roman"/>
          <w:szCs w:val="24"/>
          <w:lang w:eastAsia="lv-LV"/>
        </w:rPr>
        <w:t>atšķirīgs</w:t>
      </w:r>
      <w:r w:rsidRPr="00975C99">
        <w:rPr>
          <w:rFonts w:eastAsia="Times New Roman"/>
          <w:szCs w:val="24"/>
          <w:lang w:eastAsia="lv-LV"/>
        </w:rPr>
        <w:t xml:space="preserve"> prokurora un tiesas viedoklis par noziedzīgā nodarījuma sastāvu. Pārbaudes veicējs</w:t>
      </w:r>
      <w:r w:rsidR="00B2006C">
        <w:rPr>
          <w:rFonts w:eastAsia="Times New Roman"/>
          <w:szCs w:val="24"/>
          <w:lang w:eastAsia="lv-LV"/>
        </w:rPr>
        <w:t>, analizējot</w:t>
      </w:r>
      <w:r w:rsidR="00001BEE">
        <w:rPr>
          <w:rFonts w:eastAsia="Times New Roman"/>
          <w:szCs w:val="24"/>
          <w:lang w:eastAsia="lv-LV"/>
        </w:rPr>
        <w:t xml:space="preserve"> </w:t>
      </w:r>
      <w:r w:rsidR="006A5C2B">
        <w:rPr>
          <w:rFonts w:eastAsia="Times New Roman"/>
          <w:szCs w:val="24"/>
          <w:lang w:eastAsia="lv-LV"/>
        </w:rPr>
        <w:t>apsūdzēto</w:t>
      </w:r>
      <w:r w:rsidR="00001BEE">
        <w:rPr>
          <w:rFonts w:eastAsia="Times New Roman"/>
          <w:szCs w:val="24"/>
          <w:lang w:eastAsia="lv-LV"/>
        </w:rPr>
        <w:t xml:space="preserve"> attaisnošanas iemeslus,</w:t>
      </w:r>
      <w:r w:rsidRPr="00975C99">
        <w:rPr>
          <w:rFonts w:eastAsia="Times New Roman"/>
          <w:szCs w:val="24"/>
          <w:lang w:eastAsia="lv-LV"/>
        </w:rPr>
        <w:t xml:space="preserve"> nevienā no kriminālprocesiem nekonstatēj</w:t>
      </w:r>
      <w:r w:rsidR="00EA4350">
        <w:rPr>
          <w:rFonts w:eastAsia="Times New Roman"/>
          <w:szCs w:val="24"/>
          <w:lang w:eastAsia="lv-LV"/>
        </w:rPr>
        <w:t xml:space="preserve">a </w:t>
      </w:r>
      <w:r w:rsidRPr="00975C99">
        <w:rPr>
          <w:rFonts w:eastAsia="Times New Roman"/>
          <w:szCs w:val="24"/>
          <w:lang w:eastAsia="lv-LV"/>
        </w:rPr>
        <w:t xml:space="preserve">prokuroru pieļautās kļūdas vai trūkumus. </w:t>
      </w:r>
    </w:p>
    <w:p w14:paraId="5A333004" w14:textId="77777777" w:rsidR="00D24C95" w:rsidRPr="00975C99" w:rsidRDefault="00D24C95" w:rsidP="00D24C95">
      <w:pPr>
        <w:spacing w:after="0" w:line="240" w:lineRule="auto"/>
        <w:ind w:firstLine="720"/>
        <w:jc w:val="both"/>
        <w:rPr>
          <w:rFonts w:eastAsia="Times New Roman"/>
          <w:szCs w:val="24"/>
          <w:lang w:eastAsia="lv-LV"/>
        </w:rPr>
      </w:pPr>
    </w:p>
    <w:p w14:paraId="4B05872F" w14:textId="6AF04D1D" w:rsidR="00FF5D5F" w:rsidRPr="00FF5D5F" w:rsidRDefault="00FF5D5F" w:rsidP="00E329FC">
      <w:pPr>
        <w:pStyle w:val="ListParagraph"/>
        <w:numPr>
          <w:ilvl w:val="0"/>
          <w:numId w:val="18"/>
        </w:numPr>
        <w:spacing w:after="0" w:line="240" w:lineRule="auto"/>
        <w:rPr>
          <w:rFonts w:eastAsia="Times New Roman"/>
          <w:b/>
          <w:bCs/>
          <w:szCs w:val="24"/>
          <w:lang w:eastAsia="lv-LV"/>
        </w:rPr>
      </w:pPr>
      <w:r>
        <w:rPr>
          <w:noProof/>
        </w:rPr>
        <w:drawing>
          <wp:anchor distT="0" distB="0" distL="114300" distR="114300" simplePos="0" relativeHeight="251702784" behindDoc="0" locked="0" layoutInCell="1" allowOverlap="1" wp14:anchorId="5DE97EFD" wp14:editId="3FD05B8A">
            <wp:simplePos x="0" y="0"/>
            <wp:positionH relativeFrom="margin">
              <wp:align>center</wp:align>
            </wp:positionH>
            <wp:positionV relativeFrom="paragraph">
              <wp:posOffset>265949</wp:posOffset>
            </wp:positionV>
            <wp:extent cx="3981450" cy="2197100"/>
            <wp:effectExtent l="0" t="0" r="0" b="12700"/>
            <wp:wrapTopAndBottom/>
            <wp:docPr id="135" name="Chart 135">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r w:rsidR="00D24C95" w:rsidRPr="00C7027D">
        <w:rPr>
          <w:rFonts w:eastAsia="Times New Roman"/>
          <w:b/>
          <w:bCs/>
          <w:szCs w:val="24"/>
          <w:lang w:eastAsia="lv-LV"/>
        </w:rPr>
        <w:t>Izlemt</w:t>
      </w:r>
      <w:r w:rsidR="005D06E0">
        <w:rPr>
          <w:rFonts w:eastAsia="Times New Roman"/>
          <w:b/>
          <w:bCs/>
          <w:szCs w:val="24"/>
          <w:lang w:eastAsia="lv-LV"/>
        </w:rPr>
        <w:t>a</w:t>
      </w:r>
      <w:r w:rsidR="00D24C95" w:rsidRPr="00C7027D">
        <w:rPr>
          <w:rFonts w:eastAsia="Times New Roman"/>
          <w:b/>
          <w:bCs/>
          <w:szCs w:val="24"/>
          <w:lang w:eastAsia="lv-LV"/>
        </w:rPr>
        <w:t>s sūdzības, no tām apmierinātas.</w:t>
      </w:r>
    </w:p>
    <w:p w14:paraId="7D3BA179" w14:textId="250BB681" w:rsidR="00D24C95" w:rsidRDefault="00D24C95" w:rsidP="00D24C95">
      <w:pPr>
        <w:spacing w:after="0" w:line="240" w:lineRule="auto"/>
        <w:ind w:firstLine="720"/>
        <w:rPr>
          <w:rFonts w:eastAsia="Times New Roman"/>
          <w:b/>
          <w:bCs/>
          <w:sz w:val="26"/>
          <w:szCs w:val="26"/>
          <w:lang w:eastAsia="lv-LV"/>
        </w:rPr>
      </w:pPr>
    </w:p>
    <w:p w14:paraId="67F7FC54" w14:textId="5EC6FC16" w:rsidR="009B1461" w:rsidRDefault="00D24C95" w:rsidP="00CB32B8">
      <w:pPr>
        <w:spacing w:after="0" w:line="240" w:lineRule="auto"/>
        <w:ind w:firstLine="720"/>
        <w:jc w:val="both"/>
        <w:rPr>
          <w:rFonts w:eastAsia="Times New Roman"/>
          <w:szCs w:val="24"/>
          <w:lang w:eastAsia="lv-LV"/>
        </w:rPr>
      </w:pPr>
      <w:r w:rsidRPr="00E74D95">
        <w:rPr>
          <w:rFonts w:eastAsia="Times New Roman"/>
          <w:szCs w:val="24"/>
          <w:lang w:eastAsia="lv-LV"/>
        </w:rPr>
        <w:t>2020.</w:t>
      </w:r>
      <w:r w:rsidR="005075FF">
        <w:rPr>
          <w:rFonts w:eastAsia="Times New Roman"/>
          <w:szCs w:val="24"/>
          <w:lang w:eastAsia="lv-LV"/>
        </w:rPr>
        <w:t> </w:t>
      </w:r>
      <w:r w:rsidRPr="00E74D95">
        <w:rPr>
          <w:rFonts w:eastAsia="Times New Roman"/>
          <w:szCs w:val="24"/>
          <w:lang w:eastAsia="lv-LV"/>
        </w:rPr>
        <w:t>gadā, salīdzinot ar 2019.</w:t>
      </w:r>
      <w:r w:rsidR="005075FF">
        <w:rPr>
          <w:rFonts w:eastAsia="Times New Roman"/>
          <w:szCs w:val="24"/>
          <w:lang w:eastAsia="lv-LV"/>
        </w:rPr>
        <w:t> </w:t>
      </w:r>
      <w:r w:rsidRPr="00E74D95">
        <w:rPr>
          <w:rFonts w:eastAsia="Times New Roman"/>
          <w:szCs w:val="24"/>
          <w:lang w:eastAsia="lv-LV"/>
        </w:rPr>
        <w:t>gadu, Vidzemes tiesas apgabala prokuratūrā par 71,32</w:t>
      </w:r>
      <w:r w:rsidR="00660327">
        <w:rPr>
          <w:rFonts w:eastAsia="Times New Roman"/>
          <w:szCs w:val="24"/>
          <w:lang w:eastAsia="lv-LV"/>
        </w:rPr>
        <w:t> </w:t>
      </w:r>
      <w:r w:rsidRPr="00E74D95">
        <w:rPr>
          <w:rFonts w:eastAsia="Times New Roman"/>
          <w:szCs w:val="24"/>
          <w:lang w:eastAsia="lv-LV"/>
        </w:rPr>
        <w:t>% palielinājies saņemto sūdzību skaits, kā arī par 37,5</w:t>
      </w:r>
      <w:r w:rsidR="00660327">
        <w:rPr>
          <w:rFonts w:eastAsia="Times New Roman"/>
          <w:szCs w:val="24"/>
          <w:lang w:eastAsia="lv-LV"/>
        </w:rPr>
        <w:t> </w:t>
      </w:r>
      <w:r w:rsidRPr="00E74D95">
        <w:rPr>
          <w:rFonts w:eastAsia="Times New Roman"/>
          <w:szCs w:val="24"/>
          <w:lang w:eastAsia="lv-LV"/>
        </w:rPr>
        <w:t>% palielinājies apmierināto sūdzību skaits. Savukārt no 2020.</w:t>
      </w:r>
      <w:r w:rsidR="00D81136">
        <w:rPr>
          <w:rFonts w:eastAsia="Times New Roman"/>
          <w:szCs w:val="24"/>
          <w:lang w:eastAsia="lv-LV"/>
        </w:rPr>
        <w:t> </w:t>
      </w:r>
      <w:r w:rsidRPr="00E74D95">
        <w:rPr>
          <w:rFonts w:eastAsia="Times New Roman"/>
          <w:szCs w:val="24"/>
          <w:lang w:eastAsia="lv-LV"/>
        </w:rPr>
        <w:t xml:space="preserve">gadā saņemtajām </w:t>
      </w:r>
      <w:r w:rsidR="00D81136">
        <w:rPr>
          <w:rFonts w:eastAsia="Times New Roman"/>
          <w:szCs w:val="24"/>
          <w:lang w:eastAsia="lv-LV"/>
        </w:rPr>
        <w:t xml:space="preserve">sūdzībām </w:t>
      </w:r>
      <w:r w:rsidRPr="00E74D95">
        <w:rPr>
          <w:rFonts w:eastAsia="Times New Roman"/>
          <w:szCs w:val="24"/>
          <w:lang w:eastAsia="lv-LV"/>
        </w:rPr>
        <w:t>11,76</w:t>
      </w:r>
      <w:r w:rsidR="00B245A6">
        <w:rPr>
          <w:rFonts w:eastAsia="Times New Roman"/>
          <w:szCs w:val="24"/>
          <w:lang w:eastAsia="lv-LV"/>
        </w:rPr>
        <w:t> </w:t>
      </w:r>
      <w:r w:rsidRPr="00E74D95">
        <w:rPr>
          <w:rFonts w:eastAsia="Times New Roman"/>
          <w:szCs w:val="24"/>
          <w:lang w:eastAsia="lv-LV"/>
        </w:rPr>
        <w:t xml:space="preserve">% ir apmierinātas. </w:t>
      </w:r>
    </w:p>
    <w:p w14:paraId="4B0E917B" w14:textId="46367DE3" w:rsidR="00D24C95" w:rsidRDefault="00D24C95" w:rsidP="003D159B">
      <w:pPr>
        <w:spacing w:after="0" w:line="240" w:lineRule="auto"/>
        <w:ind w:firstLine="720"/>
        <w:jc w:val="both"/>
        <w:rPr>
          <w:rFonts w:eastAsia="Times New Roman"/>
          <w:szCs w:val="24"/>
          <w:lang w:eastAsia="lv-LV"/>
        </w:rPr>
      </w:pPr>
      <w:r w:rsidRPr="00E74D95">
        <w:rPr>
          <w:rFonts w:eastAsia="Times New Roman"/>
          <w:szCs w:val="24"/>
          <w:lang w:eastAsia="lv-LV"/>
        </w:rPr>
        <w:t xml:space="preserve">Prokuratūrā izlemto sūdzību skaits ik gadu ir nemainīgi </w:t>
      </w:r>
      <w:r w:rsidR="00386E3D">
        <w:rPr>
          <w:rFonts w:eastAsia="Times New Roman"/>
          <w:szCs w:val="24"/>
          <w:lang w:eastAsia="lv-LV"/>
        </w:rPr>
        <w:t xml:space="preserve">un </w:t>
      </w:r>
      <w:r w:rsidRPr="00E74D95">
        <w:rPr>
          <w:rFonts w:eastAsia="Times New Roman"/>
          <w:szCs w:val="24"/>
          <w:lang w:eastAsia="lv-LV"/>
        </w:rPr>
        <w:t xml:space="preserve">kritiski augsts, </w:t>
      </w:r>
      <w:r w:rsidR="00386E3D">
        <w:rPr>
          <w:rFonts w:eastAsia="Times New Roman"/>
          <w:szCs w:val="24"/>
          <w:lang w:eastAsia="lv-LV"/>
        </w:rPr>
        <w:t>turklāt vērojama tendence palielināties</w:t>
      </w:r>
      <w:r w:rsidRPr="00E74D95">
        <w:rPr>
          <w:rFonts w:eastAsia="Times New Roman"/>
          <w:szCs w:val="24"/>
          <w:lang w:eastAsia="lv-LV"/>
        </w:rPr>
        <w:t xml:space="preserve">. Sūdzību izlemšanai tiek atvēlēts nesamērīgi liels prokuroru darba resurss, </w:t>
      </w:r>
      <w:r w:rsidR="00C7229D">
        <w:rPr>
          <w:rFonts w:eastAsia="Times New Roman"/>
          <w:szCs w:val="24"/>
          <w:lang w:eastAsia="lv-LV"/>
        </w:rPr>
        <w:t xml:space="preserve">tāpēc </w:t>
      </w:r>
      <w:r w:rsidRPr="00E74D95">
        <w:rPr>
          <w:rFonts w:eastAsia="Times New Roman"/>
          <w:szCs w:val="24"/>
          <w:lang w:eastAsia="lv-LV"/>
        </w:rPr>
        <w:t>svarīgi ir rast risinājumu sūdzību skaita samazinājumam, lai prokurori varētu vairāk uzmanības atvēlēt svarīgāku prokuratūras funkciju nodrošināšanai.</w:t>
      </w:r>
    </w:p>
    <w:p w14:paraId="626056EF" w14:textId="24F3EE23" w:rsidR="003D159B" w:rsidRPr="003D159B" w:rsidRDefault="003D159B" w:rsidP="003D159B">
      <w:pPr>
        <w:rPr>
          <w:rFonts w:eastAsia="Times New Roman"/>
          <w:szCs w:val="24"/>
          <w:lang w:eastAsia="lv-LV"/>
        </w:rPr>
      </w:pPr>
      <w:r>
        <w:rPr>
          <w:rFonts w:eastAsia="Times New Roman"/>
          <w:szCs w:val="24"/>
          <w:lang w:eastAsia="lv-LV"/>
        </w:rPr>
        <w:br w:type="page"/>
      </w:r>
    </w:p>
    <w:p w14:paraId="4CEAF43E" w14:textId="77777777" w:rsidR="0092137D" w:rsidRPr="00577BF3" w:rsidRDefault="0092137D" w:rsidP="0092137D">
      <w:pPr>
        <w:spacing w:after="0"/>
        <w:jc w:val="both"/>
        <w:rPr>
          <w:rFonts w:cs="Times New Roman"/>
          <w:b/>
          <w:sz w:val="28"/>
          <w:szCs w:val="28"/>
        </w:rPr>
      </w:pPr>
      <w:r w:rsidRPr="00577BF3">
        <w:rPr>
          <w:rFonts w:cs="Times New Roman"/>
          <w:b/>
          <w:sz w:val="28"/>
          <w:szCs w:val="28"/>
        </w:rPr>
        <w:lastRenderedPageBreak/>
        <w:t>III. Rajona līmeņa prokuratūru darba rādītāji (salīdzinājums ar 2019. gadu)</w:t>
      </w:r>
    </w:p>
    <w:p w14:paraId="49E4B200" w14:textId="36A16823" w:rsidR="00D24C95" w:rsidRPr="008530D0" w:rsidRDefault="00D24C95" w:rsidP="0092137D">
      <w:pPr>
        <w:spacing w:after="0" w:line="240" w:lineRule="auto"/>
        <w:ind w:firstLine="720"/>
        <w:jc w:val="center"/>
        <w:rPr>
          <w:rFonts w:eastAsia="Times New Roman"/>
          <w:b/>
          <w:bCs/>
          <w:szCs w:val="24"/>
          <w:lang w:eastAsia="lv-LV"/>
        </w:rPr>
      </w:pPr>
    </w:p>
    <w:p w14:paraId="658D8423" w14:textId="2A039025" w:rsidR="00D24C95" w:rsidRPr="00E0745B" w:rsidRDefault="00D24C95" w:rsidP="00D24C95">
      <w:pPr>
        <w:spacing w:after="0" w:line="240" w:lineRule="auto"/>
        <w:ind w:firstLine="720"/>
        <w:jc w:val="both"/>
        <w:rPr>
          <w:rFonts w:eastAsia="Times New Roman"/>
          <w:szCs w:val="24"/>
          <w:lang w:eastAsia="lv-LV"/>
        </w:rPr>
      </w:pPr>
      <w:r w:rsidRPr="00E0745B">
        <w:rPr>
          <w:rFonts w:eastAsia="Times New Roman"/>
          <w:szCs w:val="24"/>
          <w:lang w:eastAsia="lv-LV"/>
        </w:rPr>
        <w:t xml:space="preserve">Lai objektīvi izvērtētu prokuroru darba rezultātus, tika salīdzināti dažādi rādītāji. Apkopojot informāciju par Vidzemes </w:t>
      </w:r>
      <w:r w:rsidR="006A5C2B">
        <w:rPr>
          <w:rFonts w:eastAsia="Times New Roman"/>
          <w:szCs w:val="24"/>
          <w:lang w:eastAsia="lv-LV"/>
        </w:rPr>
        <w:t>tiesas apgabalā</w:t>
      </w:r>
      <w:r w:rsidRPr="00E0745B">
        <w:rPr>
          <w:rFonts w:eastAsia="Times New Roman"/>
          <w:szCs w:val="24"/>
          <w:lang w:eastAsia="lv-LV"/>
        </w:rPr>
        <w:t xml:space="preserve"> reģistrētajiem noziedzīgajiem nodarījumiem, redzams, ka </w:t>
      </w:r>
      <w:r w:rsidR="00F118EF" w:rsidRPr="00E0745B">
        <w:rPr>
          <w:rFonts w:eastAsia="Times New Roman"/>
          <w:szCs w:val="24"/>
          <w:lang w:eastAsia="lv-LV"/>
        </w:rPr>
        <w:t xml:space="preserve">to </w:t>
      </w:r>
      <w:r w:rsidRPr="00E0745B">
        <w:rPr>
          <w:rFonts w:eastAsia="Times New Roman"/>
          <w:szCs w:val="24"/>
          <w:lang w:eastAsia="lv-LV"/>
        </w:rPr>
        <w:t>skaits ir samazinājies. Tas, ka</w:t>
      </w:r>
      <w:r w:rsidR="00A16E11" w:rsidRPr="00E0745B">
        <w:rPr>
          <w:rFonts w:eastAsia="Times New Roman"/>
          <w:szCs w:val="24"/>
          <w:lang w:eastAsia="lv-LV"/>
        </w:rPr>
        <w:t xml:space="preserve"> prokuroru darba </w:t>
      </w:r>
      <w:r w:rsidRPr="00E0745B">
        <w:rPr>
          <w:rFonts w:eastAsia="Times New Roman"/>
          <w:szCs w:val="24"/>
          <w:lang w:eastAsia="lv-LV"/>
        </w:rPr>
        <w:t>rādītāji gadu no gada ir atšķirīgi,</w:t>
      </w:r>
      <w:r w:rsidR="00CD1FC7" w:rsidRPr="00E0745B">
        <w:rPr>
          <w:rFonts w:eastAsia="Times New Roman"/>
          <w:szCs w:val="24"/>
          <w:lang w:eastAsia="lv-LV"/>
        </w:rPr>
        <w:t xml:space="preserve"> ir likumsakarīgi,</w:t>
      </w:r>
      <w:r w:rsidRPr="00E0745B">
        <w:rPr>
          <w:rFonts w:eastAsia="Times New Roman"/>
          <w:szCs w:val="24"/>
          <w:lang w:eastAsia="lv-LV"/>
        </w:rPr>
        <w:t xml:space="preserve"> jo </w:t>
      </w:r>
      <w:r w:rsidR="00B77738" w:rsidRPr="00E0745B">
        <w:rPr>
          <w:rFonts w:eastAsia="Times New Roman"/>
          <w:szCs w:val="24"/>
          <w:lang w:eastAsia="lv-LV"/>
        </w:rPr>
        <w:t xml:space="preserve">katru gadu atšķirīgs </w:t>
      </w:r>
      <w:r w:rsidR="00D241ED" w:rsidRPr="00E0745B">
        <w:rPr>
          <w:rFonts w:eastAsia="Times New Roman"/>
          <w:szCs w:val="24"/>
          <w:lang w:eastAsia="lv-LV"/>
        </w:rPr>
        <w:t xml:space="preserve">ir </w:t>
      </w:r>
      <w:r w:rsidRPr="00E0745B">
        <w:rPr>
          <w:rFonts w:eastAsia="Times New Roman"/>
          <w:szCs w:val="24"/>
          <w:lang w:eastAsia="lv-LV"/>
        </w:rPr>
        <w:t xml:space="preserve">arī reģistrēto noziedzīgo nodarījumu un uzsākto kriminālprocesu skaits izmeklēšanas iestādēs. </w:t>
      </w:r>
    </w:p>
    <w:p w14:paraId="16C143DE" w14:textId="36EF6404" w:rsidR="00D557A7" w:rsidRPr="00E0745B" w:rsidRDefault="00D24C95" w:rsidP="00D24C95">
      <w:pPr>
        <w:spacing w:after="0" w:line="240" w:lineRule="auto"/>
        <w:ind w:firstLine="720"/>
        <w:jc w:val="both"/>
        <w:rPr>
          <w:rFonts w:eastAsia="Times New Roman"/>
          <w:szCs w:val="24"/>
          <w:lang w:eastAsia="lv-LV"/>
        </w:rPr>
      </w:pPr>
      <w:r w:rsidRPr="00E0745B">
        <w:rPr>
          <w:rFonts w:eastAsia="Times New Roman"/>
          <w:szCs w:val="24"/>
          <w:lang w:eastAsia="lv-LV"/>
        </w:rPr>
        <w:t xml:space="preserve">Uzsākto kriminālprocesu skaits nedaudz palielinājies Valsts policijas Vidzemes reģiona pārvaldes Alūksnes iecirknī, Cēsu iecirknī un Kriminālpolicijas birojā, turpretī pārējos iecirkņos </w:t>
      </w:r>
      <w:r w:rsidR="00AA1191" w:rsidRPr="00E0745B">
        <w:rPr>
          <w:rFonts w:eastAsia="Times New Roman"/>
          <w:szCs w:val="24"/>
          <w:lang w:eastAsia="lv-LV"/>
        </w:rPr>
        <w:t xml:space="preserve">tas ir </w:t>
      </w:r>
      <w:r w:rsidRPr="00E0745B">
        <w:rPr>
          <w:rFonts w:eastAsia="Times New Roman"/>
          <w:szCs w:val="24"/>
          <w:lang w:eastAsia="lv-LV"/>
        </w:rPr>
        <w:t>samazinājies. Pamatā samazinājies mazāk smagu un smagu noziegumu skaits</w:t>
      </w:r>
      <w:r w:rsidR="00BD4F3E" w:rsidRPr="00E0745B">
        <w:rPr>
          <w:rFonts w:eastAsia="Times New Roman"/>
          <w:szCs w:val="24"/>
          <w:lang w:eastAsia="lv-LV"/>
        </w:rPr>
        <w:t>. Š</w:t>
      </w:r>
      <w:r w:rsidRPr="00E0745B">
        <w:rPr>
          <w:rFonts w:eastAsia="Times New Roman"/>
          <w:szCs w:val="24"/>
          <w:lang w:eastAsia="lv-LV"/>
        </w:rPr>
        <w:t>āda tendence skaidrojama gan ar nelielu noziedzības līmeņa kritumu apgabalā</w:t>
      </w:r>
      <w:r w:rsidR="004D2926" w:rsidRPr="00E0745B">
        <w:rPr>
          <w:rFonts w:eastAsia="Times New Roman"/>
          <w:szCs w:val="24"/>
          <w:lang w:eastAsia="lv-LV"/>
        </w:rPr>
        <w:t xml:space="preserve"> un </w:t>
      </w:r>
      <w:r w:rsidRPr="00E0745B">
        <w:rPr>
          <w:rFonts w:eastAsia="Times New Roman"/>
          <w:szCs w:val="24"/>
          <w:lang w:eastAsia="lv-LV"/>
        </w:rPr>
        <w:t>visā valstī</w:t>
      </w:r>
      <w:r w:rsidR="004D2926" w:rsidRPr="00E0745B">
        <w:rPr>
          <w:rFonts w:eastAsia="Times New Roman"/>
          <w:szCs w:val="24"/>
          <w:lang w:eastAsia="lv-LV"/>
        </w:rPr>
        <w:t xml:space="preserve"> kopumā</w:t>
      </w:r>
      <w:r w:rsidRPr="00E0745B">
        <w:rPr>
          <w:rFonts w:eastAsia="Times New Roman"/>
          <w:szCs w:val="24"/>
          <w:lang w:eastAsia="lv-LV"/>
        </w:rPr>
        <w:t>, gan ar citiem objektīviem apstākļiem (ar prokurora piekrišanu atteikts uzsākt kriminālprocesu</w:t>
      </w:r>
      <w:r w:rsidR="008138EA" w:rsidRPr="00E0745B">
        <w:rPr>
          <w:rFonts w:eastAsia="Times New Roman"/>
          <w:szCs w:val="24"/>
          <w:lang w:eastAsia="lv-LV"/>
        </w:rPr>
        <w:t>s</w:t>
      </w:r>
      <w:r w:rsidRPr="00E0745B">
        <w:rPr>
          <w:rFonts w:eastAsia="Times New Roman"/>
          <w:szCs w:val="24"/>
          <w:lang w:eastAsia="lv-LV"/>
        </w:rPr>
        <w:t xml:space="preserve"> par maznozīmīgiem noziedzīgiem nodarījumiem, izmeklēšanas iestādēs rūpīgāk izsvērts kriminālprocesa uzsākšanas pamats</w:t>
      </w:r>
      <w:r w:rsidR="00B76A21" w:rsidRPr="00E0745B">
        <w:rPr>
          <w:rFonts w:eastAsia="Times New Roman"/>
          <w:szCs w:val="24"/>
          <w:lang w:eastAsia="lv-LV"/>
        </w:rPr>
        <w:t xml:space="preserve"> </w:t>
      </w:r>
      <w:r w:rsidRPr="00E0745B">
        <w:rPr>
          <w:rFonts w:eastAsia="Times New Roman"/>
          <w:szCs w:val="24"/>
          <w:lang w:eastAsia="lv-LV"/>
        </w:rPr>
        <w:t>u.</w:t>
      </w:r>
      <w:r w:rsidR="008A37B9" w:rsidRPr="00E0745B">
        <w:rPr>
          <w:rFonts w:eastAsia="Times New Roman"/>
          <w:szCs w:val="24"/>
          <w:lang w:eastAsia="lv-LV"/>
        </w:rPr>
        <w:t> </w:t>
      </w:r>
      <w:r w:rsidRPr="00E0745B">
        <w:rPr>
          <w:rFonts w:eastAsia="Times New Roman"/>
          <w:szCs w:val="24"/>
          <w:lang w:eastAsia="lv-LV"/>
        </w:rPr>
        <w:t xml:space="preserve">c.), kā arī daļa no “regulārajiem apsūdzētajiem”, kuri pārsvarā izdara zādzības no veikaliem nelielā apmērā, ir sodīti ar reālu brīvības atņemšanas sodu un atrodas ieslodzījuma vietās. </w:t>
      </w:r>
    </w:p>
    <w:p w14:paraId="01132044" w14:textId="2CCFE770" w:rsidR="00D24C95" w:rsidRPr="00E0745B" w:rsidRDefault="00D24C95" w:rsidP="00D24C95">
      <w:pPr>
        <w:spacing w:after="0" w:line="240" w:lineRule="auto"/>
        <w:ind w:firstLine="720"/>
        <w:jc w:val="both"/>
        <w:rPr>
          <w:rFonts w:eastAsia="Times New Roman"/>
          <w:szCs w:val="24"/>
          <w:lang w:eastAsia="lv-LV"/>
        </w:rPr>
      </w:pPr>
      <w:r w:rsidRPr="00E0745B">
        <w:rPr>
          <w:rFonts w:eastAsia="Times New Roman"/>
          <w:szCs w:val="24"/>
          <w:lang w:eastAsia="lv-LV"/>
        </w:rPr>
        <w:t xml:space="preserve">Savukārt </w:t>
      </w:r>
      <w:r w:rsidR="006A5C2B">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w:t>
      </w:r>
      <w:r w:rsidR="006A5C2B">
        <w:t>ajās rajona līmeņa</w:t>
      </w:r>
      <w:r w:rsidR="006A5C2B" w:rsidRPr="00B41DBE">
        <w:t xml:space="preserve"> prokuratūr</w:t>
      </w:r>
      <w:r w:rsidR="006A5C2B">
        <w:t>ās</w:t>
      </w:r>
      <w:r w:rsidR="006A5C2B" w:rsidRPr="00E0745B">
        <w:rPr>
          <w:rFonts w:eastAsia="Times New Roman"/>
          <w:szCs w:val="24"/>
          <w:lang w:eastAsia="lv-LV"/>
        </w:rPr>
        <w:t xml:space="preserve"> </w:t>
      </w:r>
      <w:r w:rsidRPr="00E0745B">
        <w:rPr>
          <w:rFonts w:eastAsia="Times New Roman"/>
          <w:szCs w:val="24"/>
          <w:lang w:eastAsia="lv-LV"/>
        </w:rPr>
        <w:t>2020.</w:t>
      </w:r>
      <w:r w:rsidR="008A37B9" w:rsidRPr="00E0745B">
        <w:rPr>
          <w:rFonts w:eastAsia="Times New Roman"/>
          <w:szCs w:val="24"/>
          <w:lang w:eastAsia="lv-LV"/>
        </w:rPr>
        <w:t> </w:t>
      </w:r>
      <w:r w:rsidRPr="00E0745B">
        <w:rPr>
          <w:rFonts w:eastAsia="Times New Roman"/>
          <w:szCs w:val="24"/>
          <w:lang w:eastAsia="lv-LV"/>
        </w:rPr>
        <w:t>gadā kopā uzsākti 46</w:t>
      </w:r>
      <w:r w:rsidR="008A37B9" w:rsidRPr="00E0745B">
        <w:rPr>
          <w:rFonts w:eastAsia="Times New Roman"/>
          <w:szCs w:val="24"/>
          <w:lang w:eastAsia="lv-LV"/>
        </w:rPr>
        <w:t> </w:t>
      </w:r>
      <w:r w:rsidRPr="00E0745B">
        <w:rPr>
          <w:rFonts w:eastAsia="Times New Roman"/>
          <w:szCs w:val="24"/>
          <w:lang w:eastAsia="lv-LV"/>
        </w:rPr>
        <w:t>kriminālprocesi, kas ir par 17</w:t>
      </w:r>
      <w:r w:rsidR="00521787" w:rsidRPr="00E0745B">
        <w:rPr>
          <w:rFonts w:eastAsia="Times New Roman"/>
          <w:szCs w:val="24"/>
          <w:lang w:eastAsia="lv-LV"/>
        </w:rPr>
        <w:t> </w:t>
      </w:r>
      <w:r w:rsidRPr="00E0745B">
        <w:rPr>
          <w:rFonts w:eastAsia="Times New Roman"/>
          <w:szCs w:val="24"/>
          <w:lang w:eastAsia="lv-LV"/>
        </w:rPr>
        <w:t xml:space="preserve">uzsāktajiem kriminālprocesiem vairāk </w:t>
      </w:r>
      <w:r w:rsidR="007D519A" w:rsidRPr="00E0745B">
        <w:rPr>
          <w:rFonts w:eastAsia="Times New Roman"/>
          <w:szCs w:val="24"/>
          <w:lang w:eastAsia="lv-LV"/>
        </w:rPr>
        <w:t>ne</w:t>
      </w:r>
      <w:r w:rsidRPr="00E0745B">
        <w:rPr>
          <w:rFonts w:eastAsia="Times New Roman"/>
          <w:szCs w:val="24"/>
          <w:lang w:eastAsia="lv-LV"/>
        </w:rPr>
        <w:t>kā 2019.</w:t>
      </w:r>
      <w:r w:rsidR="00521787" w:rsidRPr="00E0745B">
        <w:rPr>
          <w:rFonts w:eastAsia="Times New Roman"/>
          <w:szCs w:val="24"/>
          <w:lang w:eastAsia="lv-LV"/>
        </w:rPr>
        <w:t> </w:t>
      </w:r>
      <w:r w:rsidRPr="00E0745B">
        <w:rPr>
          <w:rFonts w:eastAsia="Times New Roman"/>
          <w:szCs w:val="24"/>
          <w:lang w:eastAsia="lv-LV"/>
        </w:rPr>
        <w:t>gadā.</w:t>
      </w:r>
    </w:p>
    <w:p w14:paraId="06DDC665" w14:textId="7ABD9115" w:rsidR="00894E81" w:rsidRPr="00E0745B" w:rsidRDefault="00894E81" w:rsidP="00D24C95">
      <w:pPr>
        <w:spacing w:after="0" w:line="240" w:lineRule="auto"/>
        <w:ind w:firstLine="720"/>
        <w:jc w:val="both"/>
        <w:rPr>
          <w:rFonts w:eastAsia="Times New Roman"/>
          <w:szCs w:val="24"/>
          <w:lang w:eastAsia="lv-LV"/>
        </w:rPr>
      </w:pPr>
    </w:p>
    <w:p w14:paraId="2C57079D" w14:textId="6440A107" w:rsidR="00D24C95" w:rsidRDefault="006762BB" w:rsidP="00B245A6">
      <w:pPr>
        <w:pStyle w:val="ListParagraph"/>
        <w:numPr>
          <w:ilvl w:val="0"/>
          <w:numId w:val="19"/>
        </w:numPr>
        <w:spacing w:after="0" w:line="240" w:lineRule="auto"/>
        <w:ind w:hanging="294"/>
        <w:rPr>
          <w:rFonts w:eastAsia="Times New Roman"/>
          <w:b/>
          <w:bCs/>
          <w:szCs w:val="24"/>
          <w:lang w:eastAsia="lv-LV"/>
        </w:rPr>
      </w:pPr>
      <w:r>
        <w:rPr>
          <w:noProof/>
        </w:rPr>
        <w:drawing>
          <wp:anchor distT="0" distB="0" distL="114300" distR="114300" simplePos="0" relativeHeight="251704832" behindDoc="0" locked="0" layoutInCell="1" allowOverlap="1" wp14:anchorId="0CFA3001" wp14:editId="2665DCAF">
            <wp:simplePos x="0" y="0"/>
            <wp:positionH relativeFrom="margin">
              <wp:align>center</wp:align>
            </wp:positionH>
            <wp:positionV relativeFrom="paragraph">
              <wp:posOffset>261100</wp:posOffset>
            </wp:positionV>
            <wp:extent cx="5422900" cy="2889250"/>
            <wp:effectExtent l="0" t="0" r="6350" b="6350"/>
            <wp:wrapTopAndBottom/>
            <wp:docPr id="136" name="Chart 136">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r w:rsidR="00D24C95" w:rsidRPr="00176385">
        <w:rPr>
          <w:rFonts w:eastAsia="Times New Roman"/>
          <w:b/>
          <w:bCs/>
          <w:szCs w:val="24"/>
          <w:lang w:eastAsia="lv-LV"/>
        </w:rPr>
        <w:t>Kriminālvajāšanai saņemt</w:t>
      </w:r>
      <w:r w:rsidR="00FC2A1C">
        <w:rPr>
          <w:rFonts w:eastAsia="Times New Roman"/>
          <w:b/>
          <w:bCs/>
          <w:szCs w:val="24"/>
          <w:lang w:eastAsia="lv-LV"/>
        </w:rPr>
        <w:t>i</w:t>
      </w:r>
      <w:r w:rsidR="00D24C95" w:rsidRPr="00176385">
        <w:rPr>
          <w:rFonts w:eastAsia="Times New Roman"/>
          <w:b/>
          <w:bCs/>
          <w:szCs w:val="24"/>
          <w:lang w:eastAsia="lv-LV"/>
        </w:rPr>
        <w:t xml:space="preserve"> krimināl</w:t>
      </w:r>
      <w:r w:rsidR="00FC2A1C">
        <w:rPr>
          <w:rFonts w:eastAsia="Times New Roman"/>
          <w:b/>
          <w:bCs/>
          <w:szCs w:val="24"/>
          <w:lang w:eastAsia="lv-LV"/>
        </w:rPr>
        <w:t>procesi</w:t>
      </w:r>
    </w:p>
    <w:p w14:paraId="24A3BEE3" w14:textId="01135E10" w:rsidR="00D24C95" w:rsidRPr="00975C99" w:rsidRDefault="00D24C95" w:rsidP="006762BB">
      <w:pPr>
        <w:spacing w:after="0" w:line="240" w:lineRule="auto"/>
        <w:jc w:val="both"/>
        <w:rPr>
          <w:rFonts w:eastAsia="Times New Roman"/>
          <w:b/>
          <w:bCs/>
          <w:szCs w:val="24"/>
          <w:lang w:eastAsia="lv-LV"/>
        </w:rPr>
      </w:pPr>
    </w:p>
    <w:p w14:paraId="5EEDBD0B" w14:textId="3E4B800A" w:rsidR="00FC3F9E"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2020.</w:t>
      </w:r>
      <w:r w:rsidR="00C20A4D">
        <w:rPr>
          <w:rFonts w:eastAsia="Times New Roman"/>
          <w:szCs w:val="24"/>
          <w:lang w:eastAsia="lv-LV"/>
        </w:rPr>
        <w:t> </w:t>
      </w:r>
      <w:r w:rsidRPr="00975C99">
        <w:rPr>
          <w:rFonts w:eastAsia="Times New Roman"/>
          <w:szCs w:val="24"/>
          <w:lang w:eastAsia="lv-LV"/>
        </w:rPr>
        <w:t xml:space="preserve">gadā Vidzemes </w:t>
      </w:r>
      <w:r w:rsidR="007D4CE4">
        <w:rPr>
          <w:rFonts w:cs="Times New Roman"/>
          <w:bCs/>
          <w:szCs w:val="24"/>
        </w:rPr>
        <w:t>tiesas apgabala prokuratūras darbības teritorijā ietilpstošajās rajona līmeņa prokuratūrās</w:t>
      </w:r>
      <w:r w:rsidRPr="00975C99">
        <w:rPr>
          <w:rFonts w:eastAsia="Times New Roman"/>
          <w:szCs w:val="24"/>
          <w:lang w:eastAsia="lv-LV"/>
        </w:rPr>
        <w:t xml:space="preserve"> kriminālvajāšanas uzsākšanai </w:t>
      </w:r>
      <w:r w:rsidR="007D4CE4">
        <w:rPr>
          <w:rFonts w:eastAsia="Times New Roman"/>
          <w:szCs w:val="24"/>
          <w:lang w:eastAsia="lv-LV"/>
        </w:rPr>
        <w:t xml:space="preserve">kopumā </w:t>
      </w:r>
      <w:r w:rsidRPr="00975C99">
        <w:rPr>
          <w:rFonts w:eastAsia="Times New Roman"/>
          <w:szCs w:val="24"/>
          <w:lang w:eastAsia="lv-LV"/>
        </w:rPr>
        <w:t>saņ</w:t>
      </w:r>
      <w:r w:rsidR="007D4CE4">
        <w:rPr>
          <w:rFonts w:eastAsia="Times New Roman"/>
          <w:szCs w:val="24"/>
          <w:lang w:eastAsia="lv-LV"/>
        </w:rPr>
        <w:t>e</w:t>
      </w:r>
      <w:r w:rsidRPr="00975C99">
        <w:rPr>
          <w:rFonts w:eastAsia="Times New Roman"/>
          <w:szCs w:val="24"/>
          <w:lang w:eastAsia="lv-LV"/>
        </w:rPr>
        <w:t>m</w:t>
      </w:r>
      <w:r w:rsidR="007D4CE4">
        <w:rPr>
          <w:rFonts w:eastAsia="Times New Roman"/>
          <w:szCs w:val="24"/>
          <w:lang w:eastAsia="lv-LV"/>
        </w:rPr>
        <w:t>ti</w:t>
      </w:r>
      <w:r w:rsidRPr="00975C99">
        <w:rPr>
          <w:rFonts w:eastAsia="Times New Roman"/>
          <w:szCs w:val="24"/>
          <w:lang w:eastAsia="lv-LV"/>
        </w:rPr>
        <w:t xml:space="preserve"> 1324</w:t>
      </w:r>
      <w:r w:rsidR="001B635F">
        <w:rPr>
          <w:rFonts w:eastAsia="Times New Roman"/>
          <w:szCs w:val="24"/>
          <w:lang w:eastAsia="lv-LV"/>
        </w:rPr>
        <w:t> </w:t>
      </w:r>
      <w:r w:rsidRPr="00975C99">
        <w:rPr>
          <w:rFonts w:eastAsia="Times New Roman"/>
          <w:szCs w:val="24"/>
          <w:lang w:eastAsia="lv-LV"/>
        </w:rPr>
        <w:t>kriminā</w:t>
      </w:r>
      <w:r w:rsidR="00C12019">
        <w:rPr>
          <w:rFonts w:eastAsia="Times New Roman"/>
          <w:szCs w:val="24"/>
          <w:lang w:eastAsia="lv-LV"/>
        </w:rPr>
        <w:t>l</w:t>
      </w:r>
      <w:r w:rsidR="005720FB">
        <w:rPr>
          <w:rFonts w:eastAsia="Times New Roman"/>
          <w:szCs w:val="24"/>
          <w:lang w:eastAsia="lv-LV"/>
        </w:rPr>
        <w:t>proces</w:t>
      </w:r>
      <w:r w:rsidR="007D4CE4">
        <w:rPr>
          <w:rFonts w:eastAsia="Times New Roman"/>
          <w:szCs w:val="24"/>
          <w:lang w:eastAsia="lv-LV"/>
        </w:rPr>
        <w:t>i</w:t>
      </w:r>
      <w:r w:rsidRPr="00975C99">
        <w:rPr>
          <w:rFonts w:eastAsia="Times New Roman"/>
          <w:szCs w:val="24"/>
          <w:lang w:eastAsia="lv-LV"/>
        </w:rPr>
        <w:t>.</w:t>
      </w:r>
      <w:r w:rsidR="00AE244A">
        <w:rPr>
          <w:rFonts w:eastAsia="Times New Roman"/>
          <w:szCs w:val="24"/>
          <w:lang w:eastAsia="lv-LV"/>
        </w:rPr>
        <w:t xml:space="preserve"> </w:t>
      </w:r>
      <w:r w:rsidRPr="00975C99">
        <w:rPr>
          <w:rFonts w:eastAsia="Times New Roman"/>
          <w:szCs w:val="24"/>
          <w:lang w:eastAsia="lv-LV"/>
        </w:rPr>
        <w:t>2019.</w:t>
      </w:r>
      <w:r w:rsidR="001B635F">
        <w:rPr>
          <w:rFonts w:eastAsia="Times New Roman"/>
          <w:szCs w:val="24"/>
          <w:lang w:eastAsia="lv-LV"/>
        </w:rPr>
        <w:t> </w:t>
      </w:r>
      <w:r w:rsidRPr="00975C99">
        <w:rPr>
          <w:rFonts w:eastAsia="Times New Roman"/>
          <w:szCs w:val="24"/>
          <w:lang w:eastAsia="lv-LV"/>
        </w:rPr>
        <w:t>gadā šis rādītājs bija 1277</w:t>
      </w:r>
      <w:r w:rsidR="001B635F">
        <w:rPr>
          <w:rFonts w:eastAsia="Times New Roman"/>
          <w:szCs w:val="24"/>
          <w:lang w:eastAsia="lv-LV"/>
        </w:rPr>
        <w:t> </w:t>
      </w:r>
      <w:r w:rsidRPr="00975C99">
        <w:rPr>
          <w:rFonts w:eastAsia="Times New Roman"/>
          <w:szCs w:val="24"/>
          <w:lang w:eastAsia="lv-LV"/>
        </w:rPr>
        <w:t>krimināl</w:t>
      </w:r>
      <w:r w:rsidR="005720FB">
        <w:rPr>
          <w:rFonts w:eastAsia="Times New Roman"/>
          <w:szCs w:val="24"/>
          <w:lang w:eastAsia="lv-LV"/>
        </w:rPr>
        <w:t>procesi</w:t>
      </w:r>
      <w:r w:rsidRPr="00975C99">
        <w:rPr>
          <w:rFonts w:eastAsia="Times New Roman"/>
          <w:szCs w:val="24"/>
          <w:lang w:eastAsia="lv-LV"/>
        </w:rPr>
        <w:t xml:space="preserve">. </w:t>
      </w:r>
    </w:p>
    <w:p w14:paraId="4A04AF95" w14:textId="37BEAEB8" w:rsidR="00C779FC"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 xml:space="preserve">Neskatoties uz </w:t>
      </w:r>
      <w:r w:rsidR="006043A8">
        <w:rPr>
          <w:rFonts w:eastAsia="Times New Roman"/>
          <w:szCs w:val="24"/>
          <w:lang w:eastAsia="lv-LV"/>
        </w:rPr>
        <w:t>to, ka</w:t>
      </w:r>
      <w:r w:rsidR="006410B0">
        <w:rPr>
          <w:rFonts w:eastAsia="Times New Roman"/>
          <w:szCs w:val="24"/>
          <w:lang w:eastAsia="lv-LV"/>
        </w:rPr>
        <w:t xml:space="preserve"> prokuroru uzraudzībā pieņemto </w:t>
      </w:r>
      <w:r w:rsidRPr="00975C99">
        <w:rPr>
          <w:rFonts w:eastAsia="Times New Roman"/>
          <w:szCs w:val="24"/>
          <w:lang w:eastAsia="lv-LV"/>
        </w:rPr>
        <w:t>kriminālprocesu skait</w:t>
      </w:r>
      <w:r w:rsidR="006043A8">
        <w:rPr>
          <w:rFonts w:eastAsia="Times New Roman"/>
          <w:szCs w:val="24"/>
          <w:lang w:eastAsia="lv-LV"/>
        </w:rPr>
        <w:t>s</w:t>
      </w:r>
      <w:r w:rsidR="003E6142">
        <w:rPr>
          <w:rFonts w:eastAsia="Times New Roman"/>
          <w:szCs w:val="24"/>
          <w:lang w:eastAsia="lv-LV"/>
        </w:rPr>
        <w:t xml:space="preserve"> </w:t>
      </w:r>
      <w:r w:rsidR="003E6142" w:rsidRPr="00975C99">
        <w:rPr>
          <w:rFonts w:eastAsia="Times New Roman"/>
          <w:szCs w:val="24"/>
          <w:lang w:eastAsia="lv-LV"/>
        </w:rPr>
        <w:t>2020.</w:t>
      </w:r>
      <w:r w:rsidR="003E6142">
        <w:rPr>
          <w:rFonts w:eastAsia="Times New Roman"/>
          <w:szCs w:val="24"/>
          <w:lang w:eastAsia="lv-LV"/>
        </w:rPr>
        <w:t> </w:t>
      </w:r>
      <w:r w:rsidR="003E6142" w:rsidRPr="00975C99">
        <w:rPr>
          <w:rFonts w:eastAsia="Times New Roman"/>
          <w:szCs w:val="24"/>
          <w:lang w:eastAsia="lv-LV"/>
        </w:rPr>
        <w:t>gadā</w:t>
      </w:r>
      <w:r w:rsidR="006410B0">
        <w:rPr>
          <w:rFonts w:eastAsia="Times New Roman"/>
          <w:szCs w:val="24"/>
          <w:lang w:eastAsia="lv-LV"/>
        </w:rPr>
        <w:t xml:space="preserve"> ir </w:t>
      </w:r>
      <w:r w:rsidRPr="00975C99">
        <w:rPr>
          <w:rFonts w:eastAsia="Times New Roman"/>
          <w:szCs w:val="24"/>
          <w:lang w:eastAsia="lv-LV"/>
        </w:rPr>
        <w:t>samazinā</w:t>
      </w:r>
      <w:r w:rsidR="006043A8">
        <w:rPr>
          <w:rFonts w:eastAsia="Times New Roman"/>
          <w:szCs w:val="24"/>
          <w:lang w:eastAsia="lv-LV"/>
        </w:rPr>
        <w:t>jies</w:t>
      </w:r>
      <w:r w:rsidR="006410B0">
        <w:rPr>
          <w:rFonts w:eastAsia="Times New Roman"/>
          <w:szCs w:val="24"/>
          <w:lang w:eastAsia="lv-LV"/>
        </w:rPr>
        <w:t>,</w:t>
      </w:r>
      <w:r w:rsidRPr="00975C99">
        <w:rPr>
          <w:rFonts w:eastAsia="Times New Roman"/>
          <w:szCs w:val="24"/>
          <w:lang w:eastAsia="lv-LV"/>
        </w:rPr>
        <w:t xml:space="preserve"> </w:t>
      </w:r>
      <w:r w:rsidR="00FE7820" w:rsidRPr="00975C99">
        <w:rPr>
          <w:rFonts w:eastAsia="Times New Roman"/>
          <w:szCs w:val="24"/>
          <w:lang w:eastAsia="lv-LV"/>
        </w:rPr>
        <w:t>kriminālvajāšanas uzsākšanai</w:t>
      </w:r>
      <w:r w:rsidR="00FE7820" w:rsidRPr="006043A8">
        <w:rPr>
          <w:rFonts w:eastAsia="Times New Roman"/>
          <w:szCs w:val="24"/>
          <w:lang w:eastAsia="lv-LV"/>
        </w:rPr>
        <w:t xml:space="preserve"> </w:t>
      </w:r>
      <w:r w:rsidR="006410B0">
        <w:rPr>
          <w:rFonts w:eastAsia="Times New Roman"/>
          <w:szCs w:val="24"/>
          <w:lang w:eastAsia="lv-LV"/>
        </w:rPr>
        <w:t>saņem</w:t>
      </w:r>
      <w:r w:rsidRPr="00975C99">
        <w:rPr>
          <w:rFonts w:eastAsia="Times New Roman"/>
          <w:szCs w:val="24"/>
          <w:lang w:eastAsia="lv-LV"/>
        </w:rPr>
        <w:t>to krimināl</w:t>
      </w:r>
      <w:r w:rsidR="00E47AA0">
        <w:rPr>
          <w:rFonts w:eastAsia="Times New Roman"/>
          <w:szCs w:val="24"/>
          <w:lang w:eastAsia="lv-LV"/>
        </w:rPr>
        <w:t>procesu</w:t>
      </w:r>
      <w:r w:rsidRPr="00975C99">
        <w:rPr>
          <w:rFonts w:eastAsia="Times New Roman"/>
          <w:szCs w:val="24"/>
          <w:lang w:eastAsia="lv-LV"/>
        </w:rPr>
        <w:t xml:space="preserve"> skaits </w:t>
      </w:r>
      <w:r w:rsidR="006043A8" w:rsidRPr="00975C99">
        <w:rPr>
          <w:rFonts w:eastAsia="Times New Roman"/>
          <w:szCs w:val="24"/>
          <w:lang w:eastAsia="lv-LV"/>
        </w:rPr>
        <w:t>palielinājies</w:t>
      </w:r>
      <w:r w:rsidR="006410B0">
        <w:rPr>
          <w:rFonts w:eastAsia="Times New Roman"/>
          <w:szCs w:val="24"/>
          <w:lang w:eastAsia="lv-LV"/>
        </w:rPr>
        <w:t xml:space="preserve"> kopumā </w:t>
      </w:r>
      <w:r w:rsidR="006410B0" w:rsidRPr="00975C99">
        <w:rPr>
          <w:rFonts w:eastAsia="Times New Roman"/>
          <w:szCs w:val="24"/>
          <w:lang w:eastAsia="lv-LV"/>
        </w:rPr>
        <w:t>par</w:t>
      </w:r>
      <w:r w:rsidR="006410B0">
        <w:rPr>
          <w:rFonts w:eastAsia="Times New Roman"/>
          <w:szCs w:val="24"/>
          <w:lang w:eastAsia="lv-LV"/>
        </w:rPr>
        <w:t xml:space="preserve"> </w:t>
      </w:r>
      <w:r w:rsidR="006410B0" w:rsidRPr="00975C99">
        <w:rPr>
          <w:rFonts w:eastAsia="Times New Roman"/>
          <w:szCs w:val="24"/>
          <w:lang w:eastAsia="lv-LV"/>
        </w:rPr>
        <w:t>47</w:t>
      </w:r>
      <w:r w:rsidR="006410B0">
        <w:rPr>
          <w:rFonts w:eastAsia="Times New Roman"/>
          <w:szCs w:val="24"/>
          <w:lang w:eastAsia="lv-LV"/>
        </w:rPr>
        <w:t> </w:t>
      </w:r>
      <w:r w:rsidR="006410B0" w:rsidRPr="00975C99">
        <w:rPr>
          <w:rFonts w:eastAsia="Times New Roman"/>
          <w:szCs w:val="24"/>
          <w:lang w:eastAsia="lv-LV"/>
        </w:rPr>
        <w:t>kriminālprocesiem</w:t>
      </w:r>
      <w:r w:rsidRPr="00975C99">
        <w:rPr>
          <w:rFonts w:eastAsia="Times New Roman"/>
          <w:szCs w:val="24"/>
          <w:lang w:eastAsia="lv-LV"/>
        </w:rPr>
        <w:t xml:space="preserve">, kas skaidrojams ar prokuroru </w:t>
      </w:r>
      <w:r w:rsidR="009918FC">
        <w:rPr>
          <w:rFonts w:eastAsia="Times New Roman"/>
          <w:szCs w:val="24"/>
          <w:lang w:eastAsia="lv-LV"/>
        </w:rPr>
        <w:t>veiktās izmeklēšana</w:t>
      </w:r>
      <w:r w:rsidR="00E833AC">
        <w:rPr>
          <w:rFonts w:eastAsia="Times New Roman"/>
          <w:szCs w:val="24"/>
          <w:lang w:eastAsia="lv-LV"/>
        </w:rPr>
        <w:t xml:space="preserve">s </w:t>
      </w:r>
      <w:r w:rsidRPr="00975C99">
        <w:rPr>
          <w:rFonts w:eastAsia="Times New Roman"/>
          <w:szCs w:val="24"/>
          <w:lang w:eastAsia="lv-LV"/>
        </w:rPr>
        <w:t>uzraudzības aktivizēšanu, kā arī</w:t>
      </w:r>
      <w:r w:rsidR="00A84A91">
        <w:rPr>
          <w:rFonts w:eastAsia="Times New Roman"/>
          <w:szCs w:val="24"/>
          <w:lang w:eastAsia="lv-LV"/>
        </w:rPr>
        <w:t xml:space="preserve"> ar to</w:t>
      </w:r>
      <w:r w:rsidRPr="00975C99">
        <w:rPr>
          <w:rFonts w:eastAsia="Times New Roman"/>
          <w:szCs w:val="24"/>
          <w:lang w:eastAsia="lv-LV"/>
        </w:rPr>
        <w:t>,</w:t>
      </w:r>
      <w:r w:rsidR="00A84A91">
        <w:rPr>
          <w:rFonts w:eastAsia="Times New Roman"/>
          <w:szCs w:val="24"/>
          <w:lang w:eastAsia="lv-LV"/>
        </w:rPr>
        <w:t xml:space="preserve"> ka,</w:t>
      </w:r>
      <w:r w:rsidRPr="00975C99">
        <w:rPr>
          <w:rFonts w:eastAsia="Times New Roman"/>
          <w:szCs w:val="24"/>
          <w:lang w:eastAsia="lv-LV"/>
        </w:rPr>
        <w:t xml:space="preserve"> piemēram, Madonas rajona prokuratūrā no bērnu kopšanas atvaļinājum</w:t>
      </w:r>
      <w:r w:rsidR="00937039">
        <w:rPr>
          <w:rFonts w:eastAsia="Times New Roman"/>
          <w:szCs w:val="24"/>
          <w:lang w:eastAsia="lv-LV"/>
        </w:rPr>
        <w:t>a</w:t>
      </w:r>
      <w:r w:rsidRPr="00975C99">
        <w:rPr>
          <w:rFonts w:eastAsia="Times New Roman"/>
          <w:szCs w:val="24"/>
          <w:lang w:eastAsia="lv-LV"/>
        </w:rPr>
        <w:t xml:space="preserve"> atgriezās 2</w:t>
      </w:r>
      <w:r w:rsidR="00D94510">
        <w:rPr>
          <w:rFonts w:eastAsia="Times New Roman"/>
          <w:szCs w:val="24"/>
          <w:lang w:eastAsia="lv-LV"/>
        </w:rPr>
        <w:t> </w:t>
      </w:r>
      <w:r w:rsidRPr="00975C99">
        <w:rPr>
          <w:rFonts w:eastAsia="Times New Roman"/>
          <w:szCs w:val="24"/>
          <w:lang w:eastAsia="lv-LV"/>
        </w:rPr>
        <w:t xml:space="preserve">prokurores, kuras nekavējoties aktīvi iesaistījās </w:t>
      </w:r>
      <w:r w:rsidR="00A43209">
        <w:rPr>
          <w:rFonts w:eastAsia="Times New Roman"/>
          <w:szCs w:val="24"/>
          <w:lang w:eastAsia="lv-LV"/>
        </w:rPr>
        <w:t>izmeklēšanas</w:t>
      </w:r>
      <w:r w:rsidR="00B15D50">
        <w:rPr>
          <w:rFonts w:eastAsia="Times New Roman"/>
          <w:szCs w:val="24"/>
          <w:lang w:eastAsia="lv-LV"/>
        </w:rPr>
        <w:t xml:space="preserve"> </w:t>
      </w:r>
      <w:r w:rsidRPr="00975C99">
        <w:rPr>
          <w:rFonts w:eastAsia="Times New Roman"/>
          <w:szCs w:val="24"/>
          <w:lang w:eastAsia="lv-LV"/>
        </w:rPr>
        <w:t>uzraudzīb</w:t>
      </w:r>
      <w:r w:rsidR="00B15D50">
        <w:rPr>
          <w:rFonts w:eastAsia="Times New Roman"/>
          <w:szCs w:val="24"/>
          <w:lang w:eastAsia="lv-LV"/>
        </w:rPr>
        <w:t>as</w:t>
      </w:r>
      <w:r w:rsidRPr="00975C99">
        <w:rPr>
          <w:rFonts w:eastAsia="Times New Roman"/>
          <w:szCs w:val="24"/>
          <w:lang w:eastAsia="lv-LV"/>
        </w:rPr>
        <w:t xml:space="preserve"> un arī kriminālvajāšan</w:t>
      </w:r>
      <w:r w:rsidR="00B15D50">
        <w:rPr>
          <w:rFonts w:eastAsia="Times New Roman"/>
          <w:szCs w:val="24"/>
          <w:lang w:eastAsia="lv-LV"/>
        </w:rPr>
        <w:t>as veikšanā</w:t>
      </w:r>
      <w:r w:rsidRPr="00975C99">
        <w:rPr>
          <w:rFonts w:eastAsia="Times New Roman"/>
          <w:szCs w:val="24"/>
          <w:lang w:eastAsia="lv-LV"/>
        </w:rPr>
        <w:t xml:space="preserve">. </w:t>
      </w:r>
    </w:p>
    <w:p w14:paraId="7EC8B600" w14:textId="1A2363F9" w:rsidR="00EC27E4"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 xml:space="preserve">Kopumā </w:t>
      </w:r>
      <w:r w:rsidR="006A5C2B">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ietilpstošo</w:t>
      </w:r>
      <w:r w:rsidR="006A5C2B">
        <w:t xml:space="preserve"> rajona līmeņa</w:t>
      </w:r>
      <w:r w:rsidR="006A5C2B" w:rsidRPr="00B41DBE">
        <w:t xml:space="preserve"> prokuratūr</w:t>
      </w:r>
      <w:r w:rsidR="006A5C2B">
        <w:t>u</w:t>
      </w:r>
      <w:r w:rsidR="006A5C2B" w:rsidRPr="00975C99">
        <w:rPr>
          <w:rFonts w:eastAsia="Times New Roman"/>
          <w:szCs w:val="24"/>
          <w:lang w:eastAsia="lv-LV"/>
        </w:rPr>
        <w:t xml:space="preserve"> </w:t>
      </w:r>
      <w:r w:rsidRPr="00975C99">
        <w:rPr>
          <w:rFonts w:eastAsia="Times New Roman"/>
          <w:szCs w:val="24"/>
          <w:lang w:eastAsia="lv-LV"/>
        </w:rPr>
        <w:t>lietvedībā pieņemto kriminālprocesu skaits ir stabils un tas vistiešākā</w:t>
      </w:r>
      <w:r w:rsidR="006A5C2B">
        <w:rPr>
          <w:rFonts w:eastAsia="Times New Roman"/>
          <w:szCs w:val="24"/>
          <w:lang w:eastAsia="lv-LV"/>
        </w:rPr>
        <w:t xml:space="preserve"> veidā </w:t>
      </w:r>
      <w:r w:rsidRPr="00975C99">
        <w:rPr>
          <w:rFonts w:eastAsia="Times New Roman"/>
          <w:szCs w:val="24"/>
          <w:lang w:eastAsia="lv-LV"/>
        </w:rPr>
        <w:t xml:space="preserve">saistāms ar izmeklēšanas iestādēs uzsākto kriminālprocesu skaitu. </w:t>
      </w:r>
    </w:p>
    <w:p w14:paraId="38DEE222" w14:textId="1A344ABB" w:rsidR="00D24C95" w:rsidRPr="00975C99" w:rsidRDefault="006A5C2B" w:rsidP="00D24C95">
      <w:pPr>
        <w:spacing w:after="0" w:line="240" w:lineRule="auto"/>
        <w:ind w:firstLine="720"/>
        <w:jc w:val="both"/>
        <w:rPr>
          <w:rFonts w:eastAsia="Times New Roman"/>
          <w:szCs w:val="24"/>
          <w:lang w:eastAsia="lv-LV"/>
        </w:rPr>
      </w:pPr>
      <w:r>
        <w:rPr>
          <w:rFonts w:eastAsia="Times New Roman"/>
          <w:szCs w:val="24"/>
          <w:lang w:eastAsia="lv-LV"/>
        </w:rPr>
        <w:lastRenderedPageBreak/>
        <w:t xml:space="preserve">Valkas rajona </w:t>
      </w:r>
      <w:r w:rsidR="00D24C95" w:rsidRPr="00975C99">
        <w:rPr>
          <w:rFonts w:eastAsia="Times New Roman"/>
          <w:szCs w:val="24"/>
          <w:lang w:eastAsia="lv-LV"/>
        </w:rPr>
        <w:t>prokuratūrā</w:t>
      </w:r>
      <w:r>
        <w:rPr>
          <w:rFonts w:eastAsia="Times New Roman"/>
          <w:szCs w:val="24"/>
          <w:lang w:eastAsia="lv-LV"/>
        </w:rPr>
        <w:t xml:space="preserve"> </w:t>
      </w:r>
      <w:r w:rsidR="00D24C95" w:rsidRPr="00975C99">
        <w:rPr>
          <w:rFonts w:eastAsia="Times New Roman"/>
          <w:szCs w:val="24"/>
          <w:lang w:eastAsia="lv-LV"/>
        </w:rPr>
        <w:t>un Valmieras</w:t>
      </w:r>
      <w:r>
        <w:rPr>
          <w:rFonts w:eastAsia="Times New Roman"/>
          <w:szCs w:val="24"/>
          <w:lang w:eastAsia="lv-LV"/>
        </w:rPr>
        <w:t xml:space="preserve"> rajona prokuratūrā</w:t>
      </w:r>
      <w:r w:rsidR="00B23CB0">
        <w:rPr>
          <w:rFonts w:eastAsia="Times New Roman"/>
          <w:szCs w:val="24"/>
          <w:lang w:eastAsia="lv-LV"/>
        </w:rPr>
        <w:t xml:space="preserve"> samazinājies</w:t>
      </w:r>
      <w:r w:rsidR="00D24C95" w:rsidRPr="00975C99">
        <w:rPr>
          <w:rFonts w:eastAsia="Times New Roman"/>
          <w:szCs w:val="24"/>
          <w:lang w:eastAsia="lv-LV"/>
        </w:rPr>
        <w:t xml:space="preserve"> kriminālvajāšanai saņemto krimināl</w:t>
      </w:r>
      <w:r w:rsidR="00F72857">
        <w:rPr>
          <w:rFonts w:eastAsia="Times New Roman"/>
          <w:szCs w:val="24"/>
          <w:lang w:eastAsia="lv-LV"/>
        </w:rPr>
        <w:t>procesu</w:t>
      </w:r>
      <w:r w:rsidR="00D24C95" w:rsidRPr="00975C99">
        <w:rPr>
          <w:rFonts w:eastAsia="Times New Roman"/>
          <w:szCs w:val="24"/>
          <w:lang w:eastAsia="lv-LV"/>
        </w:rPr>
        <w:t xml:space="preserve"> skait</w:t>
      </w:r>
      <w:r w:rsidR="00B23CB0">
        <w:rPr>
          <w:rFonts w:eastAsia="Times New Roman"/>
          <w:szCs w:val="24"/>
          <w:lang w:eastAsia="lv-LV"/>
        </w:rPr>
        <w:t>s</w:t>
      </w:r>
      <w:r w:rsidR="003A7DD5">
        <w:rPr>
          <w:rFonts w:eastAsia="Times New Roman"/>
          <w:szCs w:val="24"/>
          <w:lang w:eastAsia="lv-LV"/>
        </w:rPr>
        <w:t>, turklāt Valmieras rajona prokuratūrā</w:t>
      </w:r>
      <w:r w:rsidR="00EA2475">
        <w:rPr>
          <w:rFonts w:eastAsia="Times New Roman"/>
          <w:szCs w:val="24"/>
          <w:lang w:eastAsia="lv-LV"/>
        </w:rPr>
        <w:t xml:space="preserve"> par gandrīz 100 krimināl</w:t>
      </w:r>
      <w:r w:rsidR="00F72857">
        <w:rPr>
          <w:rFonts w:eastAsia="Times New Roman"/>
          <w:szCs w:val="24"/>
          <w:lang w:eastAsia="lv-LV"/>
        </w:rPr>
        <w:t>procesiem</w:t>
      </w:r>
      <w:r w:rsidR="00EA2475">
        <w:rPr>
          <w:rFonts w:eastAsia="Times New Roman"/>
          <w:szCs w:val="24"/>
          <w:lang w:eastAsia="lv-LV"/>
        </w:rPr>
        <w:t>, kas vērtējams kā būtisks samazinājums.</w:t>
      </w:r>
      <w:r w:rsidR="00D24C95" w:rsidRPr="00975C99">
        <w:rPr>
          <w:rFonts w:eastAsia="Times New Roman"/>
          <w:szCs w:val="24"/>
          <w:lang w:eastAsia="lv-LV"/>
        </w:rPr>
        <w:t xml:space="preserve"> Šāda tendence skaidrojama ar nelielu izdarīto noziedzīgo nodarījumu kritumu, kas ir Valsts policijas veikto preventīvo pasākumu rezultāts (tostarp Covid</w:t>
      </w:r>
      <w:r w:rsidR="00A00CF7">
        <w:rPr>
          <w:rFonts w:eastAsia="Times New Roman"/>
          <w:szCs w:val="24"/>
          <w:lang w:eastAsia="lv-LV"/>
        </w:rPr>
        <w:t>-</w:t>
      </w:r>
      <w:r w:rsidR="00D24C95" w:rsidRPr="00975C99">
        <w:rPr>
          <w:rFonts w:eastAsia="Times New Roman"/>
          <w:szCs w:val="24"/>
          <w:lang w:eastAsia="lv-LV"/>
        </w:rPr>
        <w:t xml:space="preserve">19 ierobežojumu kontrolē), kā arī </w:t>
      </w:r>
      <w:r w:rsidR="00DA32C2">
        <w:rPr>
          <w:rFonts w:eastAsia="Times New Roman"/>
          <w:szCs w:val="24"/>
          <w:lang w:eastAsia="lv-LV"/>
        </w:rPr>
        <w:t xml:space="preserve">ar to, ka </w:t>
      </w:r>
      <w:r w:rsidR="00D24C95" w:rsidRPr="00975C99">
        <w:rPr>
          <w:rFonts w:eastAsia="Times New Roman"/>
          <w:szCs w:val="24"/>
          <w:lang w:eastAsia="lv-LV"/>
        </w:rPr>
        <w:t xml:space="preserve">Valmierā palielinājies atteikumu </w:t>
      </w:r>
      <w:r w:rsidR="00DB662F">
        <w:rPr>
          <w:rFonts w:eastAsia="Times New Roman"/>
          <w:szCs w:val="24"/>
          <w:lang w:eastAsia="lv-LV"/>
        </w:rPr>
        <w:t xml:space="preserve">uzsākt kriminālprocesu </w:t>
      </w:r>
      <w:r w:rsidR="00D24C95" w:rsidRPr="00975C99">
        <w:rPr>
          <w:rFonts w:eastAsia="Times New Roman"/>
          <w:szCs w:val="24"/>
          <w:lang w:eastAsia="lv-LV"/>
        </w:rPr>
        <w:t>par “sīkajām” zādzībām</w:t>
      </w:r>
      <w:r w:rsidR="00DB662F">
        <w:rPr>
          <w:rFonts w:eastAsia="Times New Roman"/>
          <w:szCs w:val="24"/>
          <w:lang w:eastAsia="lv-LV"/>
        </w:rPr>
        <w:t xml:space="preserve"> skaits</w:t>
      </w:r>
      <w:r w:rsidR="00D24C95" w:rsidRPr="00975C99">
        <w:rPr>
          <w:rFonts w:eastAsia="Times New Roman"/>
          <w:szCs w:val="24"/>
          <w:lang w:eastAsia="lv-LV"/>
        </w:rPr>
        <w:t xml:space="preserve">, </w:t>
      </w:r>
      <w:r w:rsidR="003D6483">
        <w:rPr>
          <w:rFonts w:eastAsia="Times New Roman"/>
          <w:szCs w:val="24"/>
          <w:lang w:eastAsia="lv-LV"/>
        </w:rPr>
        <w:t xml:space="preserve">izmantojot likumā paredzēto iespēju </w:t>
      </w:r>
      <w:r w:rsidR="00451709">
        <w:rPr>
          <w:rFonts w:eastAsia="Times New Roman"/>
          <w:szCs w:val="24"/>
          <w:lang w:eastAsia="lv-LV"/>
        </w:rPr>
        <w:t>–</w:t>
      </w:r>
      <w:r w:rsidR="003D6483">
        <w:rPr>
          <w:rFonts w:eastAsia="Times New Roman"/>
          <w:szCs w:val="24"/>
          <w:lang w:eastAsia="lv-LV"/>
        </w:rPr>
        <w:t xml:space="preserve"> </w:t>
      </w:r>
      <w:r w:rsidR="00451709">
        <w:rPr>
          <w:rFonts w:eastAsia="Times New Roman"/>
          <w:szCs w:val="24"/>
          <w:lang w:eastAsia="lv-LV"/>
        </w:rPr>
        <w:t xml:space="preserve">ar prokurora piekrišanu </w:t>
      </w:r>
      <w:r w:rsidR="00AA2F75">
        <w:rPr>
          <w:rFonts w:eastAsia="Times New Roman"/>
          <w:szCs w:val="24"/>
          <w:lang w:eastAsia="lv-LV"/>
        </w:rPr>
        <w:t>atteikt</w:t>
      </w:r>
      <w:r w:rsidR="00451709">
        <w:rPr>
          <w:rFonts w:eastAsia="Times New Roman"/>
          <w:szCs w:val="24"/>
          <w:lang w:eastAsia="lv-LV"/>
        </w:rPr>
        <w:t xml:space="preserve"> kriminālproces</w:t>
      </w:r>
      <w:r w:rsidR="00743C83">
        <w:rPr>
          <w:rFonts w:eastAsia="Times New Roman"/>
          <w:szCs w:val="24"/>
          <w:lang w:eastAsia="lv-LV"/>
        </w:rPr>
        <w:t>a uzsākšanu</w:t>
      </w:r>
      <w:r w:rsidR="00C97924">
        <w:rPr>
          <w:rFonts w:eastAsia="Times New Roman"/>
          <w:szCs w:val="24"/>
          <w:lang w:eastAsia="lv-LV"/>
        </w:rPr>
        <w:t xml:space="preserve">, ja izdarīts </w:t>
      </w:r>
      <w:r w:rsidR="00451709">
        <w:rPr>
          <w:rFonts w:eastAsia="Times New Roman"/>
          <w:szCs w:val="24"/>
          <w:lang w:eastAsia="lv-LV"/>
        </w:rPr>
        <w:t>maznozīmīg</w:t>
      </w:r>
      <w:r w:rsidR="00C97924">
        <w:rPr>
          <w:rFonts w:eastAsia="Times New Roman"/>
          <w:szCs w:val="24"/>
          <w:lang w:eastAsia="lv-LV"/>
        </w:rPr>
        <w:t>s</w:t>
      </w:r>
      <w:r w:rsidR="00451709">
        <w:rPr>
          <w:rFonts w:eastAsia="Times New Roman"/>
          <w:szCs w:val="24"/>
          <w:lang w:eastAsia="lv-LV"/>
        </w:rPr>
        <w:t xml:space="preserve"> noziedzīg</w:t>
      </w:r>
      <w:r w:rsidR="00C97924">
        <w:rPr>
          <w:rFonts w:eastAsia="Times New Roman"/>
          <w:szCs w:val="24"/>
          <w:lang w:eastAsia="lv-LV"/>
        </w:rPr>
        <w:t>s</w:t>
      </w:r>
      <w:r w:rsidR="00451709">
        <w:rPr>
          <w:rFonts w:eastAsia="Times New Roman"/>
          <w:szCs w:val="24"/>
          <w:lang w:eastAsia="lv-LV"/>
        </w:rPr>
        <w:t xml:space="preserve"> nodarījum</w:t>
      </w:r>
      <w:r w:rsidR="00C97924">
        <w:rPr>
          <w:rFonts w:eastAsia="Times New Roman"/>
          <w:szCs w:val="24"/>
          <w:lang w:eastAsia="lv-LV"/>
        </w:rPr>
        <w:t>s</w:t>
      </w:r>
      <w:r w:rsidR="00F863EA">
        <w:rPr>
          <w:rFonts w:eastAsia="Times New Roman"/>
          <w:szCs w:val="24"/>
          <w:lang w:eastAsia="lv-LV"/>
        </w:rPr>
        <w:t xml:space="preserve">. </w:t>
      </w:r>
      <w:r w:rsidR="00D24C95" w:rsidRPr="00975C99">
        <w:rPr>
          <w:rFonts w:eastAsia="Times New Roman"/>
          <w:szCs w:val="24"/>
          <w:lang w:eastAsia="lv-LV"/>
        </w:rPr>
        <w:t xml:space="preserve">Lielākais kriminālvajāšanai saņemto kriminālprocesu skaita samazinājums vērojams Valmieras rajona prokuratūrā. Pārējās </w:t>
      </w:r>
      <w:r>
        <w:rPr>
          <w:rFonts w:eastAsia="Times New Roman"/>
          <w:szCs w:val="24"/>
          <w:lang w:eastAsia="lv-LV"/>
        </w:rPr>
        <w:t xml:space="preserve">Vidzemes </w:t>
      </w:r>
      <w:r w:rsidRPr="00B41DBE">
        <w:t>tiesas apgabal</w:t>
      </w:r>
      <w:r>
        <w:t>a prokuratūras darbības teritorijā</w:t>
      </w:r>
      <w:r w:rsidRPr="00B41DBE">
        <w:t xml:space="preserve"> ietilpstoš</w:t>
      </w:r>
      <w:r>
        <w:t>ajās rajona līmeņa</w:t>
      </w:r>
      <w:r w:rsidRPr="00B41DBE">
        <w:t xml:space="preserve"> prokuratūr</w:t>
      </w:r>
      <w:r>
        <w:t>ās</w:t>
      </w:r>
      <w:r w:rsidRPr="00975C99">
        <w:rPr>
          <w:rFonts w:eastAsia="Times New Roman"/>
          <w:szCs w:val="24"/>
          <w:lang w:eastAsia="lv-LV"/>
        </w:rPr>
        <w:t xml:space="preserve"> </w:t>
      </w:r>
      <w:r w:rsidR="00D24C95" w:rsidRPr="00975C99">
        <w:rPr>
          <w:rFonts w:eastAsia="Times New Roman"/>
          <w:szCs w:val="24"/>
          <w:lang w:eastAsia="lv-LV"/>
        </w:rPr>
        <w:t>ir neliels kriminālvajāšanai saņemto kriminālprocesu skaita pieaugums, kas izskaidrojams, iespējams, ar darba kvalitātes uzlabošanos izmeklēšanas iestādē.</w:t>
      </w:r>
    </w:p>
    <w:p w14:paraId="5995F9C2" w14:textId="77777777" w:rsidR="00D24C95" w:rsidRPr="00975C99" w:rsidRDefault="00D24C95" w:rsidP="00D24C95">
      <w:pPr>
        <w:spacing w:after="0" w:line="240" w:lineRule="auto"/>
        <w:ind w:firstLine="720"/>
        <w:jc w:val="both"/>
        <w:rPr>
          <w:rFonts w:eastAsia="Times New Roman"/>
          <w:szCs w:val="24"/>
          <w:lang w:eastAsia="lv-LV"/>
        </w:rPr>
      </w:pPr>
    </w:p>
    <w:p w14:paraId="699B6549" w14:textId="574DF1C3" w:rsidR="00D24C95" w:rsidRPr="00D13DEB" w:rsidRDefault="0059032B" w:rsidP="00E329FC">
      <w:pPr>
        <w:pStyle w:val="ListParagraph"/>
        <w:numPr>
          <w:ilvl w:val="0"/>
          <w:numId w:val="19"/>
        </w:numPr>
        <w:spacing w:after="0" w:line="240" w:lineRule="auto"/>
        <w:rPr>
          <w:rFonts w:eastAsia="Times New Roman"/>
          <w:b/>
          <w:bCs/>
          <w:szCs w:val="24"/>
          <w:lang w:eastAsia="lv-LV"/>
        </w:rPr>
      </w:pPr>
      <w:r>
        <w:rPr>
          <w:noProof/>
        </w:rPr>
        <w:drawing>
          <wp:anchor distT="0" distB="0" distL="114300" distR="114300" simplePos="0" relativeHeight="251706880" behindDoc="0" locked="0" layoutInCell="1" allowOverlap="1" wp14:anchorId="54F2088F" wp14:editId="01AB9FAB">
            <wp:simplePos x="0" y="0"/>
            <wp:positionH relativeFrom="margin">
              <wp:align>center</wp:align>
            </wp:positionH>
            <wp:positionV relativeFrom="paragraph">
              <wp:posOffset>432089</wp:posOffset>
            </wp:positionV>
            <wp:extent cx="5397500" cy="3352800"/>
            <wp:effectExtent l="0" t="0" r="12700" b="0"/>
            <wp:wrapTopAndBottom/>
            <wp:docPr id="137" name="Chart 137">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r w:rsidR="00D24C95" w:rsidRPr="00D13DEB">
        <w:rPr>
          <w:rFonts w:eastAsia="Times New Roman"/>
          <w:b/>
          <w:bCs/>
          <w:szCs w:val="24"/>
          <w:lang w:eastAsia="lv-LV"/>
        </w:rPr>
        <w:t>Paātrinātā procesa kārtībā kriminālvajāšan</w:t>
      </w:r>
      <w:r w:rsidR="003A0369">
        <w:rPr>
          <w:rFonts w:eastAsia="Times New Roman"/>
          <w:b/>
          <w:bCs/>
          <w:szCs w:val="24"/>
          <w:lang w:eastAsia="lv-LV"/>
        </w:rPr>
        <w:t>ai</w:t>
      </w:r>
      <w:r w:rsidR="00D24C95" w:rsidRPr="00D13DEB">
        <w:rPr>
          <w:rFonts w:eastAsia="Times New Roman"/>
          <w:b/>
          <w:bCs/>
          <w:szCs w:val="24"/>
          <w:lang w:eastAsia="lv-LV"/>
        </w:rPr>
        <w:t xml:space="preserve"> saņemti</w:t>
      </w:r>
      <w:r w:rsidR="003A0369">
        <w:rPr>
          <w:rFonts w:eastAsia="Times New Roman"/>
          <w:b/>
          <w:bCs/>
          <w:szCs w:val="24"/>
          <w:lang w:eastAsia="lv-LV"/>
        </w:rPr>
        <w:t xml:space="preserve"> </w:t>
      </w:r>
      <w:r w:rsidR="00D24C95" w:rsidRPr="00D13DEB">
        <w:rPr>
          <w:rFonts w:eastAsia="Times New Roman"/>
          <w:b/>
          <w:bCs/>
          <w:szCs w:val="24"/>
          <w:lang w:eastAsia="lv-LV"/>
        </w:rPr>
        <w:t>kriminālprocesi, no tiem</w:t>
      </w:r>
      <w:r w:rsidR="00E34530">
        <w:rPr>
          <w:rFonts w:eastAsia="Times New Roman"/>
          <w:b/>
          <w:bCs/>
          <w:szCs w:val="24"/>
          <w:lang w:eastAsia="lv-LV"/>
        </w:rPr>
        <w:t xml:space="preserve"> šī</w:t>
      </w:r>
      <w:r w:rsidR="00D24C95" w:rsidRPr="00D13DEB">
        <w:rPr>
          <w:rFonts w:eastAsia="Times New Roman"/>
          <w:b/>
          <w:bCs/>
          <w:szCs w:val="24"/>
          <w:lang w:eastAsia="lv-LV"/>
        </w:rPr>
        <w:t xml:space="preserve"> procesa kārtībā</w:t>
      </w:r>
      <w:r w:rsidR="00E34530">
        <w:rPr>
          <w:rFonts w:eastAsia="Times New Roman"/>
          <w:b/>
          <w:bCs/>
          <w:szCs w:val="24"/>
          <w:lang w:eastAsia="lv-LV"/>
        </w:rPr>
        <w:t xml:space="preserve"> </w:t>
      </w:r>
      <w:r w:rsidR="00986424">
        <w:rPr>
          <w:rFonts w:eastAsia="Times New Roman"/>
          <w:b/>
          <w:bCs/>
          <w:szCs w:val="24"/>
          <w:lang w:eastAsia="lv-LV"/>
        </w:rPr>
        <w:t xml:space="preserve">tiesai </w:t>
      </w:r>
      <w:r w:rsidR="0064070C">
        <w:rPr>
          <w:rFonts w:eastAsia="Times New Roman"/>
          <w:b/>
          <w:bCs/>
          <w:szCs w:val="24"/>
          <w:lang w:eastAsia="lv-LV"/>
        </w:rPr>
        <w:t>nodot</w:t>
      </w:r>
      <w:r w:rsidR="004860DB">
        <w:rPr>
          <w:rFonts w:eastAsia="Times New Roman"/>
          <w:b/>
          <w:bCs/>
          <w:szCs w:val="24"/>
          <w:lang w:eastAsia="lv-LV"/>
        </w:rPr>
        <w:t>a</w:t>
      </w:r>
      <w:r w:rsidR="0064070C">
        <w:rPr>
          <w:rFonts w:eastAsia="Times New Roman"/>
          <w:b/>
          <w:bCs/>
          <w:szCs w:val="24"/>
          <w:lang w:eastAsia="lv-LV"/>
        </w:rPr>
        <w:t>s krimināllietas</w:t>
      </w:r>
    </w:p>
    <w:p w14:paraId="7CAFAEAC" w14:textId="77777777" w:rsidR="00D24C95" w:rsidRDefault="00D24C95" w:rsidP="0059032B">
      <w:pPr>
        <w:spacing w:after="0" w:line="240" w:lineRule="auto"/>
        <w:jc w:val="both"/>
        <w:rPr>
          <w:rFonts w:eastAsia="Times New Roman"/>
          <w:sz w:val="26"/>
          <w:szCs w:val="26"/>
          <w:lang w:eastAsia="lv-LV"/>
        </w:rPr>
      </w:pPr>
    </w:p>
    <w:p w14:paraId="20D551A5" w14:textId="7D63438D" w:rsidR="00B05F27" w:rsidRDefault="00D24C95" w:rsidP="00D24C95">
      <w:pPr>
        <w:spacing w:after="0" w:line="240" w:lineRule="auto"/>
        <w:ind w:firstLine="720"/>
        <w:jc w:val="both"/>
        <w:rPr>
          <w:rFonts w:eastAsia="Times New Roman"/>
          <w:szCs w:val="24"/>
          <w:lang w:eastAsia="lv-LV"/>
        </w:rPr>
      </w:pPr>
      <w:r w:rsidRPr="00975C99">
        <w:rPr>
          <w:rFonts w:eastAsia="Times New Roman"/>
          <w:szCs w:val="24"/>
          <w:lang w:eastAsia="lv-LV"/>
        </w:rPr>
        <w:t>2020.</w:t>
      </w:r>
      <w:r w:rsidR="00042D80">
        <w:rPr>
          <w:rFonts w:eastAsia="Times New Roman"/>
          <w:szCs w:val="24"/>
          <w:lang w:eastAsia="lv-LV"/>
        </w:rPr>
        <w:t> </w:t>
      </w:r>
      <w:r w:rsidRPr="00975C99">
        <w:rPr>
          <w:rFonts w:eastAsia="Times New Roman"/>
          <w:szCs w:val="24"/>
          <w:lang w:eastAsia="lv-LV"/>
        </w:rPr>
        <w:t xml:space="preserve">gadā </w:t>
      </w:r>
      <w:r w:rsidR="002671D6" w:rsidRPr="00975C99">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ietilpstošo</w:t>
      </w:r>
      <w:r w:rsidR="006A5C2B">
        <w:t xml:space="preserve"> rajona līmeņa</w:t>
      </w:r>
      <w:r w:rsidR="006A5C2B" w:rsidRPr="00B41DBE">
        <w:t xml:space="preserve"> prokuratūr</w:t>
      </w:r>
      <w:r w:rsidR="006A5C2B">
        <w:t>u</w:t>
      </w:r>
      <w:r w:rsidR="006A5C2B" w:rsidRPr="00975C99">
        <w:rPr>
          <w:rFonts w:eastAsia="Times New Roman"/>
          <w:szCs w:val="24"/>
          <w:lang w:eastAsia="lv-LV"/>
        </w:rPr>
        <w:t xml:space="preserve"> </w:t>
      </w:r>
      <w:r w:rsidRPr="00975C99">
        <w:rPr>
          <w:rFonts w:eastAsia="Times New Roman"/>
          <w:szCs w:val="24"/>
          <w:lang w:eastAsia="lv-LV"/>
        </w:rPr>
        <w:t>prokurori ties</w:t>
      </w:r>
      <w:r w:rsidR="00B367F3">
        <w:rPr>
          <w:rFonts w:eastAsia="Times New Roman"/>
          <w:szCs w:val="24"/>
          <w:lang w:eastAsia="lv-LV"/>
        </w:rPr>
        <w:t>ai</w:t>
      </w:r>
      <w:r w:rsidRPr="00975C99">
        <w:rPr>
          <w:rFonts w:eastAsia="Times New Roman"/>
          <w:szCs w:val="24"/>
          <w:lang w:eastAsia="lv-LV"/>
        </w:rPr>
        <w:t xml:space="preserve"> no</w:t>
      </w:r>
      <w:r w:rsidR="00B367F3">
        <w:rPr>
          <w:rFonts w:eastAsia="Times New Roman"/>
          <w:szCs w:val="24"/>
          <w:lang w:eastAsia="lv-LV"/>
        </w:rPr>
        <w:t>devuši</w:t>
      </w:r>
      <w:r w:rsidRPr="00975C99">
        <w:rPr>
          <w:rFonts w:eastAsia="Times New Roman"/>
          <w:szCs w:val="24"/>
          <w:lang w:eastAsia="lv-LV"/>
        </w:rPr>
        <w:t xml:space="preserve"> 205 krimināl</w:t>
      </w:r>
      <w:r w:rsidR="00DF3E6E">
        <w:rPr>
          <w:rFonts w:eastAsia="Times New Roman"/>
          <w:szCs w:val="24"/>
          <w:lang w:eastAsia="lv-LV"/>
        </w:rPr>
        <w:t>lietas</w:t>
      </w:r>
      <w:r w:rsidRPr="00975C99">
        <w:rPr>
          <w:rFonts w:eastAsia="Times New Roman"/>
          <w:szCs w:val="24"/>
          <w:lang w:eastAsia="lv-LV"/>
        </w:rPr>
        <w:t xml:space="preserve"> paātrinātā procesa kārtībā, kas ir 21 % no kopējā tiesai no</w:t>
      </w:r>
      <w:r w:rsidR="00B367F3">
        <w:rPr>
          <w:rFonts w:eastAsia="Times New Roman"/>
          <w:szCs w:val="24"/>
          <w:lang w:eastAsia="lv-LV"/>
        </w:rPr>
        <w:t>do</w:t>
      </w:r>
      <w:r w:rsidR="00FD28B1">
        <w:rPr>
          <w:rFonts w:eastAsia="Times New Roman"/>
          <w:szCs w:val="24"/>
          <w:lang w:eastAsia="lv-LV"/>
        </w:rPr>
        <w:t>to</w:t>
      </w:r>
      <w:r w:rsidRPr="00975C99">
        <w:rPr>
          <w:rFonts w:eastAsia="Times New Roman"/>
          <w:szCs w:val="24"/>
          <w:lang w:eastAsia="lv-LV"/>
        </w:rPr>
        <w:t xml:space="preserve"> krimināllietu skaita. </w:t>
      </w:r>
      <w:r w:rsidR="006A2A51">
        <w:rPr>
          <w:rFonts w:eastAsia="Times New Roman"/>
          <w:szCs w:val="24"/>
          <w:lang w:eastAsia="lv-LV"/>
        </w:rPr>
        <w:t xml:space="preserve">Tas ir gandrīz identisks 2019. gadā </w:t>
      </w:r>
      <w:r w:rsidR="000616BA">
        <w:rPr>
          <w:rFonts w:eastAsia="Times New Roman"/>
          <w:szCs w:val="24"/>
          <w:lang w:eastAsia="lv-LV"/>
        </w:rPr>
        <w:t>paātrinātā procesa kārtībā tiesai no</w:t>
      </w:r>
      <w:r w:rsidR="00FD28B1">
        <w:rPr>
          <w:rFonts w:eastAsia="Times New Roman"/>
          <w:szCs w:val="24"/>
          <w:lang w:eastAsia="lv-LV"/>
        </w:rPr>
        <w:t>doto</w:t>
      </w:r>
      <w:r w:rsidR="000616BA">
        <w:rPr>
          <w:rFonts w:eastAsia="Times New Roman"/>
          <w:szCs w:val="24"/>
          <w:lang w:eastAsia="lv-LV"/>
        </w:rPr>
        <w:t xml:space="preserve"> krimināllietu sk</w:t>
      </w:r>
      <w:r w:rsidR="009A06F7">
        <w:rPr>
          <w:rFonts w:eastAsia="Times New Roman"/>
          <w:szCs w:val="24"/>
          <w:lang w:eastAsia="lv-LV"/>
        </w:rPr>
        <w:t>aitam, kad š</w:t>
      </w:r>
      <w:r w:rsidR="006A5C2B">
        <w:rPr>
          <w:rFonts w:eastAsia="Times New Roman"/>
          <w:szCs w:val="24"/>
          <w:lang w:eastAsia="lv-LV"/>
        </w:rPr>
        <w:t>ād</w:t>
      </w:r>
      <w:r w:rsidR="009A06F7">
        <w:rPr>
          <w:rFonts w:eastAsia="Times New Roman"/>
          <w:szCs w:val="24"/>
          <w:lang w:eastAsia="lv-LV"/>
        </w:rPr>
        <w:t>ā kārtībā tiesai tika no</w:t>
      </w:r>
      <w:r w:rsidR="00FD28B1">
        <w:rPr>
          <w:rFonts w:eastAsia="Times New Roman"/>
          <w:szCs w:val="24"/>
          <w:lang w:eastAsia="lv-LV"/>
        </w:rPr>
        <w:t>dotas</w:t>
      </w:r>
      <w:r w:rsidR="00B84067">
        <w:rPr>
          <w:rFonts w:eastAsia="Times New Roman"/>
          <w:szCs w:val="24"/>
          <w:lang w:eastAsia="lv-LV"/>
        </w:rPr>
        <w:t xml:space="preserve"> </w:t>
      </w:r>
      <w:r w:rsidRPr="00975C99">
        <w:rPr>
          <w:rFonts w:eastAsia="Times New Roman"/>
          <w:szCs w:val="24"/>
          <w:lang w:eastAsia="lv-LV"/>
        </w:rPr>
        <w:t>206</w:t>
      </w:r>
      <w:r w:rsidR="00B84067">
        <w:rPr>
          <w:rFonts w:eastAsia="Times New Roman"/>
          <w:szCs w:val="24"/>
          <w:lang w:eastAsia="lv-LV"/>
        </w:rPr>
        <w:t> </w:t>
      </w:r>
      <w:r w:rsidRPr="00975C99">
        <w:rPr>
          <w:rFonts w:eastAsia="Times New Roman"/>
          <w:szCs w:val="24"/>
          <w:lang w:eastAsia="lv-LV"/>
        </w:rPr>
        <w:t xml:space="preserve">krimināllietas. Ņemot vērā šos rādītājus, prokuroriem vēl vairāk </w:t>
      </w:r>
      <w:r w:rsidR="00B84067">
        <w:rPr>
          <w:rFonts w:eastAsia="Times New Roman"/>
          <w:szCs w:val="24"/>
          <w:lang w:eastAsia="lv-LV"/>
        </w:rPr>
        <w:t xml:space="preserve">būtu </w:t>
      </w:r>
      <w:r w:rsidRPr="00975C99">
        <w:rPr>
          <w:rFonts w:eastAsia="Times New Roman"/>
          <w:szCs w:val="24"/>
          <w:lang w:eastAsia="lv-LV"/>
        </w:rPr>
        <w:t>jāizmanto iespējas pabeigt kriminālprocesus prokuratūrā, izmantojot Kriminālprocesa likuma 411.</w:t>
      </w:r>
      <w:r w:rsidR="00B84067">
        <w:rPr>
          <w:rFonts w:eastAsia="Times New Roman"/>
          <w:szCs w:val="24"/>
          <w:lang w:eastAsia="lv-LV"/>
        </w:rPr>
        <w:t> </w:t>
      </w:r>
      <w:r w:rsidRPr="00975C99">
        <w:rPr>
          <w:rFonts w:eastAsia="Times New Roman"/>
          <w:szCs w:val="24"/>
          <w:lang w:eastAsia="lv-LV"/>
        </w:rPr>
        <w:t>pantā paredzētos kriminālprocesa pabeigšanas veidus</w:t>
      </w:r>
      <w:r w:rsidR="00D00F3C">
        <w:rPr>
          <w:rFonts w:eastAsia="Times New Roman"/>
          <w:szCs w:val="24"/>
          <w:lang w:eastAsia="lv-LV"/>
        </w:rPr>
        <w:t xml:space="preserve">, proti, </w:t>
      </w:r>
      <w:r w:rsidR="00CB53C4">
        <w:rPr>
          <w:rFonts w:eastAsia="Times New Roman"/>
          <w:szCs w:val="24"/>
          <w:lang w:eastAsia="lv-LV"/>
        </w:rPr>
        <w:t xml:space="preserve">piemērojot apsūdzētajam </w:t>
      </w:r>
      <w:r w:rsidRPr="00975C99">
        <w:rPr>
          <w:rFonts w:eastAsia="Times New Roman"/>
          <w:szCs w:val="24"/>
          <w:lang w:eastAsia="lv-LV"/>
        </w:rPr>
        <w:t>priekšrakst</w:t>
      </w:r>
      <w:r w:rsidR="00B84067">
        <w:rPr>
          <w:rFonts w:eastAsia="Times New Roman"/>
          <w:szCs w:val="24"/>
          <w:lang w:eastAsia="lv-LV"/>
        </w:rPr>
        <w:t>u</w:t>
      </w:r>
      <w:r w:rsidRPr="00975C99">
        <w:rPr>
          <w:rFonts w:eastAsia="Times New Roman"/>
          <w:szCs w:val="24"/>
          <w:lang w:eastAsia="lv-LV"/>
        </w:rPr>
        <w:t xml:space="preserve"> par sodu vai </w:t>
      </w:r>
      <w:r w:rsidR="00CB53C4">
        <w:rPr>
          <w:rFonts w:eastAsia="Times New Roman"/>
          <w:szCs w:val="24"/>
          <w:lang w:eastAsia="lv-LV"/>
        </w:rPr>
        <w:t xml:space="preserve">izbeidzot </w:t>
      </w:r>
      <w:r w:rsidRPr="00975C99">
        <w:rPr>
          <w:rFonts w:eastAsia="Times New Roman"/>
          <w:szCs w:val="24"/>
          <w:lang w:eastAsia="lv-LV"/>
        </w:rPr>
        <w:t>kriminālproces</w:t>
      </w:r>
      <w:r w:rsidR="00CB53C4">
        <w:rPr>
          <w:rFonts w:eastAsia="Times New Roman"/>
          <w:szCs w:val="24"/>
          <w:lang w:eastAsia="lv-LV"/>
        </w:rPr>
        <w:t>u</w:t>
      </w:r>
      <w:r w:rsidRPr="00975C99">
        <w:rPr>
          <w:rFonts w:eastAsia="Times New Roman"/>
          <w:szCs w:val="24"/>
          <w:lang w:eastAsia="lv-LV"/>
        </w:rPr>
        <w:t>, nosacīti atbrīvojot no kriminālatbildības. Pozitīvi ir tas, ka 2020.</w:t>
      </w:r>
      <w:r w:rsidR="004A0F32">
        <w:rPr>
          <w:rFonts w:eastAsia="Times New Roman"/>
          <w:szCs w:val="24"/>
          <w:lang w:eastAsia="lv-LV"/>
        </w:rPr>
        <w:t> </w:t>
      </w:r>
      <w:r w:rsidRPr="00975C99">
        <w:rPr>
          <w:rFonts w:eastAsia="Times New Roman"/>
          <w:szCs w:val="24"/>
          <w:lang w:eastAsia="lv-LV"/>
        </w:rPr>
        <w:t>gadā</w:t>
      </w:r>
      <w:r w:rsidR="004A0F32">
        <w:rPr>
          <w:rFonts w:eastAsia="Times New Roman"/>
          <w:szCs w:val="24"/>
          <w:lang w:eastAsia="lv-LV"/>
        </w:rPr>
        <w:t xml:space="preserve"> </w:t>
      </w:r>
      <w:r w:rsidR="00136350">
        <w:rPr>
          <w:rFonts w:eastAsia="Times New Roman"/>
          <w:szCs w:val="24"/>
          <w:lang w:eastAsia="lv-LV"/>
        </w:rPr>
        <w:t xml:space="preserve">Vidzemes tiesas </w:t>
      </w:r>
      <w:r w:rsidRPr="00975C99">
        <w:rPr>
          <w:rFonts w:eastAsia="Times New Roman"/>
          <w:szCs w:val="24"/>
          <w:lang w:eastAsia="lv-LV"/>
        </w:rPr>
        <w:t>apgabalā procentuāli palielinājies tādu tiesai nodoto krimināl</w:t>
      </w:r>
      <w:r w:rsidR="00136350">
        <w:rPr>
          <w:rFonts w:eastAsia="Times New Roman"/>
          <w:szCs w:val="24"/>
          <w:lang w:eastAsia="lv-LV"/>
        </w:rPr>
        <w:t>lietu</w:t>
      </w:r>
      <w:r w:rsidRPr="00975C99">
        <w:rPr>
          <w:rFonts w:eastAsia="Times New Roman"/>
          <w:szCs w:val="24"/>
          <w:lang w:eastAsia="lv-LV"/>
        </w:rPr>
        <w:t xml:space="preserve"> skaits, kas ļauj </w:t>
      </w:r>
      <w:r w:rsidR="00136350">
        <w:rPr>
          <w:rFonts w:eastAsia="Times New Roman"/>
          <w:szCs w:val="24"/>
          <w:lang w:eastAsia="lv-LV"/>
        </w:rPr>
        <w:t>tai</w:t>
      </w:r>
      <w:r w:rsidRPr="00975C99">
        <w:rPr>
          <w:rFonts w:eastAsia="Times New Roman"/>
          <w:szCs w:val="24"/>
          <w:lang w:eastAsia="lv-LV"/>
        </w:rPr>
        <w:t xml:space="preserve">, ieguldot salīdzinoši nelielus resursus un ieekonomējot finanšu līdzekļus, nodrošināt ātru, efektīvu un taisnīgu krimināltiesisku </w:t>
      </w:r>
      <w:r w:rsidR="00136350">
        <w:rPr>
          <w:rFonts w:eastAsia="Times New Roman"/>
          <w:szCs w:val="24"/>
          <w:lang w:eastAsia="lv-LV"/>
        </w:rPr>
        <w:t xml:space="preserve">attiecību taisnīgu </w:t>
      </w:r>
      <w:r w:rsidRPr="00975C99">
        <w:rPr>
          <w:rFonts w:eastAsia="Times New Roman"/>
          <w:szCs w:val="24"/>
          <w:lang w:eastAsia="lv-LV"/>
        </w:rPr>
        <w:t xml:space="preserve">noregulējumu, tai skaitā, izskatot </w:t>
      </w:r>
      <w:r w:rsidR="000565E2">
        <w:rPr>
          <w:rFonts w:eastAsia="Times New Roman"/>
          <w:szCs w:val="24"/>
          <w:lang w:eastAsia="lv-LV"/>
        </w:rPr>
        <w:t>krimināllietas</w:t>
      </w:r>
      <w:r w:rsidRPr="00975C99">
        <w:rPr>
          <w:rFonts w:eastAsia="Times New Roman"/>
          <w:szCs w:val="24"/>
          <w:lang w:eastAsia="lv-LV"/>
        </w:rPr>
        <w:t xml:space="preserve"> rakstveida </w:t>
      </w:r>
      <w:r w:rsidR="000565E2">
        <w:rPr>
          <w:rFonts w:eastAsia="Times New Roman"/>
          <w:szCs w:val="24"/>
          <w:lang w:eastAsia="lv-LV"/>
        </w:rPr>
        <w:t>procesā</w:t>
      </w:r>
      <w:r w:rsidRPr="00975C99">
        <w:rPr>
          <w:rFonts w:eastAsia="Times New Roman"/>
          <w:szCs w:val="24"/>
          <w:lang w:eastAsia="lv-LV"/>
        </w:rPr>
        <w:t xml:space="preserve">. </w:t>
      </w:r>
    </w:p>
    <w:p w14:paraId="407030AA" w14:textId="3D93F85F" w:rsidR="00722867" w:rsidRDefault="00D24C95" w:rsidP="003511AA">
      <w:pPr>
        <w:spacing w:after="0" w:line="240" w:lineRule="auto"/>
        <w:ind w:firstLine="720"/>
        <w:jc w:val="both"/>
        <w:rPr>
          <w:rFonts w:eastAsia="Times New Roman"/>
          <w:szCs w:val="24"/>
          <w:lang w:eastAsia="lv-LV"/>
        </w:rPr>
      </w:pPr>
      <w:r w:rsidRPr="00975C99">
        <w:rPr>
          <w:rFonts w:eastAsia="Times New Roman"/>
          <w:szCs w:val="24"/>
          <w:lang w:eastAsia="lv-LV"/>
        </w:rPr>
        <w:t>2020.</w:t>
      </w:r>
      <w:r w:rsidR="0033047F">
        <w:rPr>
          <w:rFonts w:eastAsia="Times New Roman"/>
          <w:szCs w:val="24"/>
          <w:lang w:eastAsia="lv-LV"/>
        </w:rPr>
        <w:t> </w:t>
      </w:r>
      <w:r w:rsidRPr="00975C99">
        <w:rPr>
          <w:rFonts w:eastAsia="Times New Roman"/>
          <w:szCs w:val="24"/>
          <w:lang w:eastAsia="lv-LV"/>
        </w:rPr>
        <w:t>gadā šajos rādītājos īpaši izceļamas Gulbenes rajona prokuratūra (32</w:t>
      </w:r>
      <w:r w:rsidR="0033047F">
        <w:rPr>
          <w:rFonts w:eastAsia="Times New Roman"/>
          <w:szCs w:val="24"/>
          <w:lang w:eastAsia="lv-LV"/>
        </w:rPr>
        <w:t> </w:t>
      </w:r>
      <w:r w:rsidRPr="00975C99">
        <w:rPr>
          <w:rFonts w:eastAsia="Times New Roman"/>
          <w:szCs w:val="24"/>
          <w:lang w:eastAsia="lv-LV"/>
        </w:rPr>
        <w:t>krimin</w:t>
      </w:r>
      <w:r w:rsidR="00137170">
        <w:rPr>
          <w:rFonts w:eastAsia="Times New Roman"/>
          <w:szCs w:val="24"/>
          <w:lang w:eastAsia="lv-LV"/>
        </w:rPr>
        <w:t>āllietas</w:t>
      </w:r>
      <w:r w:rsidR="008C2EA8">
        <w:rPr>
          <w:rFonts w:eastAsia="Times New Roman"/>
          <w:szCs w:val="24"/>
          <w:lang w:eastAsia="lv-LV"/>
        </w:rPr>
        <w:t>)</w:t>
      </w:r>
      <w:r w:rsidRPr="00975C99">
        <w:rPr>
          <w:rFonts w:eastAsia="Times New Roman"/>
          <w:szCs w:val="24"/>
          <w:lang w:eastAsia="lv-LV"/>
        </w:rPr>
        <w:t>, Valmieras rajona prokuratūra (30</w:t>
      </w:r>
      <w:r w:rsidR="00196E77">
        <w:rPr>
          <w:rFonts w:eastAsia="Times New Roman"/>
          <w:szCs w:val="24"/>
          <w:lang w:eastAsia="lv-LV"/>
        </w:rPr>
        <w:t> </w:t>
      </w:r>
      <w:r w:rsidRPr="00975C99">
        <w:rPr>
          <w:rFonts w:eastAsia="Times New Roman"/>
          <w:szCs w:val="24"/>
          <w:lang w:eastAsia="lv-LV"/>
        </w:rPr>
        <w:t>kriminā</w:t>
      </w:r>
      <w:r w:rsidR="00EC3AF4">
        <w:rPr>
          <w:rFonts w:eastAsia="Times New Roman"/>
          <w:szCs w:val="24"/>
          <w:lang w:eastAsia="lv-LV"/>
        </w:rPr>
        <w:t>llietas</w:t>
      </w:r>
      <w:r w:rsidRPr="00975C99">
        <w:rPr>
          <w:rFonts w:eastAsia="Times New Roman"/>
          <w:szCs w:val="24"/>
          <w:lang w:eastAsia="lv-LV"/>
        </w:rPr>
        <w:t>), Alūksnes rajona prokuratūra (60</w:t>
      </w:r>
      <w:r w:rsidR="00196E77">
        <w:rPr>
          <w:rFonts w:eastAsia="Times New Roman"/>
          <w:szCs w:val="24"/>
          <w:lang w:eastAsia="lv-LV"/>
        </w:rPr>
        <w:t> </w:t>
      </w:r>
      <w:r w:rsidRPr="00975C99">
        <w:rPr>
          <w:rFonts w:eastAsia="Times New Roman"/>
          <w:szCs w:val="24"/>
          <w:lang w:eastAsia="lv-LV"/>
        </w:rPr>
        <w:t>krimināl</w:t>
      </w:r>
      <w:r w:rsidR="00EC3AF4">
        <w:rPr>
          <w:rFonts w:eastAsia="Times New Roman"/>
          <w:szCs w:val="24"/>
          <w:lang w:eastAsia="lv-LV"/>
        </w:rPr>
        <w:t>lietas</w:t>
      </w:r>
      <w:r w:rsidRPr="00975C99">
        <w:rPr>
          <w:rFonts w:eastAsia="Times New Roman"/>
          <w:szCs w:val="24"/>
          <w:lang w:eastAsia="lv-LV"/>
        </w:rPr>
        <w:t>) un Cēsu rajona prokuratūra (48</w:t>
      </w:r>
      <w:r w:rsidR="00196E77">
        <w:rPr>
          <w:rFonts w:eastAsia="Times New Roman"/>
          <w:szCs w:val="24"/>
          <w:lang w:eastAsia="lv-LV"/>
        </w:rPr>
        <w:t> </w:t>
      </w:r>
      <w:r w:rsidRPr="00975C99">
        <w:rPr>
          <w:rFonts w:eastAsia="Times New Roman"/>
          <w:szCs w:val="24"/>
          <w:lang w:eastAsia="lv-LV"/>
        </w:rPr>
        <w:t>krimināl</w:t>
      </w:r>
      <w:r w:rsidR="008C2EA8">
        <w:rPr>
          <w:rFonts w:eastAsia="Times New Roman"/>
          <w:szCs w:val="24"/>
          <w:lang w:eastAsia="lv-LV"/>
        </w:rPr>
        <w:t>lietas</w:t>
      </w:r>
      <w:r w:rsidRPr="00975C99">
        <w:rPr>
          <w:rFonts w:eastAsia="Times New Roman"/>
          <w:szCs w:val="24"/>
          <w:lang w:eastAsia="lv-LV"/>
        </w:rPr>
        <w:t>).</w:t>
      </w:r>
    </w:p>
    <w:p w14:paraId="1293A86B" w14:textId="297F3624" w:rsidR="0059032B" w:rsidRPr="003511AA" w:rsidRDefault="003511AA" w:rsidP="000565E2">
      <w:pPr>
        <w:spacing w:after="0" w:line="240" w:lineRule="auto"/>
        <w:ind w:firstLine="720"/>
        <w:jc w:val="both"/>
        <w:rPr>
          <w:rFonts w:eastAsia="Times New Roman"/>
          <w:szCs w:val="24"/>
          <w:lang w:eastAsia="lv-LV"/>
        </w:rPr>
      </w:pPr>
      <w:r w:rsidRPr="003511AA">
        <w:rPr>
          <w:szCs w:val="24"/>
        </w:rPr>
        <w:lastRenderedPageBreak/>
        <w:t xml:space="preserve">2020.gadā Vidzemes </w:t>
      </w:r>
      <w:r w:rsidR="006A5C2B" w:rsidRPr="00B41DBE">
        <w:t>tiesas apgabal</w:t>
      </w:r>
      <w:r w:rsidR="006A5C2B">
        <w:t>a prokuratūras darbības teritorijā</w:t>
      </w:r>
      <w:r w:rsidR="006A5C2B" w:rsidRPr="00B41DBE">
        <w:t xml:space="preserve"> ietilpstošo</w:t>
      </w:r>
      <w:r w:rsidR="006A5C2B">
        <w:t xml:space="preserve"> rajona līmeņa</w:t>
      </w:r>
      <w:r w:rsidR="006A5C2B" w:rsidRPr="00B41DBE">
        <w:t xml:space="preserve"> prokuratūr</w:t>
      </w:r>
      <w:r w:rsidR="006A5C2B">
        <w:t>u</w:t>
      </w:r>
      <w:r w:rsidR="006A5C2B" w:rsidRPr="003511AA">
        <w:rPr>
          <w:szCs w:val="24"/>
        </w:rPr>
        <w:t xml:space="preserve"> </w:t>
      </w:r>
      <w:r w:rsidRPr="003511AA">
        <w:rPr>
          <w:szCs w:val="24"/>
        </w:rPr>
        <w:t>prokurori tāpat kā prokurori visā valstī īpašu uzmanību pievērsa kriminālprocesu pabeigšanai īsos termiņos (līdz 48 stundām no kriminālprocesa uzsākšanas brīža). Piemēram, Valmieras rajona prokuratūras prokurori</w:t>
      </w:r>
      <w:r>
        <w:rPr>
          <w:szCs w:val="24"/>
        </w:rPr>
        <w:t xml:space="preserve"> </w:t>
      </w:r>
      <w:r w:rsidRPr="003511AA">
        <w:rPr>
          <w:szCs w:val="24"/>
        </w:rPr>
        <w:t>2020.</w:t>
      </w:r>
      <w:r>
        <w:rPr>
          <w:szCs w:val="24"/>
        </w:rPr>
        <w:t> </w:t>
      </w:r>
      <w:r w:rsidRPr="003511AA">
        <w:rPr>
          <w:szCs w:val="24"/>
        </w:rPr>
        <w:t>gadā no paātrinātā procesa kārtībā saņemtaj</w:t>
      </w:r>
      <w:r>
        <w:rPr>
          <w:szCs w:val="24"/>
        </w:rPr>
        <w:t xml:space="preserve">iem kriminālprocesiem </w:t>
      </w:r>
      <w:r w:rsidRPr="003511AA">
        <w:rPr>
          <w:szCs w:val="24"/>
        </w:rPr>
        <w:t>22</w:t>
      </w:r>
      <w:r>
        <w:rPr>
          <w:szCs w:val="24"/>
        </w:rPr>
        <w:t> kriminālprocesus</w:t>
      </w:r>
      <w:r w:rsidRPr="003511AA">
        <w:rPr>
          <w:szCs w:val="24"/>
        </w:rPr>
        <w:t xml:space="preserve"> pabeiguši prokuratūrā ne vēlāk kā 48 stundās. Savukārt Valkas rajona prokuratūras</w:t>
      </w:r>
      <w:r w:rsidR="00D419D7">
        <w:rPr>
          <w:szCs w:val="24"/>
        </w:rPr>
        <w:t>, Madonas rajona prokuratūras un Gulbenes rajona prokuratūras</w:t>
      </w:r>
      <w:r w:rsidRPr="003511AA">
        <w:rPr>
          <w:szCs w:val="24"/>
        </w:rPr>
        <w:t xml:space="preserve"> prokurori </w:t>
      </w:r>
      <w:r w:rsidR="00F43C58">
        <w:rPr>
          <w:szCs w:val="24"/>
        </w:rPr>
        <w:t xml:space="preserve">no paātrinātā </w:t>
      </w:r>
      <w:r w:rsidR="006A5C2B">
        <w:rPr>
          <w:szCs w:val="24"/>
        </w:rPr>
        <w:t xml:space="preserve">procesa </w:t>
      </w:r>
      <w:r w:rsidR="00F43C58">
        <w:rPr>
          <w:szCs w:val="24"/>
        </w:rPr>
        <w:t>kārtībā saņemtajiem kriminālprocesiem katrs pa 1 krimināllietai nosūtīja tiesai</w:t>
      </w:r>
      <w:r w:rsidR="009D0F57">
        <w:rPr>
          <w:szCs w:val="24"/>
        </w:rPr>
        <w:t xml:space="preserve"> termiņā līdz </w:t>
      </w:r>
      <w:r w:rsidR="003E04C7">
        <w:rPr>
          <w:szCs w:val="24"/>
        </w:rPr>
        <w:t>48</w:t>
      </w:r>
      <w:r w:rsidR="009D0F57">
        <w:rPr>
          <w:szCs w:val="24"/>
        </w:rPr>
        <w:t> </w:t>
      </w:r>
      <w:r w:rsidR="003E04C7">
        <w:rPr>
          <w:szCs w:val="24"/>
        </w:rPr>
        <w:t>stundā</w:t>
      </w:r>
      <w:r w:rsidR="009D0F57">
        <w:rPr>
          <w:szCs w:val="24"/>
        </w:rPr>
        <w:t>m</w:t>
      </w:r>
      <w:r w:rsidR="003E04C7">
        <w:rPr>
          <w:szCs w:val="24"/>
        </w:rPr>
        <w:t xml:space="preserve"> </w:t>
      </w:r>
      <w:r w:rsidR="00D419D7">
        <w:rPr>
          <w:szCs w:val="24"/>
        </w:rPr>
        <w:t>no kriminālproces</w:t>
      </w:r>
      <w:r w:rsidR="00F43C58">
        <w:rPr>
          <w:szCs w:val="24"/>
        </w:rPr>
        <w:t>a uzsākšanas brīža</w:t>
      </w:r>
      <w:r w:rsidRPr="003511AA">
        <w:rPr>
          <w:szCs w:val="24"/>
        </w:rPr>
        <w:t>.</w:t>
      </w:r>
    </w:p>
    <w:p w14:paraId="2642EF76" w14:textId="77777777" w:rsidR="00D24C95" w:rsidRPr="00975C99" w:rsidRDefault="00D24C95" w:rsidP="003E04C7">
      <w:pPr>
        <w:spacing w:after="0" w:line="240" w:lineRule="auto"/>
        <w:jc w:val="both"/>
        <w:rPr>
          <w:rFonts w:eastAsia="Times New Roman"/>
          <w:szCs w:val="24"/>
          <w:lang w:eastAsia="lv-LV"/>
        </w:rPr>
      </w:pPr>
    </w:p>
    <w:p w14:paraId="70E942FA" w14:textId="6302A531" w:rsidR="00D24C95" w:rsidRPr="00CC7D1C" w:rsidRDefault="004860DB" w:rsidP="00E329FC">
      <w:pPr>
        <w:pStyle w:val="ListParagraph"/>
        <w:numPr>
          <w:ilvl w:val="0"/>
          <w:numId w:val="19"/>
        </w:numPr>
        <w:spacing w:after="0" w:line="240" w:lineRule="auto"/>
        <w:rPr>
          <w:rFonts w:eastAsia="Times New Roman"/>
          <w:b/>
          <w:bCs/>
          <w:szCs w:val="24"/>
          <w:lang w:eastAsia="lv-LV"/>
        </w:rPr>
      </w:pPr>
      <w:r>
        <w:rPr>
          <w:noProof/>
        </w:rPr>
        <w:drawing>
          <wp:anchor distT="0" distB="0" distL="114300" distR="114300" simplePos="0" relativeHeight="251708928" behindDoc="0" locked="0" layoutInCell="1" allowOverlap="1" wp14:anchorId="0C5258E6" wp14:editId="76D9DC8B">
            <wp:simplePos x="0" y="0"/>
            <wp:positionH relativeFrom="margin">
              <wp:align>center</wp:align>
            </wp:positionH>
            <wp:positionV relativeFrom="paragraph">
              <wp:posOffset>263756</wp:posOffset>
            </wp:positionV>
            <wp:extent cx="5435600" cy="2984500"/>
            <wp:effectExtent l="0" t="0" r="12700" b="6350"/>
            <wp:wrapTopAndBottom/>
            <wp:docPr id="138" name="Chart 138">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r w:rsidR="00D24C95" w:rsidRPr="00CC7D1C">
        <w:rPr>
          <w:rFonts w:eastAsia="Times New Roman"/>
          <w:b/>
          <w:bCs/>
          <w:szCs w:val="24"/>
          <w:lang w:eastAsia="lv-LV"/>
        </w:rPr>
        <w:t>Tiesai nodot</w:t>
      </w:r>
      <w:r>
        <w:rPr>
          <w:rFonts w:eastAsia="Times New Roman"/>
          <w:b/>
          <w:bCs/>
          <w:szCs w:val="24"/>
          <w:lang w:eastAsia="lv-LV"/>
        </w:rPr>
        <w:t>a</w:t>
      </w:r>
      <w:r w:rsidR="00722867">
        <w:rPr>
          <w:rFonts w:eastAsia="Times New Roman"/>
          <w:b/>
          <w:bCs/>
          <w:szCs w:val="24"/>
          <w:lang w:eastAsia="lv-LV"/>
        </w:rPr>
        <w:t>s</w:t>
      </w:r>
      <w:r w:rsidR="00D24C95" w:rsidRPr="00CC7D1C">
        <w:rPr>
          <w:rFonts w:eastAsia="Times New Roman"/>
          <w:b/>
          <w:bCs/>
          <w:szCs w:val="24"/>
          <w:lang w:eastAsia="lv-LV"/>
        </w:rPr>
        <w:t xml:space="preserve"> krimināl</w:t>
      </w:r>
      <w:r w:rsidR="00722867">
        <w:rPr>
          <w:rFonts w:eastAsia="Times New Roman"/>
          <w:b/>
          <w:bCs/>
          <w:szCs w:val="24"/>
          <w:lang w:eastAsia="lv-LV"/>
        </w:rPr>
        <w:t>lietas</w:t>
      </w:r>
      <w:r w:rsidR="00D24C95" w:rsidRPr="00CC7D1C">
        <w:rPr>
          <w:rFonts w:eastAsia="Times New Roman"/>
          <w:b/>
          <w:bCs/>
          <w:szCs w:val="24"/>
          <w:lang w:eastAsia="lv-LV"/>
        </w:rPr>
        <w:t>, no t</w:t>
      </w:r>
      <w:r w:rsidR="00722867">
        <w:rPr>
          <w:rFonts w:eastAsia="Times New Roman"/>
          <w:b/>
          <w:bCs/>
          <w:szCs w:val="24"/>
          <w:lang w:eastAsia="lv-LV"/>
        </w:rPr>
        <w:t>ām</w:t>
      </w:r>
      <w:r w:rsidR="00D24C95" w:rsidRPr="00CC7D1C">
        <w:rPr>
          <w:rFonts w:eastAsia="Times New Roman"/>
          <w:b/>
          <w:bCs/>
          <w:szCs w:val="24"/>
          <w:lang w:eastAsia="lv-LV"/>
        </w:rPr>
        <w:t xml:space="preserve"> vienošanās procesa kārtībā </w:t>
      </w:r>
    </w:p>
    <w:p w14:paraId="621BAAF2" w14:textId="5E118349" w:rsidR="00722867" w:rsidRPr="00717F55" w:rsidRDefault="00722867" w:rsidP="00513DEC">
      <w:pPr>
        <w:spacing w:after="0" w:line="240" w:lineRule="auto"/>
        <w:ind w:firstLine="720"/>
        <w:jc w:val="both"/>
        <w:rPr>
          <w:rFonts w:eastAsia="Times New Roman"/>
          <w:b/>
          <w:bCs/>
          <w:sz w:val="26"/>
          <w:szCs w:val="26"/>
          <w:lang w:eastAsia="lv-LV"/>
        </w:rPr>
      </w:pPr>
    </w:p>
    <w:p w14:paraId="43319D15" w14:textId="1653D9AC" w:rsidR="008A63B0" w:rsidRDefault="00D24C95" w:rsidP="00D24C95">
      <w:pPr>
        <w:spacing w:after="0" w:line="240" w:lineRule="auto"/>
        <w:ind w:firstLine="720"/>
        <w:jc w:val="both"/>
        <w:rPr>
          <w:rFonts w:eastAsia="Times New Roman"/>
          <w:szCs w:val="24"/>
          <w:lang w:eastAsia="lv-LV"/>
        </w:rPr>
      </w:pPr>
      <w:r w:rsidRPr="00873C7A">
        <w:rPr>
          <w:rFonts w:eastAsia="Times New Roman"/>
          <w:szCs w:val="24"/>
          <w:lang w:eastAsia="lv-LV"/>
        </w:rPr>
        <w:t>2020.</w:t>
      </w:r>
      <w:r w:rsidR="007664D8">
        <w:rPr>
          <w:rFonts w:eastAsia="Times New Roman"/>
          <w:szCs w:val="24"/>
          <w:lang w:eastAsia="lv-LV"/>
        </w:rPr>
        <w:t> </w:t>
      </w:r>
      <w:r w:rsidRPr="00873C7A">
        <w:rPr>
          <w:rFonts w:eastAsia="Times New Roman"/>
          <w:szCs w:val="24"/>
          <w:lang w:eastAsia="lv-LV"/>
        </w:rPr>
        <w:t xml:space="preserve">gadā </w:t>
      </w:r>
      <w:r w:rsidR="00513DEC" w:rsidRPr="00975C99">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ietilpstošo</w:t>
      </w:r>
      <w:r w:rsidR="006A5C2B">
        <w:t xml:space="preserve"> rajona līmeņa</w:t>
      </w:r>
      <w:r w:rsidR="006A5C2B" w:rsidRPr="00B41DBE">
        <w:t xml:space="preserve"> prokuratūr</w:t>
      </w:r>
      <w:r w:rsidR="006A5C2B">
        <w:t>u</w:t>
      </w:r>
      <w:r w:rsidR="006A5C2B">
        <w:rPr>
          <w:rFonts w:eastAsia="Times New Roman"/>
          <w:szCs w:val="24"/>
          <w:lang w:eastAsia="lv-LV"/>
        </w:rPr>
        <w:t xml:space="preserve"> </w:t>
      </w:r>
      <w:r w:rsidR="00513DEC">
        <w:rPr>
          <w:rFonts w:eastAsia="Times New Roman"/>
          <w:szCs w:val="24"/>
          <w:lang w:eastAsia="lv-LV"/>
        </w:rPr>
        <w:t>prokurori</w:t>
      </w:r>
      <w:r w:rsidR="00513DEC" w:rsidRPr="00975C99">
        <w:rPr>
          <w:rFonts w:eastAsia="Times New Roman"/>
          <w:szCs w:val="24"/>
          <w:lang w:eastAsia="lv-LV"/>
        </w:rPr>
        <w:t xml:space="preserve"> </w:t>
      </w:r>
      <w:r w:rsidRPr="00873C7A">
        <w:rPr>
          <w:rFonts w:eastAsia="Times New Roman"/>
          <w:szCs w:val="24"/>
          <w:lang w:eastAsia="lv-LV"/>
        </w:rPr>
        <w:t>ties</w:t>
      </w:r>
      <w:r w:rsidR="004A29C4">
        <w:rPr>
          <w:rFonts w:eastAsia="Times New Roman"/>
          <w:szCs w:val="24"/>
          <w:lang w:eastAsia="lv-LV"/>
        </w:rPr>
        <w:t>ai</w:t>
      </w:r>
      <w:r w:rsidRPr="00873C7A">
        <w:rPr>
          <w:rFonts w:eastAsia="Times New Roman"/>
          <w:szCs w:val="24"/>
          <w:lang w:eastAsia="lv-LV"/>
        </w:rPr>
        <w:t xml:space="preserve"> no</w:t>
      </w:r>
      <w:r w:rsidR="004A29C4">
        <w:rPr>
          <w:rFonts w:eastAsia="Times New Roman"/>
          <w:szCs w:val="24"/>
          <w:lang w:eastAsia="lv-LV"/>
        </w:rPr>
        <w:t>devuši</w:t>
      </w:r>
      <w:r w:rsidRPr="00873C7A">
        <w:rPr>
          <w:rFonts w:eastAsia="Times New Roman"/>
          <w:szCs w:val="24"/>
          <w:lang w:eastAsia="lv-LV"/>
        </w:rPr>
        <w:t xml:space="preserve"> 142</w:t>
      </w:r>
      <w:r w:rsidR="001B3E0C">
        <w:rPr>
          <w:rFonts w:eastAsia="Times New Roman"/>
          <w:szCs w:val="24"/>
          <w:lang w:eastAsia="lv-LV"/>
        </w:rPr>
        <w:t> </w:t>
      </w:r>
      <w:r w:rsidRPr="00873C7A">
        <w:rPr>
          <w:rFonts w:eastAsia="Times New Roman"/>
          <w:szCs w:val="24"/>
          <w:lang w:eastAsia="lv-LV"/>
        </w:rPr>
        <w:t>krimināl</w:t>
      </w:r>
      <w:r w:rsidR="001B3E0C">
        <w:rPr>
          <w:rFonts w:eastAsia="Times New Roman"/>
          <w:szCs w:val="24"/>
          <w:lang w:eastAsia="lv-LV"/>
        </w:rPr>
        <w:t>lietas</w:t>
      </w:r>
      <w:r w:rsidRPr="00873C7A">
        <w:rPr>
          <w:rFonts w:eastAsia="Times New Roman"/>
          <w:szCs w:val="24"/>
          <w:lang w:eastAsia="lv-LV"/>
        </w:rPr>
        <w:t xml:space="preserve"> vienošanās </w:t>
      </w:r>
      <w:r w:rsidR="001B3E0C">
        <w:rPr>
          <w:rFonts w:eastAsia="Times New Roman"/>
          <w:szCs w:val="24"/>
          <w:lang w:eastAsia="lv-LV"/>
        </w:rPr>
        <w:t xml:space="preserve">procesa </w:t>
      </w:r>
      <w:r w:rsidRPr="00873C7A">
        <w:rPr>
          <w:rFonts w:eastAsia="Times New Roman"/>
          <w:szCs w:val="24"/>
          <w:lang w:eastAsia="lv-LV"/>
        </w:rPr>
        <w:t>kārtībā, kas ir 15,21</w:t>
      </w:r>
      <w:r w:rsidR="001B3E0C">
        <w:rPr>
          <w:rFonts w:eastAsia="Times New Roman"/>
          <w:szCs w:val="24"/>
          <w:lang w:eastAsia="lv-LV"/>
        </w:rPr>
        <w:t> </w:t>
      </w:r>
      <w:r w:rsidRPr="00873C7A">
        <w:rPr>
          <w:rFonts w:eastAsia="Times New Roman"/>
          <w:szCs w:val="24"/>
          <w:lang w:eastAsia="lv-LV"/>
        </w:rPr>
        <w:t>% no kopējā tiesai no</w:t>
      </w:r>
      <w:r w:rsidR="004A29C4">
        <w:rPr>
          <w:rFonts w:eastAsia="Times New Roman"/>
          <w:szCs w:val="24"/>
          <w:lang w:eastAsia="lv-LV"/>
        </w:rPr>
        <w:t>doto</w:t>
      </w:r>
      <w:r w:rsidRPr="00873C7A">
        <w:rPr>
          <w:rFonts w:eastAsia="Times New Roman"/>
          <w:szCs w:val="24"/>
          <w:lang w:eastAsia="lv-LV"/>
        </w:rPr>
        <w:t xml:space="preserve"> krimināllietu skaita. Savukārt</w:t>
      </w:r>
      <w:r w:rsidR="003F3230">
        <w:rPr>
          <w:rFonts w:eastAsia="Times New Roman"/>
          <w:szCs w:val="24"/>
          <w:lang w:eastAsia="lv-LV"/>
        </w:rPr>
        <w:t xml:space="preserve"> </w:t>
      </w:r>
      <w:r w:rsidRPr="00873C7A">
        <w:rPr>
          <w:rFonts w:eastAsia="Times New Roman"/>
          <w:szCs w:val="24"/>
          <w:lang w:eastAsia="lv-LV"/>
        </w:rPr>
        <w:t>2019.</w:t>
      </w:r>
      <w:r w:rsidR="004A29C4">
        <w:rPr>
          <w:rFonts w:eastAsia="Times New Roman"/>
          <w:szCs w:val="24"/>
          <w:lang w:eastAsia="lv-LV"/>
        </w:rPr>
        <w:t> </w:t>
      </w:r>
      <w:r w:rsidRPr="00873C7A">
        <w:rPr>
          <w:rFonts w:eastAsia="Times New Roman"/>
          <w:szCs w:val="24"/>
          <w:lang w:eastAsia="lv-LV"/>
        </w:rPr>
        <w:t xml:space="preserve">gadā vienošanās </w:t>
      </w:r>
      <w:r w:rsidR="00F05E52">
        <w:rPr>
          <w:rFonts w:eastAsia="Times New Roman"/>
          <w:szCs w:val="24"/>
          <w:lang w:eastAsia="lv-LV"/>
        </w:rPr>
        <w:t xml:space="preserve">procesa </w:t>
      </w:r>
      <w:r w:rsidRPr="00873C7A">
        <w:rPr>
          <w:rFonts w:eastAsia="Times New Roman"/>
          <w:szCs w:val="24"/>
          <w:lang w:eastAsia="lv-LV"/>
        </w:rPr>
        <w:t xml:space="preserve">kārtībā </w:t>
      </w:r>
      <w:r w:rsidR="00F05E52">
        <w:rPr>
          <w:rFonts w:eastAsia="Times New Roman"/>
          <w:szCs w:val="24"/>
          <w:lang w:eastAsia="lv-LV"/>
        </w:rPr>
        <w:t>tiesai tika nodotas</w:t>
      </w:r>
      <w:r w:rsidRPr="00873C7A">
        <w:rPr>
          <w:rFonts w:eastAsia="Times New Roman"/>
          <w:szCs w:val="24"/>
          <w:lang w:eastAsia="lv-LV"/>
        </w:rPr>
        <w:t xml:space="preserve"> 114</w:t>
      </w:r>
      <w:r w:rsidR="00F05E52">
        <w:rPr>
          <w:rFonts w:eastAsia="Times New Roman"/>
          <w:szCs w:val="24"/>
          <w:lang w:eastAsia="lv-LV"/>
        </w:rPr>
        <w:t> </w:t>
      </w:r>
      <w:r w:rsidRPr="00873C7A">
        <w:rPr>
          <w:rFonts w:eastAsia="Times New Roman"/>
          <w:szCs w:val="24"/>
          <w:lang w:eastAsia="lv-LV"/>
        </w:rPr>
        <w:t>krimināl</w:t>
      </w:r>
      <w:r w:rsidR="00F05E52">
        <w:rPr>
          <w:rFonts w:eastAsia="Times New Roman"/>
          <w:szCs w:val="24"/>
          <w:lang w:eastAsia="lv-LV"/>
        </w:rPr>
        <w:t>lietas</w:t>
      </w:r>
      <w:r w:rsidRPr="00873C7A">
        <w:rPr>
          <w:rFonts w:eastAsia="Times New Roman"/>
          <w:szCs w:val="24"/>
          <w:lang w:eastAsia="lv-LV"/>
        </w:rPr>
        <w:t xml:space="preserve">, kas </w:t>
      </w:r>
      <w:r w:rsidR="001A552D">
        <w:rPr>
          <w:rFonts w:eastAsia="Times New Roman"/>
          <w:szCs w:val="24"/>
          <w:lang w:eastAsia="lv-LV"/>
        </w:rPr>
        <w:t>b</w:t>
      </w:r>
      <w:r w:rsidRPr="00873C7A">
        <w:rPr>
          <w:rFonts w:eastAsia="Times New Roman"/>
          <w:szCs w:val="24"/>
          <w:lang w:eastAsia="lv-LV"/>
        </w:rPr>
        <w:t>i</w:t>
      </w:r>
      <w:r w:rsidR="001A552D">
        <w:rPr>
          <w:rFonts w:eastAsia="Times New Roman"/>
          <w:szCs w:val="24"/>
          <w:lang w:eastAsia="lv-LV"/>
        </w:rPr>
        <w:t>ja</w:t>
      </w:r>
      <w:r w:rsidRPr="00873C7A">
        <w:rPr>
          <w:rFonts w:eastAsia="Times New Roman"/>
          <w:szCs w:val="24"/>
          <w:lang w:eastAsia="lv-LV"/>
        </w:rPr>
        <w:t xml:space="preserve"> 12,4</w:t>
      </w:r>
      <w:r w:rsidR="00F05E52">
        <w:rPr>
          <w:rFonts w:eastAsia="Times New Roman"/>
          <w:szCs w:val="24"/>
          <w:lang w:eastAsia="lv-LV"/>
        </w:rPr>
        <w:t> </w:t>
      </w:r>
      <w:r w:rsidRPr="00873C7A">
        <w:rPr>
          <w:rFonts w:eastAsia="Times New Roman"/>
          <w:szCs w:val="24"/>
          <w:lang w:eastAsia="lv-LV"/>
        </w:rPr>
        <w:t>% no kopējā tiesai no</w:t>
      </w:r>
      <w:r w:rsidR="001A552D">
        <w:rPr>
          <w:rFonts w:eastAsia="Times New Roman"/>
          <w:szCs w:val="24"/>
          <w:lang w:eastAsia="lv-LV"/>
        </w:rPr>
        <w:t>doto</w:t>
      </w:r>
      <w:r w:rsidRPr="00873C7A">
        <w:rPr>
          <w:rFonts w:eastAsia="Times New Roman"/>
          <w:szCs w:val="24"/>
          <w:lang w:eastAsia="lv-LV"/>
        </w:rPr>
        <w:t xml:space="preserve"> krimināllietu skaita. Jāatzīst, ka ir vērojama pozitīva tendence, palielinot </w:t>
      </w:r>
      <w:r w:rsidR="001A552D">
        <w:rPr>
          <w:rFonts w:eastAsia="Times New Roman"/>
          <w:szCs w:val="24"/>
          <w:lang w:eastAsia="lv-LV"/>
        </w:rPr>
        <w:t>tiesai</w:t>
      </w:r>
      <w:r w:rsidRPr="00873C7A">
        <w:rPr>
          <w:rFonts w:eastAsia="Times New Roman"/>
          <w:szCs w:val="24"/>
          <w:lang w:eastAsia="lv-LV"/>
        </w:rPr>
        <w:t xml:space="preserve"> no</w:t>
      </w:r>
      <w:r w:rsidR="001A552D">
        <w:rPr>
          <w:rFonts w:eastAsia="Times New Roman"/>
          <w:szCs w:val="24"/>
          <w:lang w:eastAsia="lv-LV"/>
        </w:rPr>
        <w:t>doto</w:t>
      </w:r>
      <w:r w:rsidRPr="00873C7A">
        <w:rPr>
          <w:rFonts w:eastAsia="Times New Roman"/>
          <w:szCs w:val="24"/>
          <w:lang w:eastAsia="lv-LV"/>
        </w:rPr>
        <w:t xml:space="preserve"> krimināl</w:t>
      </w:r>
      <w:r w:rsidR="001A552D">
        <w:rPr>
          <w:rFonts w:eastAsia="Times New Roman"/>
          <w:szCs w:val="24"/>
          <w:lang w:eastAsia="lv-LV"/>
        </w:rPr>
        <w:t>lie</w:t>
      </w:r>
      <w:r w:rsidR="006F3107">
        <w:rPr>
          <w:rFonts w:eastAsia="Times New Roman"/>
          <w:szCs w:val="24"/>
          <w:lang w:eastAsia="lv-LV"/>
        </w:rPr>
        <w:t>tu</w:t>
      </w:r>
      <w:r w:rsidRPr="00873C7A">
        <w:rPr>
          <w:rFonts w:eastAsia="Times New Roman"/>
          <w:szCs w:val="24"/>
          <w:lang w:eastAsia="lv-LV"/>
        </w:rPr>
        <w:t xml:space="preserve"> skaitu vienošanās </w:t>
      </w:r>
      <w:r w:rsidR="006F3107">
        <w:rPr>
          <w:rFonts w:eastAsia="Times New Roman"/>
          <w:szCs w:val="24"/>
          <w:lang w:eastAsia="lv-LV"/>
        </w:rPr>
        <w:t xml:space="preserve">procesa </w:t>
      </w:r>
      <w:r w:rsidRPr="00873C7A">
        <w:rPr>
          <w:rFonts w:eastAsia="Times New Roman"/>
          <w:szCs w:val="24"/>
          <w:lang w:eastAsia="lv-LV"/>
        </w:rPr>
        <w:t>kārtībā, kas nozīmē, ka 2020.</w:t>
      </w:r>
      <w:r w:rsidR="006F3107">
        <w:rPr>
          <w:rFonts w:eastAsia="Times New Roman"/>
          <w:szCs w:val="24"/>
          <w:lang w:eastAsia="lv-LV"/>
        </w:rPr>
        <w:t> </w:t>
      </w:r>
      <w:r w:rsidRPr="00873C7A">
        <w:rPr>
          <w:rFonts w:eastAsia="Times New Roman"/>
          <w:szCs w:val="24"/>
          <w:lang w:eastAsia="lv-LV"/>
        </w:rPr>
        <w:t>gadā Vidzemes tiesas apgabalā procentuāli palielinājies tādu tiesai nodoto krimināl</w:t>
      </w:r>
      <w:r w:rsidR="006F3107">
        <w:rPr>
          <w:rFonts w:eastAsia="Times New Roman"/>
          <w:szCs w:val="24"/>
          <w:lang w:eastAsia="lv-LV"/>
        </w:rPr>
        <w:t>lietu</w:t>
      </w:r>
      <w:r w:rsidRPr="00873C7A">
        <w:rPr>
          <w:rFonts w:eastAsia="Times New Roman"/>
          <w:szCs w:val="24"/>
          <w:lang w:eastAsia="lv-LV"/>
        </w:rPr>
        <w:t xml:space="preserve"> skaits, kas ļauj t</w:t>
      </w:r>
      <w:r w:rsidR="006F3107">
        <w:rPr>
          <w:rFonts w:eastAsia="Times New Roman"/>
          <w:szCs w:val="24"/>
          <w:lang w:eastAsia="lv-LV"/>
        </w:rPr>
        <w:t>ai</w:t>
      </w:r>
      <w:r w:rsidRPr="00873C7A">
        <w:rPr>
          <w:rFonts w:eastAsia="Times New Roman"/>
          <w:szCs w:val="24"/>
          <w:lang w:eastAsia="lv-LV"/>
        </w:rPr>
        <w:t xml:space="preserve">, ieguldot salīdzinoši nelielus resursus un ieekonomējot finanšu līdzekļus, nodrošināt ātru, efektīvu un taisnīgu krimināltiesisku </w:t>
      </w:r>
      <w:r w:rsidR="00B47134">
        <w:rPr>
          <w:rFonts w:eastAsia="Times New Roman"/>
          <w:szCs w:val="24"/>
          <w:lang w:eastAsia="lv-LV"/>
        </w:rPr>
        <w:t xml:space="preserve">attiecību taisnīgu </w:t>
      </w:r>
      <w:r w:rsidRPr="00873C7A">
        <w:rPr>
          <w:rFonts w:eastAsia="Times New Roman"/>
          <w:szCs w:val="24"/>
          <w:lang w:eastAsia="lv-LV"/>
        </w:rPr>
        <w:t>noregulējumu, tai skaitā, izskatot</w:t>
      </w:r>
      <w:r w:rsidR="008A63B0">
        <w:rPr>
          <w:rFonts w:eastAsia="Times New Roman"/>
          <w:szCs w:val="24"/>
          <w:lang w:eastAsia="lv-LV"/>
        </w:rPr>
        <w:t xml:space="preserve"> </w:t>
      </w:r>
      <w:r w:rsidRPr="00873C7A">
        <w:rPr>
          <w:rFonts w:eastAsia="Times New Roman"/>
          <w:szCs w:val="24"/>
          <w:lang w:eastAsia="lv-LV"/>
        </w:rPr>
        <w:t>krimināl</w:t>
      </w:r>
      <w:r w:rsidR="00B47134">
        <w:rPr>
          <w:rFonts w:eastAsia="Times New Roman"/>
          <w:szCs w:val="24"/>
          <w:lang w:eastAsia="lv-LV"/>
        </w:rPr>
        <w:t>lietas</w:t>
      </w:r>
      <w:r w:rsidRPr="00873C7A">
        <w:rPr>
          <w:rFonts w:eastAsia="Times New Roman"/>
          <w:szCs w:val="24"/>
          <w:lang w:eastAsia="lv-LV"/>
        </w:rPr>
        <w:t xml:space="preserve"> rakstveida </w:t>
      </w:r>
      <w:r w:rsidR="00CD06AB">
        <w:rPr>
          <w:rFonts w:eastAsia="Times New Roman"/>
          <w:szCs w:val="24"/>
          <w:lang w:eastAsia="lv-LV"/>
        </w:rPr>
        <w:t>procesā</w:t>
      </w:r>
      <w:r w:rsidRPr="00873C7A">
        <w:rPr>
          <w:rFonts w:eastAsia="Times New Roman"/>
          <w:szCs w:val="24"/>
          <w:lang w:eastAsia="lv-LV"/>
        </w:rPr>
        <w:t xml:space="preserve">. </w:t>
      </w:r>
    </w:p>
    <w:p w14:paraId="2680529A" w14:textId="4ACFB9B4" w:rsidR="0065395E" w:rsidRDefault="00D24C95" w:rsidP="00D24C95">
      <w:pPr>
        <w:spacing w:after="0" w:line="240" w:lineRule="auto"/>
        <w:ind w:firstLine="720"/>
        <w:jc w:val="both"/>
        <w:rPr>
          <w:rFonts w:eastAsia="Times New Roman"/>
          <w:szCs w:val="24"/>
          <w:lang w:eastAsia="lv-LV"/>
        </w:rPr>
      </w:pPr>
      <w:r w:rsidRPr="00873C7A">
        <w:rPr>
          <w:rFonts w:eastAsia="Times New Roman"/>
          <w:szCs w:val="24"/>
          <w:lang w:eastAsia="lv-LV"/>
        </w:rPr>
        <w:t>2020.</w:t>
      </w:r>
      <w:r w:rsidR="008A63B0">
        <w:rPr>
          <w:rFonts w:eastAsia="Times New Roman"/>
          <w:szCs w:val="24"/>
          <w:lang w:eastAsia="lv-LV"/>
        </w:rPr>
        <w:t> </w:t>
      </w:r>
      <w:r w:rsidRPr="00873C7A">
        <w:rPr>
          <w:rFonts w:eastAsia="Times New Roman"/>
          <w:szCs w:val="24"/>
          <w:lang w:eastAsia="lv-LV"/>
        </w:rPr>
        <w:t>gadā šajos rādītājos īpaši izceļamas Gulbenes rajona prokuratūra (64</w:t>
      </w:r>
      <w:r w:rsidR="008A63B0">
        <w:rPr>
          <w:rFonts w:eastAsia="Times New Roman"/>
          <w:szCs w:val="24"/>
          <w:lang w:eastAsia="lv-LV"/>
        </w:rPr>
        <w:t> </w:t>
      </w:r>
      <w:r w:rsidRPr="00873C7A">
        <w:rPr>
          <w:rFonts w:eastAsia="Times New Roman"/>
          <w:szCs w:val="24"/>
          <w:lang w:eastAsia="lv-LV"/>
        </w:rPr>
        <w:t>krimināl</w:t>
      </w:r>
      <w:r w:rsidR="008A63B0">
        <w:rPr>
          <w:rFonts w:eastAsia="Times New Roman"/>
          <w:szCs w:val="24"/>
          <w:lang w:eastAsia="lv-LV"/>
        </w:rPr>
        <w:t>lietas</w:t>
      </w:r>
      <w:r w:rsidRPr="00873C7A">
        <w:rPr>
          <w:rFonts w:eastAsia="Times New Roman"/>
          <w:szCs w:val="24"/>
          <w:lang w:eastAsia="lv-LV"/>
        </w:rPr>
        <w:t>)</w:t>
      </w:r>
      <w:r w:rsidR="001E5D7F">
        <w:rPr>
          <w:rFonts w:eastAsia="Times New Roman"/>
          <w:szCs w:val="24"/>
          <w:lang w:eastAsia="lv-LV"/>
        </w:rPr>
        <w:t xml:space="preserve"> un</w:t>
      </w:r>
      <w:r w:rsidRPr="00873C7A">
        <w:rPr>
          <w:rFonts w:eastAsia="Times New Roman"/>
          <w:szCs w:val="24"/>
          <w:lang w:eastAsia="lv-LV"/>
        </w:rPr>
        <w:t xml:space="preserve"> Valmieras rajona prokuratūra (41 krimināl</w:t>
      </w:r>
      <w:r w:rsidR="00CD06AB">
        <w:rPr>
          <w:rFonts w:eastAsia="Times New Roman"/>
          <w:szCs w:val="24"/>
          <w:lang w:eastAsia="lv-LV"/>
        </w:rPr>
        <w:t>lieta</w:t>
      </w:r>
      <w:r w:rsidRPr="00873C7A">
        <w:rPr>
          <w:rFonts w:eastAsia="Times New Roman"/>
          <w:szCs w:val="24"/>
          <w:lang w:eastAsia="lv-LV"/>
        </w:rPr>
        <w:t>). Vairāk vai mazāk visas</w:t>
      </w:r>
      <w:r w:rsidR="0065395E">
        <w:rPr>
          <w:rFonts w:eastAsia="Times New Roman"/>
          <w:szCs w:val="24"/>
          <w:lang w:eastAsia="lv-LV"/>
        </w:rPr>
        <w:t xml:space="preserve"> rajona līmeņa prokuratūras</w:t>
      </w:r>
      <w:r w:rsidRPr="00873C7A">
        <w:rPr>
          <w:rFonts w:eastAsia="Times New Roman"/>
          <w:szCs w:val="24"/>
          <w:lang w:eastAsia="lv-LV"/>
        </w:rPr>
        <w:t xml:space="preserve"> struktūrvienības konsekventi izmanto vienošanās procesa piemērošanas iespējas. </w:t>
      </w:r>
    </w:p>
    <w:p w14:paraId="2C898FB3" w14:textId="10B17BFC" w:rsidR="00B80374" w:rsidRDefault="00D24C95" w:rsidP="00B80374">
      <w:pPr>
        <w:spacing w:after="0" w:line="240" w:lineRule="auto"/>
        <w:ind w:firstLine="284"/>
        <w:jc w:val="both"/>
        <w:rPr>
          <w:rFonts w:cs="Times New Roman"/>
        </w:rPr>
      </w:pPr>
      <w:r w:rsidRPr="00873C7A">
        <w:rPr>
          <w:rFonts w:eastAsia="Times New Roman"/>
          <w:szCs w:val="24"/>
          <w:lang w:eastAsia="lv-LV"/>
        </w:rPr>
        <w:t>Pirmstiesas kriminālproces</w:t>
      </w:r>
      <w:r w:rsidR="006A5C2B">
        <w:rPr>
          <w:rFonts w:eastAsia="Times New Roman"/>
          <w:szCs w:val="24"/>
          <w:lang w:eastAsia="lv-LV"/>
        </w:rPr>
        <w:t>a</w:t>
      </w:r>
      <w:r w:rsidRPr="00873C7A">
        <w:rPr>
          <w:rFonts w:eastAsia="Times New Roman"/>
          <w:szCs w:val="24"/>
          <w:lang w:eastAsia="lv-LV"/>
        </w:rPr>
        <w:t xml:space="preserve"> pabeigšanu, slēdzot vienošanos ar apsūdzēto par vainas atzīšanu un</w:t>
      </w:r>
      <w:r w:rsidR="00857197">
        <w:rPr>
          <w:rFonts w:eastAsia="Times New Roman"/>
          <w:szCs w:val="24"/>
          <w:lang w:eastAsia="lv-LV"/>
        </w:rPr>
        <w:t xml:space="preserve"> sodu</w:t>
      </w:r>
      <w:r w:rsidR="00BE1985">
        <w:rPr>
          <w:rFonts w:eastAsia="Times New Roman"/>
          <w:szCs w:val="24"/>
          <w:lang w:eastAsia="lv-LV"/>
        </w:rPr>
        <w:t xml:space="preserve">, </w:t>
      </w:r>
      <w:r w:rsidRPr="00873C7A">
        <w:rPr>
          <w:rFonts w:eastAsia="Times New Roman"/>
          <w:szCs w:val="24"/>
          <w:lang w:eastAsia="lv-LV"/>
        </w:rPr>
        <w:t>pozitīvi vērtē arī Vidzemes rajona tiesas tiesneši</w:t>
      </w:r>
      <w:r w:rsidR="00D106EF">
        <w:rPr>
          <w:rFonts w:eastAsia="Times New Roman"/>
          <w:szCs w:val="24"/>
          <w:lang w:eastAsia="lv-LV"/>
        </w:rPr>
        <w:t xml:space="preserve">, </w:t>
      </w:r>
      <w:r w:rsidR="00D106EF">
        <w:rPr>
          <w:rFonts w:cs="Times New Roman"/>
        </w:rPr>
        <w:t xml:space="preserve">jo  tas sekmē lietas izskatīšanu saprātīgā termiņā un </w:t>
      </w:r>
      <w:r w:rsidR="00D106EF" w:rsidRPr="00577BF3">
        <w:rPr>
          <w:rFonts w:cs="Times New Roman"/>
        </w:rPr>
        <w:t>procesuālās ekonomijas princip</w:t>
      </w:r>
      <w:r w:rsidR="00D106EF">
        <w:rPr>
          <w:rFonts w:cs="Times New Roman"/>
        </w:rPr>
        <w:t>a ievērošanu.</w:t>
      </w:r>
    </w:p>
    <w:p w14:paraId="03EE1D7C" w14:textId="77777777" w:rsidR="00B80374" w:rsidRPr="00B80374" w:rsidRDefault="00B80374" w:rsidP="00B80374">
      <w:pPr>
        <w:spacing w:after="0" w:line="240" w:lineRule="auto"/>
        <w:ind w:firstLine="284"/>
        <w:jc w:val="both"/>
        <w:rPr>
          <w:rFonts w:cs="Times New Roman"/>
        </w:rPr>
      </w:pPr>
    </w:p>
    <w:p w14:paraId="50915E02" w14:textId="615785AF" w:rsidR="00D24C95" w:rsidRPr="00D815C7" w:rsidRDefault="00BE4660" w:rsidP="00E329FC">
      <w:pPr>
        <w:pStyle w:val="ListParagraph"/>
        <w:numPr>
          <w:ilvl w:val="0"/>
          <w:numId w:val="19"/>
        </w:numPr>
        <w:spacing w:after="0" w:line="240" w:lineRule="auto"/>
        <w:rPr>
          <w:rFonts w:eastAsia="Times New Roman"/>
          <w:b/>
          <w:bCs/>
          <w:szCs w:val="24"/>
          <w:lang w:eastAsia="lv-LV"/>
        </w:rPr>
      </w:pPr>
      <w:r>
        <w:rPr>
          <w:noProof/>
        </w:rPr>
        <w:lastRenderedPageBreak/>
        <w:drawing>
          <wp:anchor distT="0" distB="0" distL="114300" distR="114300" simplePos="0" relativeHeight="251710976" behindDoc="0" locked="0" layoutInCell="1" allowOverlap="1" wp14:anchorId="052855F8" wp14:editId="7061764A">
            <wp:simplePos x="0" y="0"/>
            <wp:positionH relativeFrom="column">
              <wp:posOffset>195061</wp:posOffset>
            </wp:positionH>
            <wp:positionV relativeFrom="paragraph">
              <wp:posOffset>265834</wp:posOffset>
            </wp:positionV>
            <wp:extent cx="5391150" cy="2330450"/>
            <wp:effectExtent l="0" t="0" r="0" b="12700"/>
            <wp:wrapTopAndBottom/>
            <wp:docPr id="139" name="Chart 139">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14:sizeRelV relativeFrom="margin">
              <wp14:pctHeight>0</wp14:pctHeight>
            </wp14:sizeRelV>
          </wp:anchor>
        </w:drawing>
      </w:r>
      <w:r w:rsidR="00D24C95" w:rsidRPr="00D815C7">
        <w:rPr>
          <w:rFonts w:eastAsia="Times New Roman"/>
          <w:b/>
          <w:bCs/>
          <w:szCs w:val="24"/>
          <w:lang w:eastAsia="lv-LV"/>
        </w:rPr>
        <w:t>Prokuratūrā pabeigti kriminālprocesi ar prokurora priekšrakstu par sodu</w:t>
      </w:r>
    </w:p>
    <w:p w14:paraId="1994A2A9" w14:textId="106D3838" w:rsidR="00D24C95" w:rsidRDefault="00D24C95" w:rsidP="00BE4660">
      <w:pPr>
        <w:spacing w:after="0" w:line="240" w:lineRule="auto"/>
        <w:jc w:val="both"/>
        <w:rPr>
          <w:rFonts w:eastAsia="Times New Roman"/>
          <w:sz w:val="26"/>
          <w:szCs w:val="26"/>
          <w:lang w:eastAsia="lv-LV"/>
        </w:rPr>
      </w:pPr>
    </w:p>
    <w:p w14:paraId="7630EB0F" w14:textId="4C4266FE" w:rsidR="00D24C95" w:rsidRPr="00E0745B" w:rsidRDefault="00D24C95" w:rsidP="00D24C95">
      <w:pPr>
        <w:spacing w:after="0" w:line="240" w:lineRule="auto"/>
        <w:ind w:firstLine="720"/>
        <w:jc w:val="both"/>
        <w:rPr>
          <w:rFonts w:eastAsia="Times New Roman"/>
          <w:szCs w:val="24"/>
          <w:lang w:eastAsia="lv-LV"/>
        </w:rPr>
      </w:pPr>
      <w:r w:rsidRPr="00E0745B">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ietilpstošo</w:t>
      </w:r>
      <w:r w:rsidR="006A5C2B">
        <w:t xml:space="preserve"> rajona līmeņa</w:t>
      </w:r>
      <w:r w:rsidR="006A5C2B" w:rsidRPr="00B41DBE">
        <w:t xml:space="preserve"> prokuratūr</w:t>
      </w:r>
      <w:r w:rsidR="006A5C2B">
        <w:t>u</w:t>
      </w:r>
      <w:r w:rsidR="006A5C2B" w:rsidRPr="00E0745B">
        <w:rPr>
          <w:rFonts w:eastAsia="Times New Roman"/>
          <w:szCs w:val="24"/>
          <w:lang w:eastAsia="lv-LV"/>
        </w:rPr>
        <w:t xml:space="preserve"> </w:t>
      </w:r>
      <w:r w:rsidRPr="00E0745B">
        <w:rPr>
          <w:rFonts w:eastAsia="Times New Roman"/>
          <w:szCs w:val="24"/>
          <w:lang w:eastAsia="lv-LV"/>
        </w:rPr>
        <w:t>prokurori 2020.</w:t>
      </w:r>
      <w:r w:rsidR="001C0E1D">
        <w:rPr>
          <w:rFonts w:eastAsia="Times New Roman"/>
          <w:szCs w:val="24"/>
          <w:lang w:eastAsia="lv-LV"/>
        </w:rPr>
        <w:t> </w:t>
      </w:r>
      <w:r w:rsidRPr="00E0745B">
        <w:rPr>
          <w:rFonts w:eastAsia="Times New Roman"/>
          <w:szCs w:val="24"/>
          <w:lang w:eastAsia="lv-LV"/>
        </w:rPr>
        <w:t xml:space="preserve">gadā </w:t>
      </w:r>
      <w:r w:rsidR="00B84F60">
        <w:rPr>
          <w:rFonts w:eastAsia="Times New Roman"/>
          <w:szCs w:val="24"/>
          <w:lang w:eastAsia="lv-LV"/>
        </w:rPr>
        <w:t>pa</w:t>
      </w:r>
      <w:r w:rsidRPr="00E0745B">
        <w:rPr>
          <w:rFonts w:eastAsia="Times New Roman"/>
          <w:szCs w:val="24"/>
          <w:lang w:eastAsia="lv-LV"/>
        </w:rPr>
        <w:t>beiguši 212</w:t>
      </w:r>
      <w:r w:rsidR="00644CE7">
        <w:rPr>
          <w:rFonts w:eastAsia="Times New Roman"/>
          <w:szCs w:val="24"/>
          <w:lang w:eastAsia="lv-LV"/>
        </w:rPr>
        <w:t> </w:t>
      </w:r>
      <w:r w:rsidRPr="00E0745B">
        <w:rPr>
          <w:rFonts w:eastAsia="Times New Roman"/>
          <w:szCs w:val="24"/>
          <w:lang w:eastAsia="lv-LV"/>
        </w:rPr>
        <w:t>kriminālprocesus, piemērojot prokurora priekšrakstu par sodu, savukārt 2019.</w:t>
      </w:r>
      <w:r w:rsidR="00644CE7">
        <w:rPr>
          <w:rFonts w:eastAsia="Times New Roman"/>
          <w:szCs w:val="24"/>
          <w:lang w:eastAsia="lv-LV"/>
        </w:rPr>
        <w:t> </w:t>
      </w:r>
      <w:r w:rsidRPr="00E0745B">
        <w:rPr>
          <w:rFonts w:eastAsia="Times New Roman"/>
          <w:szCs w:val="24"/>
          <w:lang w:eastAsia="lv-LV"/>
        </w:rPr>
        <w:t xml:space="preserve">gadā </w:t>
      </w:r>
      <w:r w:rsidR="00287F39">
        <w:rPr>
          <w:rFonts w:eastAsia="Times New Roman"/>
          <w:szCs w:val="24"/>
          <w:lang w:eastAsia="lv-LV"/>
        </w:rPr>
        <w:t xml:space="preserve">– </w:t>
      </w:r>
      <w:r w:rsidRPr="00E0745B">
        <w:rPr>
          <w:rFonts w:eastAsia="Times New Roman"/>
          <w:szCs w:val="24"/>
          <w:lang w:eastAsia="lv-LV"/>
        </w:rPr>
        <w:t>182 kriminālprocesus.</w:t>
      </w:r>
      <w:r w:rsidR="000815A0">
        <w:rPr>
          <w:rFonts w:eastAsia="Times New Roman"/>
          <w:szCs w:val="24"/>
          <w:lang w:eastAsia="lv-LV"/>
        </w:rPr>
        <w:t xml:space="preserve"> </w:t>
      </w:r>
      <w:r w:rsidR="000815A0" w:rsidRPr="00E0745B">
        <w:rPr>
          <w:rFonts w:eastAsia="Times New Roman"/>
          <w:szCs w:val="24"/>
          <w:lang w:eastAsia="lv-LV"/>
        </w:rPr>
        <w:t xml:space="preserve">2020.gadā </w:t>
      </w:r>
      <w:r w:rsidR="00062570">
        <w:rPr>
          <w:rFonts w:eastAsia="Times New Roman"/>
          <w:szCs w:val="24"/>
          <w:lang w:eastAsia="lv-LV"/>
        </w:rPr>
        <w:t xml:space="preserve">šādā kārtībā </w:t>
      </w:r>
      <w:r w:rsidR="00511D6C">
        <w:rPr>
          <w:rFonts w:eastAsia="Times New Roman"/>
          <w:szCs w:val="24"/>
          <w:lang w:eastAsia="lv-LV"/>
        </w:rPr>
        <w:t xml:space="preserve">pabeigti </w:t>
      </w:r>
      <w:r w:rsidR="000815A0" w:rsidRPr="00E0745B">
        <w:rPr>
          <w:rFonts w:eastAsia="Times New Roman"/>
          <w:szCs w:val="24"/>
          <w:lang w:eastAsia="lv-LV"/>
        </w:rPr>
        <w:t>par 30</w:t>
      </w:r>
      <w:r w:rsidR="000815A0">
        <w:rPr>
          <w:rFonts w:eastAsia="Times New Roman"/>
          <w:szCs w:val="24"/>
          <w:lang w:eastAsia="lv-LV"/>
        </w:rPr>
        <w:t> </w:t>
      </w:r>
      <w:r w:rsidR="000815A0" w:rsidRPr="00E0745B">
        <w:rPr>
          <w:rFonts w:eastAsia="Times New Roman"/>
          <w:szCs w:val="24"/>
          <w:lang w:eastAsia="lv-LV"/>
        </w:rPr>
        <w:t>kriminālprocesiem jeb 16,48</w:t>
      </w:r>
      <w:r w:rsidR="000815A0">
        <w:rPr>
          <w:rFonts w:eastAsia="Times New Roman"/>
          <w:szCs w:val="24"/>
          <w:lang w:eastAsia="lv-LV"/>
        </w:rPr>
        <w:t> </w:t>
      </w:r>
      <w:r w:rsidR="000815A0" w:rsidRPr="00E0745B">
        <w:rPr>
          <w:rFonts w:eastAsia="Times New Roman"/>
          <w:szCs w:val="24"/>
          <w:lang w:eastAsia="lv-LV"/>
        </w:rPr>
        <w:t xml:space="preserve">% </w:t>
      </w:r>
      <w:r w:rsidR="00511D6C">
        <w:rPr>
          <w:rFonts w:eastAsia="Times New Roman"/>
          <w:szCs w:val="24"/>
          <w:lang w:eastAsia="lv-LV"/>
        </w:rPr>
        <w:t>vairāk</w:t>
      </w:r>
      <w:r w:rsidR="00493D7F">
        <w:rPr>
          <w:rFonts w:eastAsia="Times New Roman"/>
          <w:szCs w:val="24"/>
          <w:lang w:eastAsia="lv-LV"/>
        </w:rPr>
        <w:t xml:space="preserve"> </w:t>
      </w:r>
      <w:r w:rsidR="000815A0">
        <w:rPr>
          <w:rFonts w:eastAsia="Times New Roman"/>
          <w:szCs w:val="24"/>
          <w:lang w:eastAsia="lv-LV"/>
        </w:rPr>
        <w:t>n</w:t>
      </w:r>
      <w:r w:rsidR="000815A0" w:rsidRPr="00E0745B">
        <w:rPr>
          <w:rFonts w:eastAsia="Times New Roman"/>
          <w:szCs w:val="24"/>
          <w:lang w:eastAsia="lv-LV"/>
        </w:rPr>
        <w:t>ekā 2019.</w:t>
      </w:r>
      <w:r w:rsidR="000815A0">
        <w:rPr>
          <w:rFonts w:eastAsia="Times New Roman"/>
          <w:szCs w:val="24"/>
          <w:lang w:eastAsia="lv-LV"/>
        </w:rPr>
        <w:t> </w:t>
      </w:r>
      <w:r w:rsidR="000815A0" w:rsidRPr="00E0745B">
        <w:rPr>
          <w:rFonts w:eastAsia="Times New Roman"/>
          <w:szCs w:val="24"/>
          <w:lang w:eastAsia="lv-LV"/>
        </w:rPr>
        <w:t>gadā.</w:t>
      </w:r>
    </w:p>
    <w:p w14:paraId="7FA147D3" w14:textId="77777777" w:rsidR="00965E8E" w:rsidRDefault="0004392C" w:rsidP="00D81FD4">
      <w:pPr>
        <w:spacing w:after="0" w:line="240" w:lineRule="auto"/>
        <w:ind w:firstLine="720"/>
        <w:jc w:val="both"/>
        <w:rPr>
          <w:rFonts w:eastAsia="Times New Roman"/>
          <w:szCs w:val="24"/>
          <w:lang w:eastAsia="lv-LV"/>
        </w:rPr>
      </w:pPr>
      <w:r>
        <w:rPr>
          <w:rFonts w:eastAsia="Times New Roman"/>
          <w:szCs w:val="24"/>
          <w:lang w:eastAsia="lv-LV"/>
        </w:rPr>
        <w:t>2020. gadā šajā rādītājā ī</w:t>
      </w:r>
      <w:r w:rsidR="00D24C95" w:rsidRPr="00E0745B">
        <w:rPr>
          <w:rFonts w:eastAsia="Times New Roman"/>
          <w:szCs w:val="24"/>
          <w:lang w:eastAsia="lv-LV"/>
        </w:rPr>
        <w:t>paši atzīmējama Limbažu rajona prokuratūra</w:t>
      </w:r>
      <w:r w:rsidR="004B55A0">
        <w:rPr>
          <w:rFonts w:eastAsia="Times New Roman"/>
          <w:szCs w:val="24"/>
          <w:lang w:eastAsia="lv-LV"/>
        </w:rPr>
        <w:t xml:space="preserve"> (</w:t>
      </w:r>
      <w:r w:rsidR="00D24C95" w:rsidRPr="00E0745B">
        <w:rPr>
          <w:rFonts w:eastAsia="Times New Roman"/>
          <w:szCs w:val="24"/>
          <w:lang w:eastAsia="lv-LV"/>
        </w:rPr>
        <w:t>51</w:t>
      </w:r>
      <w:r w:rsidR="00790708">
        <w:rPr>
          <w:rFonts w:eastAsia="Times New Roman"/>
          <w:szCs w:val="24"/>
          <w:lang w:eastAsia="lv-LV"/>
        </w:rPr>
        <w:t> </w:t>
      </w:r>
      <w:r w:rsidR="00D24C95" w:rsidRPr="00E0745B">
        <w:rPr>
          <w:rFonts w:eastAsia="Times New Roman"/>
          <w:szCs w:val="24"/>
          <w:lang w:eastAsia="lv-LV"/>
        </w:rPr>
        <w:t>kriminālproces</w:t>
      </w:r>
      <w:r w:rsidR="004B55A0">
        <w:rPr>
          <w:rFonts w:eastAsia="Times New Roman"/>
          <w:szCs w:val="24"/>
          <w:lang w:eastAsia="lv-LV"/>
        </w:rPr>
        <w:t xml:space="preserve">s), </w:t>
      </w:r>
      <w:r w:rsidR="00D24C95" w:rsidRPr="00E0745B">
        <w:rPr>
          <w:rFonts w:eastAsia="Times New Roman"/>
          <w:szCs w:val="24"/>
          <w:lang w:eastAsia="lv-LV"/>
        </w:rPr>
        <w:t>Cēsu rajona prokuratūra</w:t>
      </w:r>
      <w:r w:rsidR="004B55A0">
        <w:rPr>
          <w:rFonts w:eastAsia="Times New Roman"/>
          <w:szCs w:val="24"/>
          <w:lang w:eastAsia="lv-LV"/>
        </w:rPr>
        <w:t xml:space="preserve"> (</w:t>
      </w:r>
      <w:r w:rsidR="00D24C95" w:rsidRPr="00E0745B">
        <w:rPr>
          <w:rFonts w:eastAsia="Times New Roman"/>
          <w:szCs w:val="24"/>
          <w:lang w:eastAsia="lv-LV"/>
        </w:rPr>
        <w:t>53 kriminālproces</w:t>
      </w:r>
      <w:r w:rsidR="004B55A0">
        <w:rPr>
          <w:rFonts w:eastAsia="Times New Roman"/>
          <w:szCs w:val="24"/>
          <w:lang w:eastAsia="lv-LV"/>
        </w:rPr>
        <w:t>i)</w:t>
      </w:r>
      <w:r w:rsidR="00D24C95" w:rsidRPr="00E0745B">
        <w:rPr>
          <w:rFonts w:eastAsia="Times New Roman"/>
          <w:szCs w:val="24"/>
          <w:lang w:eastAsia="lv-LV"/>
        </w:rPr>
        <w:t xml:space="preserve">, Madonas rajona prokuratūra </w:t>
      </w:r>
      <w:r w:rsidR="004B55A0">
        <w:rPr>
          <w:rFonts w:eastAsia="Times New Roman"/>
          <w:szCs w:val="24"/>
          <w:lang w:eastAsia="lv-LV"/>
        </w:rPr>
        <w:t>(</w:t>
      </w:r>
      <w:r w:rsidR="00D24C95" w:rsidRPr="00E0745B">
        <w:rPr>
          <w:rFonts w:eastAsia="Times New Roman"/>
          <w:szCs w:val="24"/>
          <w:lang w:eastAsia="lv-LV"/>
        </w:rPr>
        <w:t>35 kriminālproce</w:t>
      </w:r>
      <w:r w:rsidR="009B7356">
        <w:rPr>
          <w:rFonts w:eastAsia="Times New Roman"/>
          <w:szCs w:val="24"/>
          <w:lang w:eastAsia="lv-LV"/>
        </w:rPr>
        <w:t>s</w:t>
      </w:r>
      <w:r w:rsidR="004B55A0">
        <w:rPr>
          <w:rFonts w:eastAsia="Times New Roman"/>
          <w:szCs w:val="24"/>
          <w:lang w:eastAsia="lv-LV"/>
        </w:rPr>
        <w:t>i)</w:t>
      </w:r>
      <w:r w:rsidR="0013634D">
        <w:rPr>
          <w:rFonts w:eastAsia="Times New Roman"/>
          <w:szCs w:val="24"/>
          <w:lang w:eastAsia="lv-LV"/>
        </w:rPr>
        <w:t xml:space="preserve"> </w:t>
      </w:r>
      <w:r w:rsidR="009B7356">
        <w:rPr>
          <w:rFonts w:eastAsia="Times New Roman"/>
          <w:szCs w:val="24"/>
          <w:lang w:eastAsia="lv-LV"/>
        </w:rPr>
        <w:t>un</w:t>
      </w:r>
      <w:r w:rsidR="0013634D">
        <w:rPr>
          <w:rFonts w:eastAsia="Times New Roman"/>
          <w:szCs w:val="24"/>
          <w:lang w:eastAsia="lv-LV"/>
        </w:rPr>
        <w:t xml:space="preserve"> </w:t>
      </w:r>
      <w:r w:rsidR="00D24C95" w:rsidRPr="00E0745B">
        <w:rPr>
          <w:rFonts w:eastAsia="Times New Roman"/>
          <w:szCs w:val="24"/>
          <w:lang w:eastAsia="lv-LV"/>
        </w:rPr>
        <w:t>Valmieras rajona prokuratūra</w:t>
      </w:r>
      <w:r w:rsidR="00033159">
        <w:rPr>
          <w:rFonts w:eastAsia="Times New Roman"/>
          <w:szCs w:val="24"/>
          <w:lang w:eastAsia="lv-LV"/>
        </w:rPr>
        <w:t xml:space="preserve"> (</w:t>
      </w:r>
      <w:r w:rsidR="00D24C95" w:rsidRPr="00E0745B">
        <w:rPr>
          <w:rFonts w:eastAsia="Times New Roman"/>
          <w:szCs w:val="24"/>
          <w:lang w:eastAsia="lv-LV"/>
        </w:rPr>
        <w:t>50</w:t>
      </w:r>
      <w:r w:rsidR="0013634D">
        <w:rPr>
          <w:rFonts w:eastAsia="Times New Roman"/>
          <w:szCs w:val="24"/>
          <w:lang w:eastAsia="lv-LV"/>
        </w:rPr>
        <w:t xml:space="preserve"> </w:t>
      </w:r>
      <w:r w:rsidR="00D24C95" w:rsidRPr="00E0745B">
        <w:rPr>
          <w:rFonts w:eastAsia="Times New Roman"/>
          <w:szCs w:val="24"/>
          <w:lang w:eastAsia="lv-LV"/>
        </w:rPr>
        <w:t>kriminālproces</w:t>
      </w:r>
      <w:r w:rsidR="00033159">
        <w:rPr>
          <w:rFonts w:eastAsia="Times New Roman"/>
          <w:szCs w:val="24"/>
          <w:lang w:eastAsia="lv-LV"/>
        </w:rPr>
        <w:t>i).</w:t>
      </w:r>
      <w:r w:rsidR="0013634D">
        <w:rPr>
          <w:rFonts w:eastAsia="Times New Roman"/>
          <w:szCs w:val="24"/>
          <w:lang w:eastAsia="lv-LV"/>
        </w:rPr>
        <w:t xml:space="preserve"> </w:t>
      </w:r>
    </w:p>
    <w:p w14:paraId="6F03003E" w14:textId="7957CFD1" w:rsidR="00D24C95" w:rsidRPr="00E0745B" w:rsidRDefault="00D24C95" w:rsidP="00927DB3">
      <w:pPr>
        <w:spacing w:after="0" w:line="240" w:lineRule="auto"/>
        <w:ind w:firstLine="720"/>
        <w:jc w:val="both"/>
        <w:rPr>
          <w:rFonts w:eastAsia="Times New Roman"/>
          <w:szCs w:val="24"/>
          <w:lang w:eastAsia="lv-LV"/>
        </w:rPr>
      </w:pPr>
      <w:r w:rsidRPr="00E0745B">
        <w:rPr>
          <w:rFonts w:eastAsia="Times New Roman"/>
          <w:szCs w:val="24"/>
          <w:lang w:eastAsia="lv-LV"/>
        </w:rPr>
        <w:t xml:space="preserve">Neskatoties uz to, ka </w:t>
      </w:r>
      <w:r w:rsidR="00610CFC" w:rsidRPr="00E0745B">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w:t>
      </w:r>
      <w:r w:rsidR="006A5C2B">
        <w:t>ajās rajona līmeņa</w:t>
      </w:r>
      <w:r w:rsidR="006A5C2B" w:rsidRPr="00B41DBE">
        <w:t xml:space="preserve"> prokuratūr</w:t>
      </w:r>
      <w:r w:rsidR="006A5C2B">
        <w:t>ās</w:t>
      </w:r>
      <w:r w:rsidR="006A5C2B" w:rsidRPr="00E0745B">
        <w:rPr>
          <w:rFonts w:eastAsia="Times New Roman"/>
          <w:szCs w:val="24"/>
          <w:lang w:eastAsia="lv-LV"/>
        </w:rPr>
        <w:t xml:space="preserve"> </w:t>
      </w:r>
      <w:r w:rsidR="00610CFC" w:rsidRPr="00E0745B">
        <w:rPr>
          <w:rFonts w:eastAsia="Times New Roman"/>
          <w:szCs w:val="24"/>
          <w:lang w:eastAsia="lv-LV"/>
        </w:rPr>
        <w:t>kriminālprocesu, kuri tiek pabeigti prokuratūrā ar priekšrakstu par sodu</w:t>
      </w:r>
      <w:r w:rsidR="00610CFC">
        <w:rPr>
          <w:rFonts w:eastAsia="Times New Roman"/>
          <w:szCs w:val="24"/>
          <w:lang w:eastAsia="lv-LV"/>
        </w:rPr>
        <w:t xml:space="preserve">, </w:t>
      </w:r>
      <w:r w:rsidR="00610CFC" w:rsidRPr="00E0745B">
        <w:rPr>
          <w:rFonts w:eastAsia="Times New Roman"/>
          <w:szCs w:val="24"/>
          <w:lang w:eastAsia="lv-LV"/>
        </w:rPr>
        <w:t xml:space="preserve">skaits </w:t>
      </w:r>
      <w:r w:rsidR="00306D17">
        <w:rPr>
          <w:rFonts w:eastAsia="Times New Roman"/>
          <w:szCs w:val="24"/>
          <w:lang w:eastAsia="lv-LV"/>
        </w:rPr>
        <w:t>vērtējams kā</w:t>
      </w:r>
      <w:r w:rsidR="00927DB3">
        <w:rPr>
          <w:rFonts w:eastAsia="Times New Roman"/>
          <w:szCs w:val="24"/>
          <w:lang w:eastAsia="lv-LV"/>
        </w:rPr>
        <w:t xml:space="preserve"> </w:t>
      </w:r>
      <w:r w:rsidR="00610CFC" w:rsidRPr="00E0745B">
        <w:rPr>
          <w:rFonts w:eastAsia="Times New Roman"/>
          <w:szCs w:val="24"/>
          <w:lang w:eastAsia="lv-LV"/>
        </w:rPr>
        <w:t xml:space="preserve">pietiekami augsts </w:t>
      </w:r>
      <w:r w:rsidR="00306D17">
        <w:rPr>
          <w:rFonts w:eastAsia="Times New Roman"/>
          <w:szCs w:val="24"/>
          <w:lang w:eastAsia="lv-LV"/>
        </w:rPr>
        <w:t xml:space="preserve">un </w:t>
      </w:r>
      <w:r w:rsidRPr="00E0745B">
        <w:rPr>
          <w:rFonts w:eastAsia="Times New Roman"/>
          <w:szCs w:val="24"/>
          <w:lang w:eastAsia="lv-LV"/>
        </w:rPr>
        <w:t xml:space="preserve">šie rādītāji ar katru gadu arvien palielinās, arī turpmāk </w:t>
      </w:r>
      <w:r w:rsidR="00A07C5B">
        <w:rPr>
          <w:rFonts w:eastAsia="Times New Roman"/>
          <w:szCs w:val="24"/>
          <w:lang w:eastAsia="lv-LV"/>
        </w:rPr>
        <w:t xml:space="preserve">prokuroru </w:t>
      </w:r>
      <w:r w:rsidRPr="00E0745B">
        <w:rPr>
          <w:rFonts w:eastAsia="Times New Roman"/>
          <w:szCs w:val="24"/>
          <w:lang w:eastAsia="lv-LV"/>
        </w:rPr>
        <w:t xml:space="preserve">darbs jāorganizē tā, lai kriminālprocesi pēc iespējas vairāk tiktu </w:t>
      </w:r>
      <w:r w:rsidR="006A5C2B">
        <w:rPr>
          <w:rFonts w:eastAsia="Times New Roman"/>
          <w:szCs w:val="24"/>
          <w:lang w:eastAsia="lv-LV"/>
        </w:rPr>
        <w:t>pa</w:t>
      </w:r>
      <w:r w:rsidRPr="00E0745B">
        <w:rPr>
          <w:rFonts w:eastAsia="Times New Roman"/>
          <w:szCs w:val="24"/>
          <w:lang w:eastAsia="lv-LV"/>
        </w:rPr>
        <w:t>beigti prokuratūrā</w:t>
      </w:r>
      <w:r w:rsidR="006A5C2B">
        <w:rPr>
          <w:rFonts w:eastAsia="Times New Roman"/>
          <w:szCs w:val="24"/>
          <w:lang w:eastAsia="lv-LV"/>
        </w:rPr>
        <w:t>, nenododot krimināllietu tiesai.</w:t>
      </w:r>
    </w:p>
    <w:p w14:paraId="03529F6E" w14:textId="5AE5875D" w:rsidR="00125D01" w:rsidRDefault="00D24C95" w:rsidP="003F10C2">
      <w:pPr>
        <w:spacing w:after="0" w:line="240" w:lineRule="auto"/>
        <w:ind w:firstLine="720"/>
        <w:jc w:val="both"/>
        <w:rPr>
          <w:rFonts w:eastAsia="Times New Roman"/>
          <w:szCs w:val="24"/>
          <w:lang w:eastAsia="lv-LV"/>
        </w:rPr>
      </w:pPr>
      <w:r w:rsidRPr="00E0745B">
        <w:rPr>
          <w:rFonts w:eastAsia="Times New Roman"/>
          <w:szCs w:val="24"/>
          <w:lang w:eastAsia="lv-LV"/>
        </w:rPr>
        <w:t>Analizējot statistiskos rādītājus, jāsecina, ka kopumā pieaudzis prokuratūrā pabeigto kriminālprocesu skaits (K</w:t>
      </w:r>
      <w:r w:rsidR="00E60F54">
        <w:rPr>
          <w:rFonts w:eastAsia="Times New Roman"/>
          <w:szCs w:val="24"/>
          <w:lang w:eastAsia="lv-LV"/>
        </w:rPr>
        <w:t xml:space="preserve">riminālprocesa likuma </w:t>
      </w:r>
      <w:r w:rsidRPr="00E0745B">
        <w:rPr>
          <w:rFonts w:eastAsia="Times New Roman"/>
          <w:szCs w:val="24"/>
          <w:lang w:eastAsia="lv-LV"/>
        </w:rPr>
        <w:t>421.</w:t>
      </w:r>
      <w:r w:rsidR="00E60F54">
        <w:rPr>
          <w:rFonts w:eastAsia="Times New Roman"/>
          <w:szCs w:val="24"/>
          <w:lang w:eastAsia="lv-LV"/>
        </w:rPr>
        <w:t> </w:t>
      </w:r>
      <w:r w:rsidRPr="00E0745B">
        <w:rPr>
          <w:rFonts w:eastAsia="Times New Roman"/>
          <w:szCs w:val="24"/>
          <w:lang w:eastAsia="lv-LV"/>
        </w:rPr>
        <w:t>pants, 415.</w:t>
      </w:r>
      <w:r w:rsidR="00E60F54">
        <w:rPr>
          <w:rFonts w:eastAsia="Times New Roman"/>
          <w:szCs w:val="24"/>
          <w:lang w:eastAsia="lv-LV"/>
        </w:rPr>
        <w:t> </w:t>
      </w:r>
      <w:r w:rsidRPr="00E0745B">
        <w:rPr>
          <w:rFonts w:eastAsia="Times New Roman"/>
          <w:szCs w:val="24"/>
          <w:lang w:eastAsia="lv-LV"/>
        </w:rPr>
        <w:t xml:space="preserve">pants). Tas skaidrojams ar prokuroru izpratni par šādu kriminālprocesa </w:t>
      </w:r>
      <w:r w:rsidR="003048BE">
        <w:rPr>
          <w:rFonts w:eastAsia="Times New Roman"/>
          <w:szCs w:val="24"/>
          <w:lang w:eastAsia="lv-LV"/>
        </w:rPr>
        <w:t>pa</w:t>
      </w:r>
      <w:r w:rsidRPr="00E0745B">
        <w:rPr>
          <w:rFonts w:eastAsia="Times New Roman"/>
          <w:szCs w:val="24"/>
          <w:lang w:eastAsia="lv-LV"/>
        </w:rPr>
        <w:t>beigšanas veidu nepieciešamību, lai atslogotu tiesas darbu un arī zināmā mērā savu</w:t>
      </w:r>
      <w:r w:rsidR="003048BE">
        <w:rPr>
          <w:rFonts w:eastAsia="Times New Roman"/>
          <w:szCs w:val="24"/>
          <w:lang w:eastAsia="lv-LV"/>
        </w:rPr>
        <w:t xml:space="preserve"> darbu</w:t>
      </w:r>
      <w:r w:rsidRPr="00E0745B">
        <w:rPr>
          <w:rFonts w:eastAsia="Times New Roman"/>
          <w:szCs w:val="24"/>
          <w:lang w:eastAsia="lv-LV"/>
        </w:rPr>
        <w:t>, jo vairumā gadījumu kriminālprocesus iespējams pabeigt tajā pa</w:t>
      </w:r>
      <w:r w:rsidR="006A5C2B">
        <w:rPr>
          <w:rFonts w:eastAsia="Times New Roman"/>
          <w:szCs w:val="24"/>
          <w:lang w:eastAsia="lv-LV"/>
        </w:rPr>
        <w:t>šā</w:t>
      </w:r>
      <w:r w:rsidRPr="00E0745B">
        <w:rPr>
          <w:rFonts w:eastAsia="Times New Roman"/>
          <w:szCs w:val="24"/>
          <w:lang w:eastAsia="lv-LV"/>
        </w:rPr>
        <w:t xml:space="preserve"> dienā, kad tiek pieņemts lēmums par personas saukšanu pie kriminālatbildības. Attiecīgi tiek ietaupīti laika resursi – nav jādodas uz </w:t>
      </w:r>
      <w:r w:rsidR="006A5C2B">
        <w:rPr>
          <w:rFonts w:eastAsia="Times New Roman"/>
          <w:szCs w:val="24"/>
          <w:lang w:eastAsia="lv-LV"/>
        </w:rPr>
        <w:t>krimināl</w:t>
      </w:r>
      <w:r w:rsidRPr="00E0745B">
        <w:rPr>
          <w:rFonts w:eastAsia="Times New Roman"/>
          <w:szCs w:val="24"/>
          <w:lang w:eastAsia="lv-LV"/>
        </w:rPr>
        <w:t xml:space="preserve">lietas izskatīšanu tiesā. </w:t>
      </w:r>
      <w:r w:rsidR="004C67BA">
        <w:rPr>
          <w:rFonts w:eastAsia="Times New Roman"/>
          <w:szCs w:val="24"/>
          <w:lang w:eastAsia="lv-LV"/>
        </w:rPr>
        <w:t>Tāpat</w:t>
      </w:r>
      <w:r w:rsidR="004E259D">
        <w:rPr>
          <w:rFonts w:eastAsia="Times New Roman"/>
          <w:szCs w:val="24"/>
          <w:lang w:eastAsia="lv-LV"/>
        </w:rPr>
        <w:t xml:space="preserve"> </w:t>
      </w:r>
      <w:r w:rsidRPr="00E0745B">
        <w:rPr>
          <w:rFonts w:eastAsia="Times New Roman"/>
          <w:szCs w:val="24"/>
          <w:lang w:eastAsia="lv-LV"/>
        </w:rPr>
        <w:t>secin</w:t>
      </w:r>
      <w:r w:rsidR="00B119C6">
        <w:rPr>
          <w:rFonts w:eastAsia="Times New Roman"/>
          <w:szCs w:val="24"/>
          <w:lang w:eastAsia="lv-LV"/>
        </w:rPr>
        <w:t>āms</w:t>
      </w:r>
      <w:r w:rsidRPr="00E0745B">
        <w:rPr>
          <w:rFonts w:eastAsia="Times New Roman"/>
          <w:szCs w:val="24"/>
          <w:lang w:eastAsia="lv-LV"/>
        </w:rPr>
        <w:t>, ka</w:t>
      </w:r>
      <w:r w:rsidR="004E259D">
        <w:rPr>
          <w:rFonts w:eastAsia="Times New Roman"/>
          <w:szCs w:val="24"/>
          <w:lang w:eastAsia="lv-LV"/>
        </w:rPr>
        <w:t xml:space="preserve"> </w:t>
      </w:r>
      <w:r w:rsidRPr="00E0745B">
        <w:rPr>
          <w:rFonts w:eastAsia="Times New Roman"/>
          <w:szCs w:val="24"/>
          <w:lang w:eastAsia="lv-LV"/>
        </w:rPr>
        <w:t xml:space="preserve">iespējams vēl vairāk atslogot tiesas darbu, vairāk kriminālprocesu </w:t>
      </w:r>
      <w:r w:rsidR="00B119C6">
        <w:rPr>
          <w:rFonts w:eastAsia="Times New Roman"/>
          <w:szCs w:val="24"/>
          <w:lang w:eastAsia="lv-LV"/>
        </w:rPr>
        <w:t>pa</w:t>
      </w:r>
      <w:r w:rsidRPr="00E0745B">
        <w:rPr>
          <w:rFonts w:eastAsia="Times New Roman"/>
          <w:szCs w:val="24"/>
          <w:lang w:eastAsia="lv-LV"/>
        </w:rPr>
        <w:t>beidzot prokuratūrā, piemēram, par K</w:t>
      </w:r>
      <w:r w:rsidR="009A3653">
        <w:rPr>
          <w:rFonts w:eastAsia="Times New Roman"/>
          <w:szCs w:val="24"/>
          <w:lang w:eastAsia="lv-LV"/>
        </w:rPr>
        <w:t>rimināllikuma</w:t>
      </w:r>
      <w:r w:rsidRPr="00E0745B">
        <w:rPr>
          <w:rFonts w:eastAsia="Times New Roman"/>
          <w:szCs w:val="24"/>
          <w:lang w:eastAsia="lv-LV"/>
        </w:rPr>
        <w:t xml:space="preserve"> 262.</w:t>
      </w:r>
      <w:r w:rsidR="009A3653">
        <w:rPr>
          <w:rFonts w:eastAsia="Times New Roman"/>
          <w:szCs w:val="24"/>
          <w:lang w:eastAsia="lv-LV"/>
        </w:rPr>
        <w:t> </w:t>
      </w:r>
      <w:r w:rsidRPr="00E0745B">
        <w:rPr>
          <w:rFonts w:eastAsia="Times New Roman"/>
          <w:szCs w:val="24"/>
          <w:lang w:eastAsia="lv-LV"/>
        </w:rPr>
        <w:t>panta otrajā daļā, kā arī K</w:t>
      </w:r>
      <w:r w:rsidR="009A3653">
        <w:rPr>
          <w:rFonts w:eastAsia="Times New Roman"/>
          <w:szCs w:val="24"/>
          <w:lang w:eastAsia="lv-LV"/>
        </w:rPr>
        <w:t>rimināllikuma</w:t>
      </w:r>
      <w:r w:rsidRPr="00E0745B">
        <w:rPr>
          <w:rFonts w:eastAsia="Times New Roman"/>
          <w:szCs w:val="24"/>
          <w:lang w:eastAsia="lv-LV"/>
        </w:rPr>
        <w:t xml:space="preserve"> 180.</w:t>
      </w:r>
      <w:r w:rsidR="009A3653">
        <w:rPr>
          <w:rFonts w:eastAsia="Times New Roman"/>
          <w:szCs w:val="24"/>
          <w:lang w:eastAsia="lv-LV"/>
        </w:rPr>
        <w:t> </w:t>
      </w:r>
      <w:r w:rsidRPr="00E0745B">
        <w:rPr>
          <w:rFonts w:eastAsia="Times New Roman"/>
          <w:szCs w:val="24"/>
          <w:lang w:eastAsia="lv-LV"/>
        </w:rPr>
        <w:t xml:space="preserve">panta pirmajā daļā paredzētā noziedzīgā nodarījuma izdarīšanu. </w:t>
      </w:r>
    </w:p>
    <w:p w14:paraId="1875F786" w14:textId="77777777" w:rsidR="00516507" w:rsidRDefault="00D24C95" w:rsidP="00D24C95">
      <w:pPr>
        <w:spacing w:after="0" w:line="240" w:lineRule="auto"/>
        <w:ind w:firstLine="720"/>
        <w:jc w:val="both"/>
        <w:rPr>
          <w:rFonts w:eastAsia="Times New Roman"/>
          <w:szCs w:val="24"/>
          <w:lang w:eastAsia="lv-LV"/>
        </w:rPr>
      </w:pPr>
      <w:r w:rsidRPr="00E0745B">
        <w:rPr>
          <w:rFonts w:eastAsia="Times New Roman"/>
          <w:szCs w:val="24"/>
          <w:lang w:eastAsia="lv-LV"/>
        </w:rPr>
        <w:t xml:space="preserve">Taču prokurori norāda, ka vienošanās process ir vieglāks piemērošanā pretēji prokurora priekšrakstam par sodu. Bieži vien paši apsūdzētie izsaka lūgumu par vienošanās </w:t>
      </w:r>
      <w:r w:rsidR="00DE104F">
        <w:rPr>
          <w:rFonts w:eastAsia="Times New Roman"/>
          <w:szCs w:val="24"/>
          <w:lang w:eastAsia="lv-LV"/>
        </w:rPr>
        <w:t xml:space="preserve">procesa </w:t>
      </w:r>
      <w:r w:rsidRPr="00E0745B">
        <w:rPr>
          <w:rFonts w:eastAsia="Times New Roman"/>
          <w:szCs w:val="24"/>
          <w:lang w:eastAsia="lv-LV"/>
        </w:rPr>
        <w:t>piemērošanu, jo tas ievieš skaidrību par piemērojamo sodu. Pozitīvi tiek vērtēts tas, ka process tiesā tiks skatīts rakstveidā. Ir iespējams vairāk individualizēt sodus, jo vienoties būtībā</w:t>
      </w:r>
      <w:r w:rsidR="009C609F">
        <w:rPr>
          <w:rFonts w:eastAsia="Times New Roman"/>
          <w:szCs w:val="24"/>
          <w:lang w:eastAsia="lv-LV"/>
        </w:rPr>
        <w:t xml:space="preserve"> </w:t>
      </w:r>
      <w:r w:rsidRPr="00E0745B">
        <w:rPr>
          <w:rFonts w:eastAsia="Times New Roman"/>
          <w:szCs w:val="24"/>
          <w:lang w:eastAsia="lv-LV"/>
        </w:rPr>
        <w:t xml:space="preserve">var </w:t>
      </w:r>
      <w:r w:rsidR="00CC5732">
        <w:rPr>
          <w:rFonts w:eastAsia="Times New Roman"/>
          <w:szCs w:val="24"/>
          <w:lang w:eastAsia="lv-LV"/>
        </w:rPr>
        <w:t xml:space="preserve">ikvienā kriminālprocesā par </w:t>
      </w:r>
      <w:r w:rsidRPr="00E0745B">
        <w:rPr>
          <w:rFonts w:eastAsia="Times New Roman"/>
          <w:szCs w:val="24"/>
          <w:lang w:eastAsia="lv-LV"/>
        </w:rPr>
        <w:t>jebk</w:t>
      </w:r>
      <w:r w:rsidR="00CC5732">
        <w:rPr>
          <w:rFonts w:eastAsia="Times New Roman"/>
          <w:szCs w:val="24"/>
          <w:lang w:eastAsia="lv-LV"/>
        </w:rPr>
        <w:t>uru</w:t>
      </w:r>
      <w:r w:rsidRPr="00E0745B">
        <w:rPr>
          <w:rFonts w:eastAsia="Times New Roman"/>
          <w:szCs w:val="24"/>
          <w:lang w:eastAsia="lv-LV"/>
        </w:rPr>
        <w:t xml:space="preserve"> inkriminēto noziedzīgo nodarījumu</w:t>
      </w:r>
      <w:r w:rsidR="00CC5732">
        <w:rPr>
          <w:rFonts w:eastAsia="Times New Roman"/>
          <w:szCs w:val="24"/>
          <w:lang w:eastAsia="lv-LV"/>
        </w:rPr>
        <w:t xml:space="preserve"> un jebkādu sodu</w:t>
      </w:r>
      <w:r w:rsidRPr="00E0745B">
        <w:rPr>
          <w:rFonts w:eastAsia="Times New Roman"/>
          <w:szCs w:val="24"/>
          <w:lang w:eastAsia="lv-LV"/>
        </w:rPr>
        <w:t xml:space="preserve">. </w:t>
      </w:r>
    </w:p>
    <w:p w14:paraId="612D3346" w14:textId="28155B33" w:rsidR="00D24C95" w:rsidRPr="00E0745B" w:rsidRDefault="00D24C95" w:rsidP="00D24C95">
      <w:pPr>
        <w:spacing w:after="0" w:line="240" w:lineRule="auto"/>
        <w:ind w:firstLine="720"/>
        <w:jc w:val="both"/>
        <w:rPr>
          <w:rFonts w:eastAsia="Times New Roman"/>
          <w:szCs w:val="24"/>
          <w:lang w:eastAsia="lv-LV"/>
        </w:rPr>
      </w:pPr>
      <w:r w:rsidRPr="00E0745B">
        <w:rPr>
          <w:rFonts w:eastAsia="Times New Roman"/>
          <w:szCs w:val="24"/>
          <w:lang w:eastAsia="lv-LV"/>
        </w:rPr>
        <w:t>Kā subjektīv</w:t>
      </w:r>
      <w:r w:rsidR="00050F10">
        <w:rPr>
          <w:rFonts w:eastAsia="Times New Roman"/>
          <w:szCs w:val="24"/>
          <w:lang w:eastAsia="lv-LV"/>
        </w:rPr>
        <w:t>ais</w:t>
      </w:r>
      <w:r w:rsidRPr="00E0745B">
        <w:rPr>
          <w:rFonts w:eastAsia="Times New Roman"/>
          <w:szCs w:val="24"/>
          <w:lang w:eastAsia="lv-LV"/>
        </w:rPr>
        <w:t xml:space="preserve"> faktor</w:t>
      </w:r>
      <w:r w:rsidR="00516507">
        <w:rPr>
          <w:rFonts w:eastAsia="Times New Roman"/>
          <w:szCs w:val="24"/>
          <w:lang w:eastAsia="lv-LV"/>
        </w:rPr>
        <w:t>s</w:t>
      </w:r>
      <w:r w:rsidRPr="00E0745B">
        <w:rPr>
          <w:rFonts w:eastAsia="Times New Roman"/>
          <w:szCs w:val="24"/>
          <w:lang w:eastAsia="lv-LV"/>
        </w:rPr>
        <w:t xml:space="preserve"> jāmin neparocīgais soda kontroles jautājum</w:t>
      </w:r>
      <w:r w:rsidR="00050F10">
        <w:rPr>
          <w:rFonts w:eastAsia="Times New Roman"/>
          <w:szCs w:val="24"/>
          <w:lang w:eastAsia="lv-LV"/>
        </w:rPr>
        <w:t>a risinājums</w:t>
      </w:r>
      <w:r w:rsidRPr="00E0745B">
        <w:rPr>
          <w:rFonts w:eastAsia="Times New Roman"/>
          <w:szCs w:val="24"/>
          <w:lang w:eastAsia="lv-LV"/>
        </w:rPr>
        <w:t xml:space="preserve"> prokuratūrā, kad tiek piemērots prokurora priekšraksts par sodu, jo tas uzliek prokuroram papildu slogu.</w:t>
      </w:r>
      <w:r w:rsidR="008B34EE">
        <w:rPr>
          <w:rFonts w:eastAsia="Times New Roman"/>
          <w:szCs w:val="24"/>
          <w:lang w:eastAsia="lv-LV"/>
        </w:rPr>
        <w:t xml:space="preserve"> Š</w:t>
      </w:r>
      <w:r w:rsidRPr="00E0745B">
        <w:rPr>
          <w:rFonts w:eastAsia="Times New Roman"/>
          <w:szCs w:val="24"/>
          <w:lang w:eastAsia="lv-LV"/>
        </w:rPr>
        <w:t>o jautājumu varētu atrisināt, uzliekot par pienākumu prokuror</w:t>
      </w:r>
      <w:r w:rsidR="008B34EE">
        <w:rPr>
          <w:rFonts w:eastAsia="Times New Roman"/>
          <w:szCs w:val="24"/>
          <w:lang w:eastAsia="lv-LV"/>
        </w:rPr>
        <w:t>a</w:t>
      </w:r>
      <w:r w:rsidRPr="00E0745B">
        <w:rPr>
          <w:rFonts w:eastAsia="Times New Roman"/>
          <w:szCs w:val="24"/>
          <w:lang w:eastAsia="lv-LV"/>
        </w:rPr>
        <w:t xml:space="preserve"> palīgi</w:t>
      </w:r>
      <w:r w:rsidR="00900980">
        <w:rPr>
          <w:rFonts w:eastAsia="Times New Roman"/>
          <w:szCs w:val="24"/>
          <w:lang w:eastAsia="lv-LV"/>
        </w:rPr>
        <w:t xml:space="preserve">em kontrolēt </w:t>
      </w:r>
      <w:r w:rsidR="00BB3065">
        <w:rPr>
          <w:rFonts w:eastAsia="Times New Roman"/>
          <w:szCs w:val="24"/>
          <w:lang w:eastAsia="lv-LV"/>
        </w:rPr>
        <w:t xml:space="preserve">prokuroru uzlikto </w:t>
      </w:r>
      <w:r w:rsidRPr="00E0745B">
        <w:rPr>
          <w:rFonts w:eastAsia="Times New Roman"/>
          <w:szCs w:val="24"/>
          <w:lang w:eastAsia="lv-LV"/>
        </w:rPr>
        <w:t>sodu izpildi, tādā veidā tiktu panākta prokuroru atslodze.</w:t>
      </w:r>
    </w:p>
    <w:p w14:paraId="1E14DBE0" w14:textId="77777777" w:rsidR="00D24C95" w:rsidRPr="00E0745B" w:rsidRDefault="00D24C95" w:rsidP="00D24C95">
      <w:pPr>
        <w:spacing w:after="0" w:line="240" w:lineRule="auto"/>
        <w:ind w:firstLine="720"/>
        <w:jc w:val="both"/>
        <w:rPr>
          <w:rFonts w:eastAsia="Times New Roman"/>
          <w:szCs w:val="24"/>
          <w:lang w:eastAsia="lv-LV"/>
        </w:rPr>
      </w:pPr>
    </w:p>
    <w:p w14:paraId="2143D2E1" w14:textId="1B0C464A" w:rsidR="00D24C95" w:rsidRPr="00F6136E" w:rsidRDefault="004605E4" w:rsidP="00E329FC">
      <w:pPr>
        <w:pStyle w:val="ListParagraph"/>
        <w:numPr>
          <w:ilvl w:val="0"/>
          <w:numId w:val="19"/>
        </w:numPr>
        <w:spacing w:after="0" w:line="240" w:lineRule="auto"/>
        <w:rPr>
          <w:rFonts w:eastAsia="Times New Roman"/>
          <w:b/>
          <w:bCs/>
          <w:szCs w:val="24"/>
          <w:lang w:eastAsia="lv-LV"/>
        </w:rPr>
      </w:pPr>
      <w:r>
        <w:rPr>
          <w:noProof/>
        </w:rPr>
        <w:lastRenderedPageBreak/>
        <w:drawing>
          <wp:anchor distT="0" distB="0" distL="114300" distR="114300" simplePos="0" relativeHeight="251713024" behindDoc="0" locked="0" layoutInCell="1" allowOverlap="1" wp14:anchorId="30966229" wp14:editId="7A80F13C">
            <wp:simplePos x="0" y="0"/>
            <wp:positionH relativeFrom="margin">
              <wp:align>center</wp:align>
            </wp:positionH>
            <wp:positionV relativeFrom="paragraph">
              <wp:posOffset>409979</wp:posOffset>
            </wp:positionV>
            <wp:extent cx="5403850" cy="2339975"/>
            <wp:effectExtent l="0" t="0" r="6350" b="3175"/>
            <wp:wrapTopAndBottom/>
            <wp:docPr id="141" name="Chart 141">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r w:rsidR="00D24C95" w:rsidRPr="00F6136E">
        <w:rPr>
          <w:rFonts w:eastAsia="Times New Roman"/>
          <w:b/>
          <w:bCs/>
          <w:szCs w:val="24"/>
          <w:lang w:eastAsia="lv-LV"/>
        </w:rPr>
        <w:t>Pēc K</w:t>
      </w:r>
      <w:r w:rsidR="00BB3065" w:rsidRPr="00F6136E">
        <w:rPr>
          <w:rFonts w:eastAsia="Times New Roman"/>
          <w:b/>
          <w:bCs/>
          <w:szCs w:val="24"/>
          <w:lang w:eastAsia="lv-LV"/>
        </w:rPr>
        <w:t>rimināllikuma</w:t>
      </w:r>
      <w:r w:rsidR="00D24C95" w:rsidRPr="00F6136E">
        <w:rPr>
          <w:rFonts w:eastAsia="Times New Roman"/>
          <w:b/>
          <w:bCs/>
          <w:szCs w:val="24"/>
          <w:lang w:eastAsia="lv-LV"/>
        </w:rPr>
        <w:t xml:space="preserve"> 180.</w:t>
      </w:r>
      <w:r w:rsidR="00BB3065" w:rsidRPr="00F6136E">
        <w:rPr>
          <w:rFonts w:eastAsia="Times New Roman"/>
          <w:b/>
          <w:bCs/>
          <w:szCs w:val="24"/>
          <w:lang w:eastAsia="lv-LV"/>
        </w:rPr>
        <w:t> </w:t>
      </w:r>
      <w:r w:rsidR="00D24C95" w:rsidRPr="00F6136E">
        <w:rPr>
          <w:rFonts w:eastAsia="Times New Roman"/>
          <w:b/>
          <w:bCs/>
          <w:szCs w:val="24"/>
          <w:lang w:eastAsia="lv-LV"/>
        </w:rPr>
        <w:t xml:space="preserve">panta pabeigto </w:t>
      </w:r>
      <w:r w:rsidR="00B96157" w:rsidRPr="00F6136E">
        <w:rPr>
          <w:rFonts w:eastAsia="Times New Roman"/>
          <w:b/>
          <w:bCs/>
          <w:szCs w:val="24"/>
          <w:lang w:eastAsia="lv-LV"/>
        </w:rPr>
        <w:t>kriminālprocesu</w:t>
      </w:r>
      <w:r w:rsidR="00D24C95" w:rsidRPr="00F6136E">
        <w:rPr>
          <w:rFonts w:eastAsia="Times New Roman"/>
          <w:b/>
          <w:bCs/>
          <w:szCs w:val="24"/>
          <w:lang w:eastAsia="lv-LV"/>
        </w:rPr>
        <w:t xml:space="preserve"> procentuālā attiecība pret kopā pabeigto kriminālprocesu skaitu</w:t>
      </w:r>
    </w:p>
    <w:p w14:paraId="462733A6" w14:textId="77777777" w:rsidR="004605E4" w:rsidRPr="00711D85" w:rsidRDefault="004605E4" w:rsidP="004605E4">
      <w:pPr>
        <w:spacing w:after="0" w:line="240" w:lineRule="auto"/>
        <w:jc w:val="both"/>
        <w:rPr>
          <w:rFonts w:eastAsia="Times New Roman"/>
          <w:b/>
          <w:bCs/>
          <w:sz w:val="26"/>
          <w:szCs w:val="26"/>
          <w:lang w:eastAsia="lv-LV"/>
        </w:rPr>
      </w:pPr>
    </w:p>
    <w:p w14:paraId="79C04980" w14:textId="09C8D827" w:rsidR="00F374E1" w:rsidRDefault="001D02D8" w:rsidP="004605E4">
      <w:pPr>
        <w:spacing w:after="0" w:line="240" w:lineRule="auto"/>
        <w:ind w:firstLine="720"/>
        <w:jc w:val="both"/>
        <w:rPr>
          <w:rFonts w:eastAsia="Times New Roman"/>
          <w:szCs w:val="24"/>
          <w:lang w:eastAsia="lv-LV"/>
        </w:rPr>
      </w:pPr>
      <w:r>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w:t>
      </w:r>
      <w:r w:rsidR="006A5C2B">
        <w:t>ajās rajona līmeņa</w:t>
      </w:r>
      <w:r w:rsidR="006A5C2B" w:rsidRPr="00B41DBE">
        <w:t xml:space="preserve"> prokuratūr</w:t>
      </w:r>
      <w:r w:rsidR="006A5C2B">
        <w:t>ās</w:t>
      </w:r>
      <w:r>
        <w:rPr>
          <w:rFonts w:eastAsia="Times New Roman"/>
          <w:szCs w:val="24"/>
          <w:lang w:eastAsia="lv-LV"/>
        </w:rPr>
        <w:t xml:space="preserve"> 2020. gadā p</w:t>
      </w:r>
      <w:r w:rsidR="00D24C95" w:rsidRPr="00B31B36">
        <w:rPr>
          <w:rFonts w:eastAsia="Times New Roman"/>
          <w:szCs w:val="24"/>
          <w:lang w:eastAsia="lv-LV"/>
        </w:rPr>
        <w:t>ēc Krimināllikuma 180.</w:t>
      </w:r>
      <w:r>
        <w:rPr>
          <w:rFonts w:eastAsia="Times New Roman"/>
          <w:szCs w:val="24"/>
          <w:lang w:eastAsia="lv-LV"/>
        </w:rPr>
        <w:t> </w:t>
      </w:r>
      <w:r w:rsidR="00D24C95" w:rsidRPr="00B31B36">
        <w:rPr>
          <w:rFonts w:eastAsia="Times New Roman"/>
          <w:szCs w:val="24"/>
          <w:lang w:eastAsia="lv-LV"/>
        </w:rPr>
        <w:t xml:space="preserve">panta pabeigto kriminālprocesu īpatsvars </w:t>
      </w:r>
      <w:r w:rsidR="00FC2976" w:rsidRPr="00B31B36">
        <w:rPr>
          <w:rFonts w:eastAsia="Times New Roman"/>
          <w:szCs w:val="24"/>
          <w:lang w:eastAsia="lv-LV"/>
        </w:rPr>
        <w:t>salīdzinājumā ar 2019.</w:t>
      </w:r>
      <w:r w:rsidR="00FC2976">
        <w:rPr>
          <w:rFonts w:eastAsia="Times New Roman"/>
          <w:szCs w:val="24"/>
          <w:lang w:eastAsia="lv-LV"/>
        </w:rPr>
        <w:t> </w:t>
      </w:r>
      <w:r w:rsidR="00FC2976" w:rsidRPr="00B31B36">
        <w:rPr>
          <w:rFonts w:eastAsia="Times New Roman"/>
          <w:szCs w:val="24"/>
          <w:lang w:eastAsia="lv-LV"/>
        </w:rPr>
        <w:t xml:space="preserve">gadu </w:t>
      </w:r>
      <w:r w:rsidR="00D24C95" w:rsidRPr="00B31B36">
        <w:rPr>
          <w:rFonts w:eastAsia="Times New Roman"/>
          <w:szCs w:val="24"/>
          <w:lang w:eastAsia="lv-LV"/>
        </w:rPr>
        <w:t xml:space="preserve">faktiski palielinājies tikai Valkas rajona prokuratūrā, turpretī pārējās 6 </w:t>
      </w:r>
      <w:r>
        <w:rPr>
          <w:rFonts w:eastAsia="Times New Roman"/>
          <w:szCs w:val="24"/>
          <w:lang w:eastAsia="lv-LV"/>
        </w:rPr>
        <w:t xml:space="preserve">rajona </w:t>
      </w:r>
      <w:r w:rsidR="006A5C2B">
        <w:rPr>
          <w:rFonts w:eastAsia="Times New Roman"/>
          <w:szCs w:val="24"/>
          <w:lang w:eastAsia="lv-LV"/>
        </w:rPr>
        <w:t xml:space="preserve">līmeņa </w:t>
      </w:r>
      <w:r w:rsidR="00D24C95" w:rsidRPr="00B31B36">
        <w:rPr>
          <w:rFonts w:eastAsia="Times New Roman"/>
          <w:szCs w:val="24"/>
          <w:lang w:eastAsia="lv-LV"/>
        </w:rPr>
        <w:t xml:space="preserve">prokuratūrās </w:t>
      </w:r>
      <w:r w:rsidR="00FC2976">
        <w:rPr>
          <w:rFonts w:eastAsia="Times New Roman"/>
          <w:szCs w:val="24"/>
          <w:lang w:eastAsia="lv-LV"/>
        </w:rPr>
        <w:t xml:space="preserve">– </w:t>
      </w:r>
      <w:r w:rsidR="00D24C95" w:rsidRPr="00B31B36">
        <w:rPr>
          <w:rFonts w:eastAsia="Times New Roman"/>
          <w:szCs w:val="24"/>
          <w:lang w:eastAsia="lv-LV"/>
        </w:rPr>
        <w:t>samazinājies</w:t>
      </w:r>
      <w:r w:rsidR="008E3FBA">
        <w:rPr>
          <w:rFonts w:eastAsia="Times New Roman"/>
          <w:szCs w:val="24"/>
          <w:lang w:eastAsia="lv-LV"/>
        </w:rPr>
        <w:t>. Kopumā tas</w:t>
      </w:r>
      <w:r w:rsidR="00D24C95" w:rsidRPr="00B31B36">
        <w:rPr>
          <w:rFonts w:eastAsia="Times New Roman"/>
          <w:szCs w:val="24"/>
          <w:lang w:eastAsia="lv-LV"/>
        </w:rPr>
        <w:t xml:space="preserve"> vērtējams kā zems. Šāda tendence norāda, ka izmeklēšanas iestāžu un līdz ar to arī prokuratūras resurss pamatoti netiek nodarbināts “sīko zādzību” apkarošanai, bet izmeklēšanas iestāžu un prokuratūras darbs un resursi tiek novirzīti smagu un sevišķi smagu noziegumu izmeklēšanai.</w:t>
      </w:r>
    </w:p>
    <w:p w14:paraId="7ECC6023" w14:textId="77777777" w:rsidR="004605E4" w:rsidRPr="004605E4" w:rsidRDefault="004605E4" w:rsidP="004605E4">
      <w:pPr>
        <w:spacing w:after="0" w:line="240" w:lineRule="auto"/>
        <w:ind w:firstLine="720"/>
        <w:jc w:val="both"/>
        <w:rPr>
          <w:rFonts w:eastAsia="Times New Roman"/>
          <w:szCs w:val="24"/>
          <w:lang w:eastAsia="lv-LV"/>
        </w:rPr>
      </w:pPr>
    </w:p>
    <w:p w14:paraId="6D552F1E" w14:textId="737770CA" w:rsidR="00D24C95" w:rsidRPr="009F0330" w:rsidRDefault="009F0330" w:rsidP="00E329FC">
      <w:pPr>
        <w:pStyle w:val="ListParagraph"/>
        <w:numPr>
          <w:ilvl w:val="0"/>
          <w:numId w:val="19"/>
        </w:numPr>
        <w:spacing w:after="0" w:line="240" w:lineRule="auto"/>
        <w:rPr>
          <w:rFonts w:eastAsia="Times New Roman"/>
          <w:b/>
          <w:bCs/>
          <w:szCs w:val="24"/>
          <w:lang w:eastAsia="lv-LV"/>
        </w:rPr>
      </w:pPr>
      <w:r>
        <w:rPr>
          <w:noProof/>
        </w:rPr>
        <w:drawing>
          <wp:anchor distT="0" distB="0" distL="114300" distR="114300" simplePos="0" relativeHeight="251715072" behindDoc="0" locked="0" layoutInCell="1" allowOverlap="1" wp14:anchorId="6166578C" wp14:editId="48D91547">
            <wp:simplePos x="0" y="0"/>
            <wp:positionH relativeFrom="margin">
              <wp:align>center</wp:align>
            </wp:positionH>
            <wp:positionV relativeFrom="paragraph">
              <wp:posOffset>259484</wp:posOffset>
            </wp:positionV>
            <wp:extent cx="5403850" cy="2514600"/>
            <wp:effectExtent l="0" t="0" r="6350" b="0"/>
            <wp:wrapTopAndBottom/>
            <wp:docPr id="142" name="Chart 142">
              <a:extLst xmlns:a="http://schemas.openxmlformats.org/drawingml/2006/main">
                <a:ext uri="{FF2B5EF4-FFF2-40B4-BE49-F238E27FC236}">
                  <a16:creationId xmlns:a16="http://schemas.microsoft.com/office/drawing/2014/main" id="{00000000-0008-0000-01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000D3F15" w:rsidRPr="00F6136E">
        <w:rPr>
          <w:rFonts w:eastAsia="Times New Roman"/>
          <w:b/>
          <w:bCs/>
          <w:szCs w:val="24"/>
          <w:lang w:eastAsia="lv-LV"/>
        </w:rPr>
        <w:t>Prokuroru u</w:t>
      </w:r>
      <w:r w:rsidR="00D24C95" w:rsidRPr="00F6136E">
        <w:rPr>
          <w:rFonts w:eastAsia="Times New Roman"/>
          <w:b/>
          <w:bCs/>
          <w:szCs w:val="24"/>
          <w:lang w:eastAsia="lv-LV"/>
        </w:rPr>
        <w:t>zraudzībā pieņemti kriminālprocesi</w:t>
      </w:r>
    </w:p>
    <w:p w14:paraId="77FD7780" w14:textId="4DA97AFC" w:rsidR="00D24C95" w:rsidRDefault="00D24C95" w:rsidP="00D24C95">
      <w:pPr>
        <w:spacing w:after="0" w:line="240" w:lineRule="auto"/>
        <w:jc w:val="both"/>
        <w:rPr>
          <w:rFonts w:eastAsia="Times New Roman"/>
          <w:sz w:val="26"/>
          <w:szCs w:val="26"/>
          <w:lang w:eastAsia="lv-LV"/>
        </w:rPr>
      </w:pPr>
    </w:p>
    <w:p w14:paraId="588A9E2D" w14:textId="17E36ADB" w:rsidR="00D24C95" w:rsidRPr="00B31B36" w:rsidRDefault="00D24C95" w:rsidP="00D24C95">
      <w:pPr>
        <w:spacing w:after="0" w:line="240" w:lineRule="auto"/>
        <w:ind w:firstLine="720"/>
        <w:jc w:val="both"/>
        <w:rPr>
          <w:rFonts w:eastAsia="Times New Roman"/>
          <w:szCs w:val="24"/>
          <w:lang w:eastAsia="lv-LV"/>
        </w:rPr>
      </w:pPr>
      <w:r w:rsidRPr="00B31B36">
        <w:rPr>
          <w:rFonts w:eastAsia="Times New Roman"/>
          <w:szCs w:val="24"/>
          <w:lang w:eastAsia="lv-LV"/>
        </w:rPr>
        <w:t xml:space="preserve">Vislielākais uzraudzībā </w:t>
      </w:r>
      <w:r w:rsidR="008F580C" w:rsidRPr="00B31B36">
        <w:rPr>
          <w:rFonts w:eastAsia="Times New Roman"/>
          <w:szCs w:val="24"/>
          <w:lang w:eastAsia="lv-LV"/>
        </w:rPr>
        <w:t>pie</w:t>
      </w:r>
      <w:r w:rsidRPr="00B31B36">
        <w:rPr>
          <w:rFonts w:eastAsia="Times New Roman"/>
          <w:szCs w:val="24"/>
          <w:lang w:eastAsia="lv-LV"/>
        </w:rPr>
        <w:t>ņemto krimināl</w:t>
      </w:r>
      <w:r w:rsidR="00461AC3" w:rsidRPr="00B31B36">
        <w:rPr>
          <w:rFonts w:eastAsia="Times New Roman"/>
          <w:szCs w:val="24"/>
          <w:lang w:eastAsia="lv-LV"/>
        </w:rPr>
        <w:t>procesu</w:t>
      </w:r>
      <w:r w:rsidRPr="00B31B36">
        <w:rPr>
          <w:rFonts w:eastAsia="Times New Roman"/>
          <w:szCs w:val="24"/>
          <w:lang w:eastAsia="lv-LV"/>
        </w:rPr>
        <w:t xml:space="preserve"> skaita samazinājums vērojams Valkas rajona prokuratūrā, kas izskaidrojams ar to, ka Valsts policijas Vidzemes reģiona pārvaldes Valkas iecirknī 2020.</w:t>
      </w:r>
      <w:r w:rsidR="00461AC3" w:rsidRPr="00B31B36">
        <w:rPr>
          <w:rFonts w:eastAsia="Times New Roman"/>
          <w:szCs w:val="24"/>
          <w:lang w:eastAsia="lv-LV"/>
        </w:rPr>
        <w:t> </w:t>
      </w:r>
      <w:r w:rsidRPr="00B31B36">
        <w:rPr>
          <w:rFonts w:eastAsia="Times New Roman"/>
          <w:szCs w:val="24"/>
          <w:lang w:eastAsia="lv-LV"/>
        </w:rPr>
        <w:t>gadā uzsākto kriminālprocesu skaits ir samazinājies par 102</w:t>
      </w:r>
      <w:r w:rsidR="00461AC3" w:rsidRPr="00B31B36">
        <w:rPr>
          <w:rFonts w:eastAsia="Times New Roman"/>
          <w:szCs w:val="24"/>
          <w:lang w:eastAsia="lv-LV"/>
        </w:rPr>
        <w:t> </w:t>
      </w:r>
      <w:r w:rsidRPr="00B31B36">
        <w:rPr>
          <w:rFonts w:eastAsia="Times New Roman"/>
          <w:szCs w:val="24"/>
          <w:lang w:eastAsia="lv-LV"/>
        </w:rPr>
        <w:t>kriminālprocesiem salīdzinājumā ar 2019.</w:t>
      </w:r>
      <w:r w:rsidR="00461AC3" w:rsidRPr="00B31B36">
        <w:rPr>
          <w:rFonts w:eastAsia="Times New Roman"/>
          <w:szCs w:val="24"/>
          <w:lang w:eastAsia="lv-LV"/>
        </w:rPr>
        <w:t> </w:t>
      </w:r>
      <w:r w:rsidRPr="00B31B36">
        <w:rPr>
          <w:rFonts w:eastAsia="Times New Roman"/>
          <w:szCs w:val="24"/>
          <w:lang w:eastAsia="lv-LV"/>
        </w:rPr>
        <w:t>gadu</w:t>
      </w:r>
      <w:r w:rsidR="00461AC3" w:rsidRPr="00B31B36">
        <w:rPr>
          <w:rFonts w:eastAsia="Times New Roman"/>
          <w:szCs w:val="24"/>
          <w:lang w:eastAsia="lv-LV"/>
        </w:rPr>
        <w:t>. Š</w:t>
      </w:r>
      <w:r w:rsidRPr="00B31B36">
        <w:rPr>
          <w:rFonts w:eastAsia="Times New Roman"/>
          <w:szCs w:val="24"/>
          <w:lang w:eastAsia="lv-LV"/>
        </w:rPr>
        <w:t xml:space="preserve">āda tendence skaidrojama gan ar nelielu noziedzības līmeņa kritumu, gan arī ar Valkas rajona prokuratūras prokuroru noslodzi (ilgstoši </w:t>
      </w:r>
      <w:r w:rsidR="00B035DF" w:rsidRPr="00B31B36">
        <w:rPr>
          <w:rFonts w:eastAsia="Times New Roman"/>
          <w:szCs w:val="24"/>
          <w:lang w:eastAsia="lv-LV"/>
        </w:rPr>
        <w:t xml:space="preserve">tajā </w:t>
      </w:r>
      <w:r w:rsidRPr="00B31B36">
        <w:rPr>
          <w:rFonts w:eastAsia="Times New Roman"/>
          <w:szCs w:val="24"/>
          <w:lang w:eastAsia="lv-LV"/>
        </w:rPr>
        <w:t>strādāja tikai 2 prokurori: virsprokurore un prokurors)</w:t>
      </w:r>
      <w:r w:rsidR="00002107" w:rsidRPr="00B31B36">
        <w:rPr>
          <w:rFonts w:eastAsia="Times New Roman"/>
          <w:szCs w:val="24"/>
          <w:lang w:eastAsia="lv-LV"/>
        </w:rPr>
        <w:t>, tāpēc</w:t>
      </w:r>
      <w:r w:rsidRPr="00B31B36">
        <w:rPr>
          <w:rFonts w:eastAsia="Times New Roman"/>
          <w:szCs w:val="24"/>
          <w:lang w:eastAsia="lv-LV"/>
        </w:rPr>
        <w:t xml:space="preserve"> daļu no Valkas iecirknī uzsāktajiem kriminālprocesiem ar </w:t>
      </w:r>
      <w:r w:rsidR="00002107" w:rsidRPr="00B31B36">
        <w:rPr>
          <w:rFonts w:eastAsia="Times New Roman"/>
          <w:szCs w:val="24"/>
          <w:lang w:eastAsia="lv-LV"/>
        </w:rPr>
        <w:t xml:space="preserve">Vidzemes tiesas </w:t>
      </w:r>
      <w:r w:rsidRPr="00B31B36">
        <w:rPr>
          <w:rFonts w:eastAsia="Times New Roman"/>
          <w:szCs w:val="24"/>
          <w:lang w:eastAsia="lv-LV"/>
        </w:rPr>
        <w:t xml:space="preserve">apgabala prokuratūras virsprokurores rezolūciju, lai izlīdzinātu prokuroru noslodzi, uzraudzībā ir pieņēmuši </w:t>
      </w:r>
      <w:r w:rsidR="006A5C2B">
        <w:rPr>
          <w:rFonts w:eastAsia="Times New Roman"/>
          <w:szCs w:val="24"/>
          <w:lang w:eastAsia="lv-LV"/>
        </w:rPr>
        <w:t>Vidzemes tiesas apgabala</w:t>
      </w:r>
      <w:r w:rsidR="00251F3F" w:rsidRPr="00B31B36">
        <w:rPr>
          <w:rFonts w:eastAsia="Times New Roman"/>
          <w:szCs w:val="24"/>
          <w:lang w:eastAsia="lv-LV"/>
        </w:rPr>
        <w:t xml:space="preserve"> citu </w:t>
      </w:r>
      <w:r w:rsidRPr="00B31B36">
        <w:rPr>
          <w:rFonts w:eastAsia="Times New Roman"/>
          <w:szCs w:val="24"/>
          <w:lang w:eastAsia="lv-LV"/>
        </w:rPr>
        <w:t xml:space="preserve">prokuratūras struktūrvienību prokurori. Tāpat samazinājums vērojams arī Valmieras rajona prokuratūras prokuroru uzraudzībā pieņemto kriminālprocesu skaitā. Ja </w:t>
      </w:r>
      <w:r w:rsidRPr="00B31B36">
        <w:rPr>
          <w:rFonts w:eastAsia="Times New Roman"/>
          <w:szCs w:val="24"/>
          <w:lang w:eastAsia="lv-LV"/>
        </w:rPr>
        <w:lastRenderedPageBreak/>
        <w:t xml:space="preserve">salīdzina Valsts policijas Vidzemes reģiona pārvaldes Valmieras iecirkņa statistiku, tad redzams, ka </w:t>
      </w:r>
      <w:r w:rsidR="00914BDC" w:rsidRPr="00B31B36">
        <w:rPr>
          <w:rFonts w:eastAsia="Times New Roman"/>
          <w:szCs w:val="24"/>
          <w:lang w:eastAsia="lv-LV"/>
        </w:rPr>
        <w:t xml:space="preserve">2020. gadā </w:t>
      </w:r>
      <w:r w:rsidRPr="00B31B36">
        <w:rPr>
          <w:rFonts w:eastAsia="Times New Roman"/>
          <w:szCs w:val="24"/>
          <w:lang w:eastAsia="lv-LV"/>
        </w:rPr>
        <w:t>uzsākts</w:t>
      </w:r>
      <w:r w:rsidR="00055F31" w:rsidRPr="00B31B36">
        <w:rPr>
          <w:rFonts w:eastAsia="Times New Roman"/>
          <w:szCs w:val="24"/>
          <w:lang w:eastAsia="lv-LV"/>
        </w:rPr>
        <w:t xml:space="preserve"> </w:t>
      </w:r>
      <w:r w:rsidRPr="00B31B36">
        <w:rPr>
          <w:rFonts w:eastAsia="Times New Roman"/>
          <w:szCs w:val="24"/>
          <w:lang w:eastAsia="lv-LV"/>
        </w:rPr>
        <w:t>par 152</w:t>
      </w:r>
      <w:r w:rsidR="00251F3F" w:rsidRPr="00B31B36">
        <w:rPr>
          <w:rFonts w:eastAsia="Times New Roman"/>
          <w:szCs w:val="24"/>
          <w:lang w:eastAsia="lv-LV"/>
        </w:rPr>
        <w:t> </w:t>
      </w:r>
      <w:r w:rsidRPr="00B31B36">
        <w:rPr>
          <w:rFonts w:eastAsia="Times New Roman"/>
          <w:szCs w:val="24"/>
          <w:lang w:eastAsia="lv-LV"/>
        </w:rPr>
        <w:t>kriminālprocesiem mazāk nekā iepriekšējā gadā. Pamatā samazinājies mazāk smagu un smagu noziegumu skaits. Tas saistīts ar zādzību nelielā apmērā no tirdzniecības vietām skaita ievērojamu samazināšanos</w:t>
      </w:r>
      <w:r w:rsidR="004F0297" w:rsidRPr="00B31B36">
        <w:rPr>
          <w:rFonts w:eastAsia="Times New Roman"/>
          <w:szCs w:val="24"/>
          <w:lang w:eastAsia="lv-LV"/>
        </w:rPr>
        <w:t xml:space="preserve">, kā arī </w:t>
      </w:r>
      <w:r w:rsidRPr="00B31B36">
        <w:rPr>
          <w:rFonts w:eastAsia="Times New Roman"/>
          <w:szCs w:val="24"/>
          <w:lang w:eastAsia="lv-LV"/>
        </w:rPr>
        <w:t>transportlīdzekļa vadīšan</w:t>
      </w:r>
      <w:r w:rsidR="008F2F70" w:rsidRPr="00B31B36">
        <w:rPr>
          <w:rFonts w:eastAsia="Times New Roman"/>
          <w:szCs w:val="24"/>
          <w:lang w:eastAsia="lv-LV"/>
        </w:rPr>
        <w:t xml:space="preserve">as </w:t>
      </w:r>
      <w:r w:rsidR="001D1638" w:rsidRPr="00B31B36">
        <w:rPr>
          <w:rFonts w:eastAsia="Times New Roman"/>
          <w:szCs w:val="24"/>
          <w:lang w:eastAsia="lv-LV"/>
        </w:rPr>
        <w:t>apreibinošu vielu ietekmē</w:t>
      </w:r>
      <w:r w:rsidR="007F7859" w:rsidRPr="00B31B36">
        <w:rPr>
          <w:rFonts w:eastAsia="Times New Roman"/>
          <w:szCs w:val="24"/>
          <w:lang w:eastAsia="lv-LV"/>
        </w:rPr>
        <w:t xml:space="preserve"> </w:t>
      </w:r>
      <w:r w:rsidRPr="00B31B36">
        <w:rPr>
          <w:rFonts w:eastAsia="Times New Roman"/>
          <w:szCs w:val="24"/>
          <w:lang w:eastAsia="lv-LV"/>
        </w:rPr>
        <w:t>samazināšanos. Iepriekšējiem gadiem raksturīgi bija arī tas, ka Valmieras rajona prokuratūras uzraudzībā un lietvedībā atradās samērā daudz krimināl</w:t>
      </w:r>
      <w:r w:rsidR="00E1534A" w:rsidRPr="00B31B36">
        <w:rPr>
          <w:rFonts w:eastAsia="Times New Roman"/>
          <w:szCs w:val="24"/>
          <w:lang w:eastAsia="lv-LV"/>
        </w:rPr>
        <w:t>procesu</w:t>
      </w:r>
      <w:r w:rsidRPr="00B31B36">
        <w:rPr>
          <w:rFonts w:eastAsia="Times New Roman"/>
          <w:szCs w:val="24"/>
          <w:lang w:eastAsia="lv-LV"/>
        </w:rPr>
        <w:t>, kas bija uzsākt</w:t>
      </w:r>
      <w:r w:rsidR="00E1534A" w:rsidRPr="00B31B36">
        <w:rPr>
          <w:rFonts w:eastAsia="Times New Roman"/>
          <w:szCs w:val="24"/>
          <w:lang w:eastAsia="lv-LV"/>
        </w:rPr>
        <w:t>i</w:t>
      </w:r>
      <w:r w:rsidRPr="00B31B36">
        <w:rPr>
          <w:rFonts w:eastAsia="Times New Roman"/>
          <w:szCs w:val="24"/>
          <w:lang w:eastAsia="lv-LV"/>
        </w:rPr>
        <w:t xml:space="preserve"> citos policijas iecirkņos (Valkas, Madonas), bet sakarā ar noslodzes izlīdzināšanu tika nodot</w:t>
      </w:r>
      <w:r w:rsidR="00BD7ACA" w:rsidRPr="00B31B36">
        <w:rPr>
          <w:rFonts w:eastAsia="Times New Roman"/>
          <w:szCs w:val="24"/>
          <w:lang w:eastAsia="lv-LV"/>
        </w:rPr>
        <w:t>i</w:t>
      </w:r>
      <w:r w:rsidRPr="00B31B36">
        <w:rPr>
          <w:rFonts w:eastAsia="Times New Roman"/>
          <w:szCs w:val="24"/>
          <w:lang w:eastAsia="lv-LV"/>
        </w:rPr>
        <w:t xml:space="preserve"> uzraudzībā Valmieras rajona prokuratūras prokuroriem.</w:t>
      </w:r>
    </w:p>
    <w:p w14:paraId="144CE0A5" w14:textId="6CA93138" w:rsidR="008530D0" w:rsidRDefault="00D24C95" w:rsidP="008530D0">
      <w:pPr>
        <w:spacing w:after="0" w:line="240" w:lineRule="auto"/>
        <w:ind w:firstLine="720"/>
        <w:jc w:val="both"/>
        <w:rPr>
          <w:rFonts w:eastAsia="Times New Roman"/>
          <w:szCs w:val="24"/>
          <w:lang w:eastAsia="lv-LV"/>
        </w:rPr>
      </w:pPr>
      <w:r w:rsidRPr="00B31B36">
        <w:rPr>
          <w:rFonts w:eastAsia="Times New Roman"/>
          <w:szCs w:val="24"/>
          <w:lang w:eastAsia="lv-LV"/>
        </w:rPr>
        <w:t xml:space="preserve">Savukārt Alūksnes rajona prokuratūrā par </w:t>
      </w:r>
      <w:r w:rsidRPr="00B31B36">
        <w:rPr>
          <w:szCs w:val="24"/>
        </w:rPr>
        <w:t>15</w:t>
      </w:r>
      <w:r w:rsidR="00BD7ACA" w:rsidRPr="00B31B36">
        <w:rPr>
          <w:szCs w:val="24"/>
        </w:rPr>
        <w:t> </w:t>
      </w:r>
      <w:r w:rsidRPr="00B31B36">
        <w:rPr>
          <w:szCs w:val="24"/>
        </w:rPr>
        <w:t>kriminālprocesiem</w:t>
      </w:r>
      <w:r w:rsidRPr="00B31B36">
        <w:rPr>
          <w:rFonts w:eastAsia="Times New Roman"/>
          <w:szCs w:val="24"/>
          <w:lang w:eastAsia="lv-LV"/>
        </w:rPr>
        <w:t xml:space="preserve"> un Cēsu rajona prokuratūrā par 13</w:t>
      </w:r>
      <w:r w:rsidR="00BD7ACA" w:rsidRPr="00B31B36">
        <w:rPr>
          <w:rFonts w:eastAsia="Times New Roman"/>
          <w:szCs w:val="24"/>
          <w:lang w:eastAsia="lv-LV"/>
        </w:rPr>
        <w:t> </w:t>
      </w:r>
      <w:r w:rsidRPr="00B31B36">
        <w:rPr>
          <w:rFonts w:eastAsia="Times New Roman"/>
          <w:szCs w:val="24"/>
          <w:lang w:eastAsia="lv-LV"/>
        </w:rPr>
        <w:t>kriminālprocesiem vērojams uzraudzībā pieņemto kriminālprocesu skaita</w:t>
      </w:r>
      <w:r w:rsidR="008530D0">
        <w:rPr>
          <w:rFonts w:eastAsia="Times New Roman"/>
          <w:szCs w:val="24"/>
          <w:lang w:eastAsia="lv-LV"/>
        </w:rPr>
        <w:t xml:space="preserve"> pieaugums.</w:t>
      </w:r>
    </w:p>
    <w:p w14:paraId="31D217B2" w14:textId="72FC355E" w:rsidR="008530D0" w:rsidRDefault="008530D0" w:rsidP="008530D0">
      <w:pPr>
        <w:spacing w:after="0" w:line="240" w:lineRule="auto"/>
        <w:jc w:val="both"/>
        <w:rPr>
          <w:rFonts w:eastAsia="Times New Roman"/>
          <w:szCs w:val="24"/>
          <w:lang w:eastAsia="lv-LV"/>
        </w:rPr>
      </w:pPr>
    </w:p>
    <w:p w14:paraId="3B6DBFF7" w14:textId="7BC4CF83" w:rsidR="008530D0" w:rsidRPr="008530D0" w:rsidRDefault="008530D0" w:rsidP="00E329FC">
      <w:pPr>
        <w:pStyle w:val="ListParagraph"/>
        <w:numPr>
          <w:ilvl w:val="0"/>
          <w:numId w:val="19"/>
        </w:numPr>
        <w:spacing w:after="0" w:line="240" w:lineRule="auto"/>
        <w:jc w:val="both"/>
        <w:rPr>
          <w:rFonts w:eastAsia="Times New Roman"/>
          <w:b/>
          <w:bCs/>
          <w:szCs w:val="24"/>
          <w:lang w:eastAsia="lv-LV"/>
        </w:rPr>
      </w:pPr>
      <w:r>
        <w:rPr>
          <w:noProof/>
        </w:rPr>
        <w:drawing>
          <wp:anchor distT="0" distB="0" distL="114300" distR="114300" simplePos="0" relativeHeight="251717120" behindDoc="0" locked="0" layoutInCell="1" allowOverlap="1" wp14:anchorId="1891423C" wp14:editId="633E1CFA">
            <wp:simplePos x="0" y="0"/>
            <wp:positionH relativeFrom="margin">
              <wp:align>center</wp:align>
            </wp:positionH>
            <wp:positionV relativeFrom="paragraph">
              <wp:posOffset>406920</wp:posOffset>
            </wp:positionV>
            <wp:extent cx="5384800" cy="1765300"/>
            <wp:effectExtent l="0" t="0" r="6350" b="6350"/>
            <wp:wrapTopAndBottom/>
            <wp:docPr id="144" name="Chart 144">
              <a:extLst xmlns:a="http://schemas.openxmlformats.org/drawingml/2006/main">
                <a:ext uri="{FF2B5EF4-FFF2-40B4-BE49-F238E27FC236}">
                  <a16:creationId xmlns:a16="http://schemas.microsoft.com/office/drawing/2014/main"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r w:rsidRPr="008530D0">
        <w:rPr>
          <w:rFonts w:eastAsia="Times New Roman"/>
          <w:b/>
          <w:bCs/>
          <w:szCs w:val="24"/>
          <w:lang w:eastAsia="lv-LV"/>
        </w:rPr>
        <w:t>Ar prokurora piekrišanu atteikts uzsākt kriminālprocesu par maznozīmīgu noziedzīgu nodarījumu</w:t>
      </w:r>
    </w:p>
    <w:p w14:paraId="1FC8AF15" w14:textId="449B2B90" w:rsidR="00AD18B4" w:rsidRPr="008530D0" w:rsidRDefault="00AD18B4" w:rsidP="008530D0">
      <w:pPr>
        <w:spacing w:after="0" w:line="240" w:lineRule="auto"/>
        <w:jc w:val="both"/>
        <w:rPr>
          <w:rFonts w:eastAsia="Times New Roman"/>
          <w:szCs w:val="24"/>
          <w:lang w:eastAsia="lv-LV"/>
        </w:rPr>
      </w:pPr>
    </w:p>
    <w:p w14:paraId="6942E63B" w14:textId="77777777" w:rsidR="00D24C95" w:rsidRPr="00B31B36" w:rsidRDefault="00D24C95" w:rsidP="00D24C95">
      <w:pPr>
        <w:spacing w:after="0" w:line="240" w:lineRule="auto"/>
        <w:ind w:firstLine="720"/>
        <w:jc w:val="both"/>
        <w:rPr>
          <w:rFonts w:eastAsia="Times New Roman"/>
          <w:szCs w:val="24"/>
          <w:lang w:eastAsia="lv-LV"/>
        </w:rPr>
      </w:pPr>
      <w:r w:rsidRPr="00B31B36">
        <w:rPr>
          <w:rFonts w:eastAsia="Times New Roman"/>
          <w:szCs w:val="24"/>
          <w:lang w:eastAsia="lv-LV"/>
        </w:rPr>
        <w:t>Kopumā vērojama arvien aktīvāka šī procesuālās ekonomijas instrumenta izmantošana situācijās, kad ar noziedzīgu nodarījumu radītais mantiskais zaudējums ir maznozīmīgs. Īpaši jāizceļ Valmieras rajona prokuratūras, Valkas rajona prokuratūras, Limbažu rajona prokuratūras un Gulbenes rajona prokuratūras izteiktais pārākums šajā rādītājā, kas liecina par labu izmeklētāju un prokuroru sadarbību, vienotu izpratni un noturīgu praksi.</w:t>
      </w:r>
    </w:p>
    <w:p w14:paraId="4F8A3B78" w14:textId="77777777" w:rsidR="00D24C95" w:rsidRPr="00B31B36" w:rsidRDefault="00D24C95" w:rsidP="00D24C95">
      <w:pPr>
        <w:spacing w:after="0" w:line="240" w:lineRule="auto"/>
        <w:ind w:firstLine="720"/>
        <w:jc w:val="both"/>
        <w:rPr>
          <w:rFonts w:eastAsia="Times New Roman"/>
          <w:szCs w:val="24"/>
          <w:lang w:eastAsia="lv-LV"/>
        </w:rPr>
      </w:pPr>
    </w:p>
    <w:p w14:paraId="101CFB74" w14:textId="05CC8ABD" w:rsidR="00D24C95" w:rsidRPr="00873568" w:rsidRDefault="00873568" w:rsidP="00E329FC">
      <w:pPr>
        <w:pStyle w:val="ListParagraph"/>
        <w:numPr>
          <w:ilvl w:val="0"/>
          <w:numId w:val="19"/>
        </w:numPr>
        <w:spacing w:after="0" w:line="240" w:lineRule="auto"/>
        <w:rPr>
          <w:rFonts w:eastAsia="Times New Roman"/>
          <w:b/>
          <w:bCs/>
          <w:szCs w:val="24"/>
          <w:lang w:eastAsia="lv-LV"/>
        </w:rPr>
      </w:pPr>
      <w:r>
        <w:rPr>
          <w:noProof/>
        </w:rPr>
        <w:drawing>
          <wp:anchor distT="0" distB="0" distL="114300" distR="114300" simplePos="0" relativeHeight="251719168" behindDoc="0" locked="0" layoutInCell="1" allowOverlap="1" wp14:anchorId="2C777D13" wp14:editId="2BB33E4F">
            <wp:simplePos x="0" y="0"/>
            <wp:positionH relativeFrom="margin">
              <wp:align>center</wp:align>
            </wp:positionH>
            <wp:positionV relativeFrom="paragraph">
              <wp:posOffset>266007</wp:posOffset>
            </wp:positionV>
            <wp:extent cx="5410200" cy="2475865"/>
            <wp:effectExtent l="0" t="0" r="0" b="635"/>
            <wp:wrapTopAndBottom/>
            <wp:docPr id="145" name="Chart 145">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sidR="00D24C95" w:rsidRPr="00F6136E">
        <w:rPr>
          <w:rFonts w:eastAsia="Times New Roman"/>
          <w:b/>
          <w:bCs/>
          <w:szCs w:val="24"/>
          <w:lang w:eastAsia="lv-LV"/>
        </w:rPr>
        <w:t>Dota piekrišana kriminālprocesa apturēšanai izmeklēšanā</w:t>
      </w:r>
    </w:p>
    <w:p w14:paraId="399355F4" w14:textId="77777777" w:rsidR="00873568" w:rsidRDefault="00873568" w:rsidP="00873568">
      <w:pPr>
        <w:spacing w:after="0" w:line="240" w:lineRule="auto"/>
        <w:jc w:val="both"/>
        <w:rPr>
          <w:rFonts w:eastAsia="Times New Roman"/>
          <w:b/>
          <w:bCs/>
          <w:sz w:val="26"/>
          <w:szCs w:val="26"/>
          <w:lang w:eastAsia="lv-LV"/>
        </w:rPr>
      </w:pPr>
    </w:p>
    <w:p w14:paraId="4084AD70" w14:textId="6DD4048C" w:rsidR="00D24C95" w:rsidRDefault="00D24C95" w:rsidP="00D24C95">
      <w:pPr>
        <w:spacing w:after="0" w:line="240" w:lineRule="auto"/>
        <w:ind w:firstLine="720"/>
        <w:jc w:val="both"/>
        <w:rPr>
          <w:rFonts w:eastAsia="Times New Roman"/>
          <w:szCs w:val="24"/>
          <w:lang w:eastAsia="lv-LV"/>
        </w:rPr>
      </w:pPr>
      <w:r w:rsidRPr="00B31B36">
        <w:rPr>
          <w:rFonts w:eastAsia="Times New Roman"/>
          <w:szCs w:val="24"/>
          <w:lang w:eastAsia="lv-LV"/>
        </w:rPr>
        <w:t>2020.</w:t>
      </w:r>
      <w:r w:rsidR="00155ADB">
        <w:rPr>
          <w:rFonts w:eastAsia="Times New Roman"/>
          <w:szCs w:val="24"/>
          <w:lang w:eastAsia="lv-LV"/>
        </w:rPr>
        <w:t> </w:t>
      </w:r>
      <w:r w:rsidRPr="00B31B36">
        <w:rPr>
          <w:rFonts w:eastAsia="Times New Roman"/>
          <w:szCs w:val="24"/>
          <w:lang w:eastAsia="lv-LV"/>
        </w:rPr>
        <w:t>gada rādītāji par Kriminālprocesa likuma 400.</w:t>
      </w:r>
      <w:r w:rsidR="00155ADB">
        <w:rPr>
          <w:rFonts w:eastAsia="Times New Roman"/>
          <w:szCs w:val="24"/>
          <w:lang w:eastAsia="lv-LV"/>
        </w:rPr>
        <w:t> </w:t>
      </w:r>
      <w:r w:rsidRPr="00B31B36">
        <w:rPr>
          <w:rFonts w:eastAsia="Times New Roman"/>
          <w:szCs w:val="24"/>
          <w:lang w:eastAsia="lv-LV"/>
        </w:rPr>
        <w:t xml:space="preserve">panta piemērošanu ļauj izdarīt secinājumu, ka </w:t>
      </w:r>
      <w:r w:rsidR="008530D0">
        <w:rPr>
          <w:rFonts w:eastAsia="Times New Roman"/>
          <w:szCs w:val="24"/>
          <w:lang w:eastAsia="lv-LV"/>
        </w:rPr>
        <w:t xml:space="preserve">Vidzemes </w:t>
      </w:r>
      <w:r w:rsidR="008530D0" w:rsidRPr="00B41DBE">
        <w:t>tiesas apgabal</w:t>
      </w:r>
      <w:r w:rsidR="008530D0">
        <w:t>a prokuratūras darbības teritorijā</w:t>
      </w:r>
      <w:r w:rsidR="008530D0" w:rsidRPr="00B41DBE">
        <w:t xml:space="preserve"> ietilpstošo</w:t>
      </w:r>
      <w:r w:rsidR="008530D0">
        <w:t xml:space="preserve"> rajona līmeņa</w:t>
      </w:r>
      <w:r w:rsidR="008530D0" w:rsidRPr="00B41DBE">
        <w:t xml:space="preserve"> prokuratūr</w:t>
      </w:r>
      <w:r w:rsidR="008530D0">
        <w:t>u</w:t>
      </w:r>
      <w:r w:rsidR="008530D0" w:rsidRPr="00B31B36">
        <w:rPr>
          <w:rFonts w:eastAsia="Times New Roman"/>
          <w:szCs w:val="24"/>
          <w:lang w:eastAsia="lv-LV"/>
        </w:rPr>
        <w:t xml:space="preserve"> </w:t>
      </w:r>
      <w:r w:rsidRPr="00B31B36">
        <w:rPr>
          <w:rFonts w:eastAsia="Times New Roman"/>
          <w:szCs w:val="24"/>
          <w:lang w:eastAsia="lv-LV"/>
        </w:rPr>
        <w:t xml:space="preserve">prokuroru vidū ir nostabilizējusies izpratne par kriminālprocesa apturēšanas procesuālo nozīmi. Jāatzīmē, ka Valmieras rajona prokuratūras rādītāji šajā jomā būtiski </w:t>
      </w:r>
      <w:r w:rsidRPr="00B31B36">
        <w:rPr>
          <w:rFonts w:eastAsia="Times New Roman"/>
          <w:szCs w:val="24"/>
          <w:lang w:eastAsia="lv-LV"/>
        </w:rPr>
        <w:lastRenderedPageBreak/>
        <w:t>uzlabojušies darba organizācijas un sadarbības ar izmeklēšanas iestādēm rezultātā, kā arī nedaudz</w:t>
      </w:r>
      <w:r w:rsidR="00155ADB" w:rsidRPr="00155ADB">
        <w:rPr>
          <w:rFonts w:eastAsia="Times New Roman"/>
          <w:szCs w:val="24"/>
          <w:lang w:eastAsia="lv-LV"/>
        </w:rPr>
        <w:t xml:space="preserve"> </w:t>
      </w:r>
      <w:r w:rsidR="00155ADB" w:rsidRPr="00B31B36">
        <w:rPr>
          <w:rFonts w:eastAsia="Times New Roman"/>
          <w:szCs w:val="24"/>
          <w:lang w:eastAsia="lv-LV"/>
        </w:rPr>
        <w:t>šis rādītājs</w:t>
      </w:r>
      <w:r w:rsidRPr="00B31B36">
        <w:rPr>
          <w:rFonts w:eastAsia="Times New Roman"/>
          <w:szCs w:val="24"/>
          <w:lang w:eastAsia="lv-LV"/>
        </w:rPr>
        <w:t xml:space="preserve"> ir palielinājies arī Alūksnes rajona prokuratūrā.</w:t>
      </w:r>
    </w:p>
    <w:p w14:paraId="3D87D045" w14:textId="77777777" w:rsidR="00F6136E" w:rsidRPr="00B31B36" w:rsidRDefault="00F6136E" w:rsidP="00EE240D">
      <w:pPr>
        <w:spacing w:after="0" w:line="240" w:lineRule="auto"/>
        <w:jc w:val="both"/>
        <w:rPr>
          <w:rFonts w:eastAsia="Times New Roman"/>
          <w:szCs w:val="24"/>
          <w:lang w:eastAsia="lv-LV"/>
        </w:rPr>
      </w:pPr>
    </w:p>
    <w:p w14:paraId="08462DB2" w14:textId="2260EF30" w:rsidR="00D24C95" w:rsidRPr="00EE240D" w:rsidRDefault="00EE240D" w:rsidP="00E329FC">
      <w:pPr>
        <w:pStyle w:val="ListParagraph"/>
        <w:numPr>
          <w:ilvl w:val="0"/>
          <w:numId w:val="19"/>
        </w:numPr>
        <w:spacing w:after="0" w:line="240" w:lineRule="auto"/>
        <w:jc w:val="both"/>
        <w:rPr>
          <w:rFonts w:eastAsia="Times New Roman"/>
          <w:b/>
          <w:bCs/>
          <w:szCs w:val="24"/>
          <w:lang w:eastAsia="lv-LV"/>
        </w:rPr>
      </w:pPr>
      <w:r>
        <w:rPr>
          <w:noProof/>
        </w:rPr>
        <w:drawing>
          <wp:anchor distT="0" distB="0" distL="114300" distR="114300" simplePos="0" relativeHeight="251721216" behindDoc="0" locked="0" layoutInCell="1" allowOverlap="1" wp14:anchorId="28E87C28" wp14:editId="4BB75372">
            <wp:simplePos x="0" y="0"/>
            <wp:positionH relativeFrom="margin">
              <wp:align>center</wp:align>
            </wp:positionH>
            <wp:positionV relativeFrom="paragraph">
              <wp:posOffset>228311</wp:posOffset>
            </wp:positionV>
            <wp:extent cx="5384800" cy="2410460"/>
            <wp:effectExtent l="0" t="0" r="6350" b="8890"/>
            <wp:wrapTopAndBottom/>
            <wp:docPr id="146" name="Chart 146">
              <a:extLst xmlns:a="http://schemas.openxmlformats.org/drawingml/2006/main">
                <a:ext uri="{FF2B5EF4-FFF2-40B4-BE49-F238E27FC236}">
                  <a16:creationId xmlns:a16="http://schemas.microsoft.com/office/drawing/2014/main" id="{00000000-0008-0000-01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sidR="00D24C95" w:rsidRPr="00F6136E">
        <w:rPr>
          <w:rFonts w:eastAsia="Times New Roman"/>
          <w:b/>
          <w:bCs/>
          <w:szCs w:val="24"/>
          <w:lang w:eastAsia="lv-LV"/>
        </w:rPr>
        <w:t>Prokuroru dotie norādījumi</w:t>
      </w:r>
    </w:p>
    <w:p w14:paraId="0753B612" w14:textId="447741B5" w:rsidR="00D24C95" w:rsidRPr="000A2682" w:rsidRDefault="00D24C95" w:rsidP="00D24C95">
      <w:pPr>
        <w:spacing w:after="0" w:line="240" w:lineRule="auto"/>
        <w:ind w:firstLine="720"/>
        <w:jc w:val="both"/>
        <w:rPr>
          <w:rFonts w:eastAsia="Times New Roman"/>
          <w:b/>
          <w:bCs/>
          <w:sz w:val="26"/>
          <w:szCs w:val="26"/>
          <w:lang w:eastAsia="lv-LV"/>
        </w:rPr>
      </w:pPr>
    </w:p>
    <w:p w14:paraId="317C910E" w14:textId="63403736" w:rsidR="00D24C95" w:rsidRPr="00B31B36" w:rsidRDefault="006A5C2B" w:rsidP="00D24C95">
      <w:pPr>
        <w:spacing w:after="0" w:line="240" w:lineRule="auto"/>
        <w:ind w:firstLine="720"/>
        <w:jc w:val="both"/>
        <w:rPr>
          <w:rFonts w:eastAsia="Times New Roman"/>
          <w:szCs w:val="24"/>
          <w:lang w:eastAsia="lv-LV"/>
        </w:rPr>
      </w:pPr>
      <w:r>
        <w:rPr>
          <w:rFonts w:eastAsia="Times New Roman"/>
          <w:szCs w:val="24"/>
          <w:lang w:eastAsia="lv-LV"/>
        </w:rPr>
        <w:t xml:space="preserve">Vidzemes </w:t>
      </w:r>
      <w:r w:rsidRPr="00B41DBE">
        <w:t>tiesas apgabal</w:t>
      </w:r>
      <w:r>
        <w:t>a prokuratūras darbības teritorijā</w:t>
      </w:r>
      <w:r w:rsidRPr="00B41DBE">
        <w:t xml:space="preserve"> ietilpstošo</w:t>
      </w:r>
      <w:r>
        <w:t xml:space="preserve"> rajona līmeņa</w:t>
      </w:r>
      <w:r w:rsidRPr="00B41DBE">
        <w:t xml:space="preserve"> prokuratūr</w:t>
      </w:r>
      <w:r>
        <w:t>u</w:t>
      </w:r>
      <w:r w:rsidRPr="00B31B36">
        <w:rPr>
          <w:rFonts w:eastAsia="Times New Roman"/>
          <w:szCs w:val="24"/>
          <w:lang w:eastAsia="lv-LV"/>
        </w:rPr>
        <w:t xml:space="preserve"> </w:t>
      </w:r>
      <w:r w:rsidR="00D24C95" w:rsidRPr="00B31B36">
        <w:rPr>
          <w:rFonts w:eastAsia="Times New Roman"/>
          <w:szCs w:val="24"/>
          <w:lang w:eastAsia="lv-LV"/>
        </w:rPr>
        <w:t>prokurori nemainīgi aktīvi izmanto galveno izmeklēšanas uzraudzības līdzekli – prokurora norādījumus par izmeklēšanas virzienu un izmeklēšanas darbību veikšanu. Jāatzīmē, ka šajos rādītājos Madonas rajona prokuratūrā, Limbažu rajona prokuratūrā un Cēsu rajona prokuratūrā vērojams būtisks pieaugums, kas ir darba organizācijas un sadarbības ar izmeklēšanas iestādēm uzlabošan</w:t>
      </w:r>
      <w:r w:rsidR="0060618F">
        <w:rPr>
          <w:rFonts w:eastAsia="Times New Roman"/>
          <w:szCs w:val="24"/>
          <w:lang w:eastAsia="lv-LV"/>
        </w:rPr>
        <w:t>ā</w:t>
      </w:r>
      <w:r w:rsidR="00D24C95" w:rsidRPr="00B31B36">
        <w:rPr>
          <w:rFonts w:eastAsia="Times New Roman"/>
          <w:szCs w:val="24"/>
          <w:lang w:eastAsia="lv-LV"/>
        </w:rPr>
        <w:t xml:space="preserve">s rezultāts. </w:t>
      </w:r>
      <w:r>
        <w:rPr>
          <w:rFonts w:eastAsia="Times New Roman"/>
          <w:szCs w:val="24"/>
          <w:lang w:eastAsia="lv-LV"/>
        </w:rPr>
        <w:t xml:space="preserve">Tāpat </w:t>
      </w:r>
      <w:r w:rsidR="00D24C95" w:rsidRPr="00B31B36">
        <w:rPr>
          <w:rFonts w:eastAsia="Times New Roman"/>
          <w:szCs w:val="24"/>
          <w:lang w:eastAsia="lv-LV"/>
        </w:rPr>
        <w:t>neliels pieaugums vērojams Alūksnes rajona prokuratūrā un Gulbenes rajona prokuratūrā, kas arī ir ļoti pozitīvi vērtējams, jo prokurori aktīvi iesaistās kriminālprocesu uzraudzības veikšanā un sadarbības ar procesa virzītājiem pilnveidošanā.</w:t>
      </w:r>
    </w:p>
    <w:p w14:paraId="24E720FE" w14:textId="77777777" w:rsidR="00D24C95" w:rsidRPr="00B31B36" w:rsidRDefault="00D24C95" w:rsidP="005A47B0">
      <w:pPr>
        <w:spacing w:after="0" w:line="240" w:lineRule="auto"/>
        <w:jc w:val="both"/>
        <w:rPr>
          <w:rFonts w:eastAsia="Times New Roman"/>
          <w:szCs w:val="24"/>
          <w:lang w:eastAsia="lv-LV"/>
        </w:rPr>
      </w:pPr>
    </w:p>
    <w:p w14:paraId="51E972F5" w14:textId="380BBAB1" w:rsidR="00D24C95" w:rsidRPr="00F6136E" w:rsidRDefault="003F4A69" w:rsidP="00E329FC">
      <w:pPr>
        <w:pStyle w:val="ListParagraph"/>
        <w:numPr>
          <w:ilvl w:val="0"/>
          <w:numId w:val="19"/>
        </w:numPr>
        <w:spacing w:after="0" w:line="240" w:lineRule="auto"/>
        <w:rPr>
          <w:rFonts w:eastAsia="Times New Roman"/>
          <w:b/>
          <w:bCs/>
          <w:szCs w:val="24"/>
          <w:lang w:eastAsia="lv-LV"/>
        </w:rPr>
      </w:pPr>
      <w:r>
        <w:rPr>
          <w:noProof/>
        </w:rPr>
        <w:drawing>
          <wp:anchor distT="0" distB="0" distL="114300" distR="114300" simplePos="0" relativeHeight="251723264" behindDoc="0" locked="0" layoutInCell="1" allowOverlap="1" wp14:anchorId="588F6EB0" wp14:editId="538F35B1">
            <wp:simplePos x="0" y="0"/>
            <wp:positionH relativeFrom="margin">
              <wp:align>center</wp:align>
            </wp:positionH>
            <wp:positionV relativeFrom="paragraph">
              <wp:posOffset>416271</wp:posOffset>
            </wp:positionV>
            <wp:extent cx="5410200" cy="2952750"/>
            <wp:effectExtent l="0" t="0" r="0" b="0"/>
            <wp:wrapTopAndBottom/>
            <wp:docPr id="148" name="Chart 148">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sidR="00D24C95" w:rsidRPr="00F6136E">
        <w:rPr>
          <w:rFonts w:eastAsia="Times New Roman"/>
          <w:b/>
          <w:bCs/>
          <w:szCs w:val="24"/>
          <w:lang w:eastAsia="lv-LV"/>
        </w:rPr>
        <w:t xml:space="preserve">Valsts apsūdzības uzturēšana </w:t>
      </w:r>
      <w:r w:rsidR="0060618F">
        <w:rPr>
          <w:rFonts w:eastAsia="Times New Roman"/>
          <w:b/>
          <w:bCs/>
          <w:szCs w:val="24"/>
          <w:lang w:eastAsia="lv-LV"/>
        </w:rPr>
        <w:t xml:space="preserve">pirmās </w:t>
      </w:r>
      <w:r w:rsidR="00D24C95" w:rsidRPr="00F6136E">
        <w:rPr>
          <w:rFonts w:eastAsia="Times New Roman"/>
          <w:b/>
          <w:bCs/>
          <w:szCs w:val="24"/>
          <w:lang w:eastAsia="lv-LV"/>
        </w:rPr>
        <w:t xml:space="preserve">instances tiesā (izskatītas </w:t>
      </w:r>
      <w:r w:rsidR="006A5C2B">
        <w:rPr>
          <w:rFonts w:eastAsia="Times New Roman"/>
          <w:b/>
          <w:bCs/>
          <w:szCs w:val="24"/>
          <w:lang w:eastAsia="lv-LV"/>
        </w:rPr>
        <w:t>krimināl</w:t>
      </w:r>
      <w:r w:rsidR="00D24C95" w:rsidRPr="00F6136E">
        <w:rPr>
          <w:rFonts w:eastAsia="Times New Roman"/>
          <w:b/>
          <w:bCs/>
          <w:szCs w:val="24"/>
          <w:lang w:eastAsia="lv-LV"/>
        </w:rPr>
        <w:t>lietas), no tām bez pierādījumu pārbaudes</w:t>
      </w:r>
    </w:p>
    <w:p w14:paraId="12CE966E" w14:textId="2021E09F" w:rsidR="00D24C95" w:rsidRDefault="00D24C95" w:rsidP="003F4A69">
      <w:pPr>
        <w:spacing w:after="0" w:line="240" w:lineRule="auto"/>
        <w:rPr>
          <w:rFonts w:eastAsia="Times New Roman"/>
          <w:b/>
          <w:bCs/>
          <w:sz w:val="26"/>
          <w:szCs w:val="26"/>
          <w:lang w:eastAsia="lv-LV"/>
        </w:rPr>
      </w:pPr>
    </w:p>
    <w:p w14:paraId="1A6DC784" w14:textId="77777777" w:rsidR="00D24C95" w:rsidRPr="00B31B36" w:rsidRDefault="00D24C95" w:rsidP="00D24C95">
      <w:pPr>
        <w:spacing w:after="0" w:line="240" w:lineRule="auto"/>
        <w:ind w:firstLine="720"/>
        <w:jc w:val="both"/>
        <w:rPr>
          <w:rFonts w:eastAsia="Times New Roman"/>
          <w:szCs w:val="24"/>
          <w:lang w:eastAsia="lv-LV"/>
        </w:rPr>
      </w:pPr>
      <w:r w:rsidRPr="00B31B36">
        <w:rPr>
          <w:rFonts w:eastAsia="Times New Roman"/>
          <w:szCs w:val="24"/>
          <w:lang w:eastAsia="lv-LV"/>
        </w:rPr>
        <w:t>Būtisks prokuratūras pamatdarbības virziens krimināltiesiskajā sfērā ir valsts apsūdzības uzturēšana tiesā.</w:t>
      </w:r>
    </w:p>
    <w:p w14:paraId="751117AB" w14:textId="589E4B59" w:rsidR="00531DB9" w:rsidRDefault="00D24C95" w:rsidP="00D24C95">
      <w:pPr>
        <w:spacing w:after="0" w:line="240" w:lineRule="auto"/>
        <w:ind w:firstLine="720"/>
        <w:jc w:val="both"/>
        <w:rPr>
          <w:rFonts w:eastAsia="Times New Roman"/>
          <w:szCs w:val="24"/>
          <w:lang w:eastAsia="lv-LV"/>
        </w:rPr>
      </w:pPr>
      <w:r w:rsidRPr="00B31B36">
        <w:rPr>
          <w:rFonts w:eastAsia="Times New Roman"/>
          <w:szCs w:val="24"/>
          <w:lang w:eastAsia="lv-LV"/>
        </w:rPr>
        <w:lastRenderedPageBreak/>
        <w:t>2020.</w:t>
      </w:r>
      <w:r w:rsidR="0060618F">
        <w:rPr>
          <w:rFonts w:eastAsia="Times New Roman"/>
          <w:szCs w:val="24"/>
          <w:lang w:eastAsia="lv-LV"/>
        </w:rPr>
        <w:t> </w:t>
      </w:r>
      <w:r w:rsidRPr="00B31B36">
        <w:rPr>
          <w:rFonts w:eastAsia="Times New Roman"/>
          <w:szCs w:val="24"/>
          <w:lang w:eastAsia="lv-LV"/>
        </w:rPr>
        <w:t xml:space="preserve">gadā Vidzemes </w:t>
      </w:r>
      <w:r w:rsidR="006A5C2B" w:rsidRPr="00B41DBE">
        <w:t>tiesas apgabal</w:t>
      </w:r>
      <w:r w:rsidR="006A5C2B">
        <w:t>a prokuratūras darbības teritorijā</w:t>
      </w:r>
      <w:r w:rsidR="006A5C2B" w:rsidRPr="00B41DBE">
        <w:t xml:space="preserve"> ietilpstošo</w:t>
      </w:r>
      <w:r w:rsidR="006A5C2B">
        <w:t xml:space="preserve"> rajona līmeņa</w:t>
      </w:r>
      <w:r w:rsidR="006A5C2B" w:rsidRPr="00B41DBE">
        <w:t xml:space="preserve"> prokuratūr</w:t>
      </w:r>
      <w:r w:rsidR="006A5C2B">
        <w:t>u</w:t>
      </w:r>
      <w:r w:rsidRPr="00B31B36">
        <w:rPr>
          <w:rFonts w:eastAsia="Times New Roman"/>
          <w:szCs w:val="24"/>
          <w:lang w:eastAsia="lv-LV"/>
        </w:rPr>
        <w:t xml:space="preserve"> prokurori piedalījušies 870</w:t>
      </w:r>
      <w:r w:rsidR="0060618F">
        <w:rPr>
          <w:rFonts w:eastAsia="Times New Roman"/>
          <w:szCs w:val="24"/>
          <w:lang w:eastAsia="lv-LV"/>
        </w:rPr>
        <w:t xml:space="preserve"> krimināllietu izskatīšanā pirmās </w:t>
      </w:r>
      <w:r w:rsidRPr="00B31B36">
        <w:rPr>
          <w:rFonts w:eastAsia="Times New Roman"/>
          <w:szCs w:val="24"/>
          <w:lang w:eastAsia="lv-LV"/>
        </w:rPr>
        <w:t>instances tiesā ar nolēmuma pieņemšanu, no tām 613</w:t>
      </w:r>
      <w:r w:rsidR="00531DB9">
        <w:rPr>
          <w:rFonts w:eastAsia="Times New Roman"/>
          <w:szCs w:val="24"/>
          <w:lang w:eastAsia="lv-LV"/>
        </w:rPr>
        <w:t> </w:t>
      </w:r>
      <w:r w:rsidRPr="00B31B36">
        <w:rPr>
          <w:rFonts w:eastAsia="Times New Roman"/>
          <w:szCs w:val="24"/>
          <w:lang w:eastAsia="lv-LV"/>
        </w:rPr>
        <w:t>krimināllietas izskatītas bez pierādījumu pārbaudes. Savukārt 2019.</w:t>
      </w:r>
      <w:r w:rsidR="00531DB9">
        <w:rPr>
          <w:rFonts w:eastAsia="Times New Roman"/>
          <w:szCs w:val="24"/>
          <w:lang w:eastAsia="lv-LV"/>
        </w:rPr>
        <w:t> </w:t>
      </w:r>
      <w:r w:rsidRPr="00B31B36">
        <w:rPr>
          <w:rFonts w:eastAsia="Times New Roman"/>
          <w:szCs w:val="24"/>
          <w:lang w:eastAsia="lv-LV"/>
        </w:rPr>
        <w:t xml:space="preserve">gadā prokurori </w:t>
      </w:r>
      <w:r w:rsidR="00531DB9">
        <w:rPr>
          <w:rFonts w:eastAsia="Times New Roman"/>
          <w:szCs w:val="24"/>
          <w:lang w:eastAsia="lv-LV"/>
        </w:rPr>
        <w:t>bija piedalījušies</w:t>
      </w:r>
      <w:r w:rsidRPr="00B31B36">
        <w:rPr>
          <w:rFonts w:eastAsia="Times New Roman"/>
          <w:szCs w:val="24"/>
          <w:lang w:eastAsia="lv-LV"/>
        </w:rPr>
        <w:t xml:space="preserve"> 890</w:t>
      </w:r>
      <w:r w:rsidR="00531DB9">
        <w:rPr>
          <w:rFonts w:eastAsia="Times New Roman"/>
          <w:szCs w:val="24"/>
          <w:lang w:eastAsia="lv-LV"/>
        </w:rPr>
        <w:t> </w:t>
      </w:r>
      <w:r w:rsidRPr="00B31B36">
        <w:rPr>
          <w:rFonts w:eastAsia="Times New Roman"/>
          <w:szCs w:val="24"/>
          <w:lang w:eastAsia="lv-LV"/>
        </w:rPr>
        <w:t xml:space="preserve">krimināllietu izskatīšanā </w:t>
      </w:r>
      <w:r w:rsidR="00531DB9">
        <w:rPr>
          <w:rFonts w:eastAsia="Times New Roman"/>
          <w:szCs w:val="24"/>
          <w:lang w:eastAsia="lv-LV"/>
        </w:rPr>
        <w:t xml:space="preserve">pirmās </w:t>
      </w:r>
      <w:r w:rsidRPr="00B31B36">
        <w:rPr>
          <w:rFonts w:eastAsia="Times New Roman"/>
          <w:szCs w:val="24"/>
          <w:lang w:eastAsia="lv-LV"/>
        </w:rPr>
        <w:t>instances tiesā, no tām 623</w:t>
      </w:r>
      <w:r w:rsidR="00531DB9">
        <w:rPr>
          <w:rFonts w:eastAsia="Times New Roman"/>
          <w:szCs w:val="24"/>
          <w:lang w:eastAsia="lv-LV"/>
        </w:rPr>
        <w:t> </w:t>
      </w:r>
      <w:r w:rsidRPr="00B31B36">
        <w:rPr>
          <w:rFonts w:eastAsia="Times New Roman"/>
          <w:szCs w:val="24"/>
          <w:lang w:eastAsia="lv-LV"/>
        </w:rPr>
        <w:t xml:space="preserve">krimināllietas izskatītas bez pierādījumu pārbaudes. Praktiski šie rādītāji </w:t>
      </w:r>
      <w:r w:rsidR="00531DB9" w:rsidRPr="00B31B36">
        <w:rPr>
          <w:rFonts w:eastAsia="Times New Roman"/>
          <w:szCs w:val="24"/>
          <w:lang w:eastAsia="lv-LV"/>
        </w:rPr>
        <w:t>2020.</w:t>
      </w:r>
      <w:r w:rsidR="00531DB9">
        <w:rPr>
          <w:rFonts w:eastAsia="Times New Roman"/>
          <w:szCs w:val="24"/>
          <w:lang w:eastAsia="lv-LV"/>
        </w:rPr>
        <w:t> </w:t>
      </w:r>
      <w:r w:rsidR="00531DB9" w:rsidRPr="00B31B36">
        <w:rPr>
          <w:rFonts w:eastAsia="Times New Roman"/>
          <w:szCs w:val="24"/>
          <w:lang w:eastAsia="lv-LV"/>
        </w:rPr>
        <w:t xml:space="preserve">gadā </w:t>
      </w:r>
      <w:r w:rsidRPr="00B31B36">
        <w:rPr>
          <w:rFonts w:eastAsia="Times New Roman"/>
          <w:szCs w:val="24"/>
          <w:lang w:eastAsia="lv-LV"/>
        </w:rPr>
        <w:t>tikai mazliet ir samazinājušies, salīdzinot ar 2019</w:t>
      </w:r>
      <w:r w:rsidR="00531DB9">
        <w:rPr>
          <w:rFonts w:eastAsia="Times New Roman"/>
          <w:szCs w:val="24"/>
          <w:lang w:eastAsia="lv-LV"/>
        </w:rPr>
        <w:t>. </w:t>
      </w:r>
      <w:r w:rsidRPr="00B31B36">
        <w:rPr>
          <w:rFonts w:eastAsia="Times New Roman"/>
          <w:szCs w:val="24"/>
          <w:lang w:eastAsia="lv-LV"/>
        </w:rPr>
        <w:t xml:space="preserve">gadu. </w:t>
      </w:r>
    </w:p>
    <w:p w14:paraId="365F9770" w14:textId="6B9D25D3" w:rsidR="00EF31E1" w:rsidRDefault="00D24C95" w:rsidP="00D24C95">
      <w:pPr>
        <w:spacing w:after="0" w:line="240" w:lineRule="auto"/>
        <w:ind w:firstLine="720"/>
        <w:jc w:val="both"/>
        <w:rPr>
          <w:rFonts w:eastAsia="Times New Roman"/>
          <w:szCs w:val="24"/>
          <w:lang w:eastAsia="lv-LV"/>
        </w:rPr>
      </w:pPr>
      <w:r w:rsidRPr="00B31B36">
        <w:rPr>
          <w:rFonts w:eastAsia="Times New Roman"/>
          <w:szCs w:val="24"/>
          <w:lang w:eastAsia="lv-LV"/>
        </w:rPr>
        <w:t>Vismazāk krimināllietu bez pierādījumu pārbaudes izskatīts ar Gulbenes rajona prokuratūras prokuroru (46,15</w:t>
      </w:r>
      <w:r w:rsidR="00531DB9">
        <w:rPr>
          <w:rFonts w:eastAsia="Times New Roman"/>
          <w:szCs w:val="24"/>
          <w:lang w:eastAsia="lv-LV"/>
        </w:rPr>
        <w:t> </w:t>
      </w:r>
      <w:r w:rsidRPr="00B31B36">
        <w:rPr>
          <w:rFonts w:eastAsia="Times New Roman"/>
          <w:szCs w:val="24"/>
          <w:lang w:eastAsia="lv-LV"/>
        </w:rPr>
        <w:t xml:space="preserve">%) un Valmieras rajona prokuratūras prokuroru (55,49 </w:t>
      </w:r>
      <w:r w:rsidR="00531DB9">
        <w:rPr>
          <w:rFonts w:eastAsia="Times New Roman"/>
          <w:szCs w:val="24"/>
          <w:lang w:eastAsia="lv-LV"/>
        </w:rPr>
        <w:t> </w:t>
      </w:r>
      <w:r w:rsidRPr="00B31B36">
        <w:rPr>
          <w:rFonts w:eastAsia="Times New Roman"/>
          <w:szCs w:val="24"/>
          <w:lang w:eastAsia="lv-LV"/>
        </w:rPr>
        <w:t>%)</w:t>
      </w:r>
      <w:r w:rsidR="00531DB9">
        <w:rPr>
          <w:rFonts w:eastAsia="Times New Roman"/>
          <w:szCs w:val="24"/>
          <w:lang w:eastAsia="lv-LV"/>
        </w:rPr>
        <w:t xml:space="preserve"> piedalīšanos</w:t>
      </w:r>
      <w:r w:rsidRPr="00B31B36">
        <w:rPr>
          <w:rFonts w:eastAsia="Times New Roman"/>
          <w:szCs w:val="24"/>
          <w:lang w:eastAsia="lv-LV"/>
        </w:rPr>
        <w:t xml:space="preserve">, bet kopumā Vidzemes tiesas apgabalā </w:t>
      </w:r>
      <w:r w:rsidR="00EF31E1">
        <w:rPr>
          <w:rFonts w:eastAsia="Times New Roman"/>
          <w:szCs w:val="24"/>
          <w:lang w:eastAsia="lv-LV"/>
        </w:rPr>
        <w:t xml:space="preserve">2020. gadā </w:t>
      </w:r>
      <w:r w:rsidR="00531DB9">
        <w:rPr>
          <w:rFonts w:eastAsia="Times New Roman"/>
          <w:szCs w:val="24"/>
          <w:lang w:eastAsia="lv-LV"/>
        </w:rPr>
        <w:t xml:space="preserve">pirmās instances </w:t>
      </w:r>
      <w:r w:rsidRPr="00B31B36">
        <w:rPr>
          <w:rFonts w:eastAsia="Times New Roman"/>
          <w:szCs w:val="24"/>
          <w:lang w:eastAsia="lv-LV"/>
        </w:rPr>
        <w:t>tiesā 70,45</w:t>
      </w:r>
      <w:r w:rsidR="00EF31E1">
        <w:rPr>
          <w:rFonts w:eastAsia="Times New Roman"/>
          <w:szCs w:val="24"/>
          <w:lang w:eastAsia="lv-LV"/>
        </w:rPr>
        <w:t> </w:t>
      </w:r>
      <w:r w:rsidRPr="00B31B36">
        <w:rPr>
          <w:rFonts w:eastAsia="Times New Roman"/>
          <w:szCs w:val="24"/>
          <w:lang w:eastAsia="lv-LV"/>
        </w:rPr>
        <w:t xml:space="preserve">% krimināllietu </w:t>
      </w:r>
      <w:r w:rsidR="00EF31E1" w:rsidRPr="00B31B36">
        <w:rPr>
          <w:rFonts w:eastAsia="Times New Roman"/>
          <w:szCs w:val="24"/>
          <w:lang w:eastAsia="lv-LV"/>
        </w:rPr>
        <w:t>(2019.</w:t>
      </w:r>
      <w:r w:rsidR="00EF31E1">
        <w:rPr>
          <w:rFonts w:eastAsia="Times New Roman"/>
          <w:szCs w:val="24"/>
          <w:lang w:eastAsia="lv-LV"/>
        </w:rPr>
        <w:t> </w:t>
      </w:r>
      <w:r w:rsidR="00EF31E1" w:rsidRPr="00B31B36">
        <w:rPr>
          <w:rFonts w:eastAsia="Times New Roman"/>
          <w:szCs w:val="24"/>
          <w:lang w:eastAsia="lv-LV"/>
        </w:rPr>
        <w:t>gadā – 70</w:t>
      </w:r>
      <w:r w:rsidR="00EF31E1">
        <w:rPr>
          <w:rFonts w:eastAsia="Times New Roman"/>
          <w:szCs w:val="24"/>
          <w:lang w:eastAsia="lv-LV"/>
        </w:rPr>
        <w:t> </w:t>
      </w:r>
      <w:r w:rsidR="00EF31E1" w:rsidRPr="00B31B36">
        <w:rPr>
          <w:rFonts w:eastAsia="Times New Roman"/>
          <w:szCs w:val="24"/>
          <w:lang w:eastAsia="lv-LV"/>
        </w:rPr>
        <w:t>%</w:t>
      </w:r>
      <w:r w:rsidR="00EF31E1">
        <w:rPr>
          <w:rFonts w:eastAsia="Times New Roman"/>
          <w:szCs w:val="24"/>
          <w:lang w:eastAsia="lv-LV"/>
        </w:rPr>
        <w:t xml:space="preserve"> krimināllietu</w:t>
      </w:r>
      <w:r w:rsidR="00EF31E1" w:rsidRPr="00B31B36">
        <w:rPr>
          <w:rFonts w:eastAsia="Times New Roman"/>
          <w:szCs w:val="24"/>
          <w:lang w:eastAsia="lv-LV"/>
        </w:rPr>
        <w:t>)</w:t>
      </w:r>
      <w:r w:rsidRPr="00B31B36">
        <w:rPr>
          <w:rFonts w:eastAsia="Times New Roman"/>
          <w:szCs w:val="24"/>
          <w:lang w:eastAsia="lv-LV"/>
        </w:rPr>
        <w:t xml:space="preserve"> izskatītas bez pierādījumu pārbaudes.</w:t>
      </w:r>
    </w:p>
    <w:p w14:paraId="28695940" w14:textId="0FE31CF7" w:rsidR="00203F14" w:rsidRDefault="00D24C95" w:rsidP="008530D0">
      <w:pPr>
        <w:spacing w:after="0" w:line="240" w:lineRule="auto"/>
        <w:ind w:firstLine="720"/>
        <w:jc w:val="both"/>
        <w:rPr>
          <w:rFonts w:eastAsia="Times New Roman"/>
          <w:szCs w:val="24"/>
          <w:lang w:eastAsia="lv-LV"/>
        </w:rPr>
      </w:pPr>
      <w:r w:rsidRPr="00B31B36">
        <w:rPr>
          <w:rFonts w:eastAsia="Times New Roman"/>
          <w:szCs w:val="24"/>
          <w:lang w:eastAsia="lv-LV"/>
        </w:rPr>
        <w:t xml:space="preserve"> Krimināl</w:t>
      </w:r>
      <w:r w:rsidR="0078340A">
        <w:rPr>
          <w:rFonts w:eastAsia="Times New Roman"/>
          <w:szCs w:val="24"/>
          <w:lang w:eastAsia="lv-LV"/>
        </w:rPr>
        <w:t>lietu</w:t>
      </w:r>
      <w:r w:rsidRPr="00B31B36">
        <w:rPr>
          <w:rFonts w:eastAsia="Times New Roman"/>
          <w:szCs w:val="24"/>
          <w:lang w:eastAsia="lv-LV"/>
        </w:rPr>
        <w:t xml:space="preserve"> iztiesāšanas skaita samazinājumu var izskaidrot ar to, ka </w:t>
      </w:r>
      <w:r w:rsidR="006A5C2B">
        <w:rPr>
          <w:rFonts w:eastAsia="Times New Roman"/>
          <w:szCs w:val="24"/>
          <w:lang w:eastAsia="lv-LV"/>
        </w:rPr>
        <w:t xml:space="preserve">Vidzemes tiesas </w:t>
      </w:r>
      <w:r w:rsidR="006A5C2B" w:rsidRPr="00B31B36">
        <w:rPr>
          <w:rFonts w:eastAsia="Times New Roman"/>
          <w:szCs w:val="24"/>
          <w:lang w:eastAsia="lv-LV"/>
        </w:rPr>
        <w:t xml:space="preserve">apgabalā un valstī pēdējos gados </w:t>
      </w:r>
      <w:r w:rsidRPr="00B31B36">
        <w:rPr>
          <w:rFonts w:eastAsia="Times New Roman"/>
          <w:szCs w:val="24"/>
          <w:lang w:eastAsia="lv-LV"/>
        </w:rPr>
        <w:t>samazinājies izdarīto un reģistrēto noziedzīgo nodarījumu skaits, attiecīgi mazāk tiek uzsākti kriminālprocesi, līdz ar to ir samazinājies  prokuroriem kriminālvajāšanas uzsākšanai nodoto kriminālprocesu skaits, tādējādi arī mazāk krimināl</w:t>
      </w:r>
      <w:r w:rsidR="0078340A">
        <w:rPr>
          <w:rFonts w:eastAsia="Times New Roman"/>
          <w:szCs w:val="24"/>
          <w:lang w:eastAsia="lv-LV"/>
        </w:rPr>
        <w:t xml:space="preserve">lietu </w:t>
      </w:r>
      <w:r w:rsidRPr="00B31B36">
        <w:rPr>
          <w:rFonts w:eastAsia="Times New Roman"/>
          <w:szCs w:val="24"/>
          <w:lang w:eastAsia="lv-LV"/>
        </w:rPr>
        <w:t xml:space="preserve"> tiek no</w:t>
      </w:r>
      <w:r w:rsidR="0078340A">
        <w:rPr>
          <w:rFonts w:eastAsia="Times New Roman"/>
          <w:szCs w:val="24"/>
          <w:lang w:eastAsia="lv-LV"/>
        </w:rPr>
        <w:t>dotas</w:t>
      </w:r>
      <w:r w:rsidRPr="00B31B36">
        <w:rPr>
          <w:rFonts w:eastAsia="Times New Roman"/>
          <w:szCs w:val="24"/>
          <w:lang w:eastAsia="lv-LV"/>
        </w:rPr>
        <w:t xml:space="preserve"> tiesai. Svarīgi ir arī tas, ka prokurori izmanto iespējas pabeigt kriminālprocesu prokuratūrā, piemērojot prokurora priekšrakstu par sodu vai nosacīti atbrīvojot personu no kriminālatbildības. Būtisks iemesls</w:t>
      </w:r>
      <w:r w:rsidR="00251F86">
        <w:rPr>
          <w:rFonts w:eastAsia="Times New Roman"/>
          <w:szCs w:val="24"/>
          <w:lang w:eastAsia="lv-LV"/>
        </w:rPr>
        <w:t>, kas ietekmē tiesībaizsardzības iestāžu darbu,</w:t>
      </w:r>
      <w:r w:rsidRPr="00B31B36">
        <w:rPr>
          <w:rFonts w:eastAsia="Times New Roman"/>
          <w:szCs w:val="24"/>
          <w:lang w:eastAsia="lv-LV"/>
        </w:rPr>
        <w:t xml:space="preserve"> ir arī </w:t>
      </w:r>
      <w:r w:rsidR="006A5C2B" w:rsidRPr="00B31B36">
        <w:rPr>
          <w:rFonts w:eastAsia="Times New Roman"/>
          <w:szCs w:val="24"/>
          <w:lang w:eastAsia="lv-LV"/>
        </w:rPr>
        <w:t>saistī</w:t>
      </w:r>
      <w:r w:rsidR="006A5C2B">
        <w:rPr>
          <w:rFonts w:eastAsia="Times New Roman"/>
          <w:szCs w:val="24"/>
          <w:lang w:eastAsia="lv-LV"/>
        </w:rPr>
        <w:t>bā</w:t>
      </w:r>
      <w:r w:rsidR="006A5C2B" w:rsidRPr="00B31B36">
        <w:rPr>
          <w:rFonts w:eastAsia="Times New Roman"/>
          <w:szCs w:val="24"/>
          <w:lang w:eastAsia="lv-LV"/>
        </w:rPr>
        <w:t xml:space="preserve"> ar </w:t>
      </w:r>
      <w:r w:rsidR="006A5C2B">
        <w:rPr>
          <w:rFonts w:eastAsia="Times New Roman"/>
          <w:szCs w:val="24"/>
          <w:lang w:eastAsia="lv-LV"/>
        </w:rPr>
        <w:t>Covid</w:t>
      </w:r>
      <w:r w:rsidR="006A5C2B" w:rsidRPr="00B31B36">
        <w:rPr>
          <w:rFonts w:eastAsia="Times New Roman"/>
          <w:szCs w:val="24"/>
          <w:lang w:eastAsia="lv-LV"/>
        </w:rPr>
        <w:t>-19</w:t>
      </w:r>
      <w:r w:rsidR="006A5C2B">
        <w:rPr>
          <w:rFonts w:eastAsia="Times New Roman"/>
          <w:szCs w:val="24"/>
          <w:lang w:eastAsia="lv-LV"/>
        </w:rPr>
        <w:t xml:space="preserve"> </w:t>
      </w:r>
      <w:r w:rsidR="006A5C2B" w:rsidRPr="00B31B36">
        <w:rPr>
          <w:rFonts w:eastAsia="Times New Roman"/>
          <w:szCs w:val="24"/>
          <w:lang w:eastAsia="lv-LV"/>
        </w:rPr>
        <w:t>ierobežo</w:t>
      </w:r>
      <w:r w:rsidR="006A5C2B">
        <w:rPr>
          <w:rFonts w:eastAsia="Times New Roman"/>
          <w:szCs w:val="24"/>
          <w:lang w:eastAsia="lv-LV"/>
        </w:rPr>
        <w:t>šanu izsludinātā</w:t>
      </w:r>
      <w:r w:rsidR="006A5C2B" w:rsidRPr="00B31B36">
        <w:rPr>
          <w:rFonts w:eastAsia="Times New Roman"/>
          <w:szCs w:val="24"/>
          <w:lang w:eastAsia="lv-LV"/>
        </w:rPr>
        <w:t xml:space="preserve"> </w:t>
      </w:r>
      <w:r w:rsidRPr="00B31B36">
        <w:rPr>
          <w:rFonts w:eastAsia="Times New Roman"/>
          <w:szCs w:val="24"/>
          <w:lang w:eastAsia="lv-LV"/>
        </w:rPr>
        <w:t>ārkārt</w:t>
      </w:r>
      <w:r w:rsidR="0078340A">
        <w:rPr>
          <w:rFonts w:eastAsia="Times New Roman"/>
          <w:szCs w:val="24"/>
          <w:lang w:eastAsia="lv-LV"/>
        </w:rPr>
        <w:t xml:space="preserve">ējā </w:t>
      </w:r>
      <w:r w:rsidRPr="00B31B36">
        <w:rPr>
          <w:rFonts w:eastAsia="Times New Roman"/>
          <w:szCs w:val="24"/>
          <w:lang w:eastAsia="lv-LV"/>
        </w:rPr>
        <w:t>situācija valstī.</w:t>
      </w:r>
    </w:p>
    <w:p w14:paraId="2F0D362B" w14:textId="77777777" w:rsidR="00203F14" w:rsidRPr="00B31B36" w:rsidRDefault="00203F14" w:rsidP="00D24C95">
      <w:pPr>
        <w:spacing w:after="0" w:line="240" w:lineRule="auto"/>
        <w:ind w:firstLine="720"/>
        <w:jc w:val="both"/>
        <w:rPr>
          <w:rFonts w:eastAsia="Times New Roman"/>
          <w:szCs w:val="24"/>
          <w:lang w:eastAsia="lv-LV"/>
        </w:rPr>
      </w:pPr>
    </w:p>
    <w:p w14:paraId="38DE255A" w14:textId="6D070885" w:rsidR="00D24C95" w:rsidRPr="00F6136E" w:rsidRDefault="008F4D34" w:rsidP="00E329FC">
      <w:pPr>
        <w:pStyle w:val="ListParagraph"/>
        <w:numPr>
          <w:ilvl w:val="0"/>
          <w:numId w:val="19"/>
        </w:numPr>
        <w:spacing w:after="0" w:line="240" w:lineRule="auto"/>
        <w:ind w:left="714" w:hanging="357"/>
        <w:rPr>
          <w:rFonts w:eastAsia="Times New Roman"/>
          <w:b/>
          <w:bCs/>
          <w:szCs w:val="24"/>
          <w:lang w:eastAsia="lv-LV"/>
        </w:rPr>
      </w:pPr>
      <w:r>
        <w:rPr>
          <w:noProof/>
        </w:rPr>
        <w:drawing>
          <wp:anchor distT="0" distB="0" distL="114300" distR="114300" simplePos="0" relativeHeight="251725312" behindDoc="0" locked="0" layoutInCell="1" allowOverlap="1" wp14:anchorId="3E075AF1" wp14:editId="28376720">
            <wp:simplePos x="0" y="0"/>
            <wp:positionH relativeFrom="margin">
              <wp:align>center</wp:align>
            </wp:positionH>
            <wp:positionV relativeFrom="paragraph">
              <wp:posOffset>250479</wp:posOffset>
            </wp:positionV>
            <wp:extent cx="5384800" cy="2480310"/>
            <wp:effectExtent l="0" t="0" r="6350" b="15240"/>
            <wp:wrapTopAndBottom/>
            <wp:docPr id="149" name="Chart 149">
              <a:extLst xmlns:a="http://schemas.openxmlformats.org/drawingml/2006/main">
                <a:ext uri="{FF2B5EF4-FFF2-40B4-BE49-F238E27FC236}">
                  <a16:creationId xmlns:a16="http://schemas.microsoft.com/office/drawing/2014/main" id="{00000000-0008-0000-01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r w:rsidR="00D24C95" w:rsidRPr="00F6136E">
        <w:rPr>
          <w:rFonts w:eastAsia="Times New Roman"/>
          <w:b/>
          <w:bCs/>
          <w:szCs w:val="24"/>
          <w:lang w:eastAsia="lv-LV"/>
        </w:rPr>
        <w:t xml:space="preserve">Iesniegti protesti, no </w:t>
      </w:r>
      <w:r w:rsidR="00251F86">
        <w:rPr>
          <w:rFonts w:eastAsia="Times New Roman"/>
          <w:b/>
          <w:bCs/>
          <w:szCs w:val="24"/>
          <w:lang w:eastAsia="lv-LV"/>
        </w:rPr>
        <w:t>tiem</w:t>
      </w:r>
      <w:r w:rsidR="00D24C95" w:rsidRPr="00F6136E">
        <w:rPr>
          <w:rFonts w:eastAsia="Times New Roman"/>
          <w:b/>
          <w:bCs/>
          <w:szCs w:val="24"/>
          <w:lang w:eastAsia="lv-LV"/>
        </w:rPr>
        <w:t xml:space="preserve"> apmierināti</w:t>
      </w:r>
    </w:p>
    <w:p w14:paraId="6C569ABA" w14:textId="58E38451" w:rsidR="00251F86" w:rsidRDefault="00251F86" w:rsidP="008F4D34">
      <w:pPr>
        <w:spacing w:after="0" w:line="240" w:lineRule="auto"/>
        <w:jc w:val="both"/>
        <w:rPr>
          <w:rFonts w:eastAsia="Times New Roman"/>
          <w:szCs w:val="24"/>
          <w:lang w:eastAsia="lv-LV"/>
        </w:rPr>
      </w:pPr>
    </w:p>
    <w:p w14:paraId="1F1FF552" w14:textId="27A38E02" w:rsidR="00D24C95" w:rsidRPr="00B31B36" w:rsidRDefault="00251F86" w:rsidP="00D24C95">
      <w:pPr>
        <w:spacing w:after="0" w:line="240" w:lineRule="auto"/>
        <w:ind w:firstLine="720"/>
        <w:jc w:val="both"/>
        <w:rPr>
          <w:rFonts w:eastAsia="Times New Roman"/>
          <w:szCs w:val="24"/>
          <w:lang w:eastAsia="lv-LV"/>
        </w:rPr>
      </w:pPr>
      <w:r>
        <w:rPr>
          <w:rFonts w:eastAsia="Times New Roman"/>
          <w:szCs w:val="24"/>
          <w:lang w:eastAsia="lv-LV"/>
        </w:rPr>
        <w:t>K</w:t>
      </w:r>
      <w:r w:rsidR="00D24C95" w:rsidRPr="00B31B36">
        <w:rPr>
          <w:rFonts w:eastAsia="Times New Roman"/>
          <w:szCs w:val="24"/>
          <w:lang w:eastAsia="lv-LV"/>
        </w:rPr>
        <w:t xml:space="preserve">ontekstā ar iztiesāto </w:t>
      </w:r>
      <w:r w:rsidR="006A5C2B">
        <w:rPr>
          <w:rFonts w:eastAsia="Times New Roman"/>
          <w:szCs w:val="24"/>
          <w:lang w:eastAsia="lv-LV"/>
        </w:rPr>
        <w:t>krimināl</w:t>
      </w:r>
      <w:r w:rsidR="00D24C95" w:rsidRPr="00B31B36">
        <w:rPr>
          <w:rFonts w:eastAsia="Times New Roman"/>
          <w:szCs w:val="24"/>
          <w:lang w:eastAsia="lv-LV"/>
        </w:rPr>
        <w:t xml:space="preserve">lietu skaita samazinājumu likumsakarīgs ir iesniegto protestu skaita pavisam neliels samazinājums. </w:t>
      </w:r>
      <w:r w:rsidR="00B345DF">
        <w:rPr>
          <w:rFonts w:eastAsia="Times New Roman"/>
          <w:szCs w:val="24"/>
          <w:lang w:eastAsia="lv-LV"/>
        </w:rPr>
        <w:t xml:space="preserve">Vidzemes </w:t>
      </w:r>
      <w:r w:rsidR="006A5C2B" w:rsidRPr="00B41DBE">
        <w:t>tiesas apgabal</w:t>
      </w:r>
      <w:r w:rsidR="006A5C2B">
        <w:t>a prokuratūras darbības teritorijā</w:t>
      </w:r>
      <w:r w:rsidR="006A5C2B" w:rsidRPr="00B41DBE">
        <w:t xml:space="preserve"> ietilpstošo</w:t>
      </w:r>
      <w:r w:rsidR="006A5C2B">
        <w:t xml:space="preserve"> rajona līmeņa</w:t>
      </w:r>
      <w:r w:rsidR="006A5C2B" w:rsidRPr="00B41DBE">
        <w:t xml:space="preserve"> prokuratūr</w:t>
      </w:r>
      <w:r w:rsidR="006A5C2B">
        <w:t>u</w:t>
      </w:r>
      <w:r w:rsidR="00B345DF">
        <w:rPr>
          <w:rFonts w:eastAsia="Times New Roman"/>
          <w:szCs w:val="24"/>
          <w:lang w:eastAsia="lv-LV"/>
        </w:rPr>
        <w:t xml:space="preserve"> </w:t>
      </w:r>
      <w:r w:rsidR="00D24C95" w:rsidRPr="00B31B36">
        <w:rPr>
          <w:rFonts w:eastAsia="Times New Roman"/>
          <w:szCs w:val="24"/>
          <w:lang w:eastAsia="lv-LV"/>
        </w:rPr>
        <w:t>prokurori 2020.</w:t>
      </w:r>
      <w:r w:rsidR="00B345DF">
        <w:rPr>
          <w:rFonts w:eastAsia="Times New Roman"/>
          <w:szCs w:val="24"/>
          <w:lang w:eastAsia="lv-LV"/>
        </w:rPr>
        <w:t> </w:t>
      </w:r>
      <w:r w:rsidR="00D24C95" w:rsidRPr="00B31B36">
        <w:rPr>
          <w:rFonts w:eastAsia="Times New Roman"/>
          <w:szCs w:val="24"/>
          <w:lang w:eastAsia="lv-LV"/>
        </w:rPr>
        <w:t>gadā iesnieguši 25</w:t>
      </w:r>
      <w:r w:rsidR="00B345DF">
        <w:rPr>
          <w:rFonts w:eastAsia="Times New Roman"/>
          <w:szCs w:val="24"/>
          <w:lang w:eastAsia="lv-LV"/>
        </w:rPr>
        <w:t> </w:t>
      </w:r>
      <w:r w:rsidR="00D24C95" w:rsidRPr="00B31B36">
        <w:rPr>
          <w:rFonts w:eastAsia="Times New Roman"/>
          <w:szCs w:val="24"/>
          <w:lang w:eastAsia="lv-LV"/>
        </w:rPr>
        <w:t>protestus, no kuriem 8</w:t>
      </w:r>
      <w:r w:rsidR="00B345DF">
        <w:rPr>
          <w:rFonts w:eastAsia="Times New Roman"/>
          <w:szCs w:val="24"/>
          <w:lang w:eastAsia="lv-LV"/>
        </w:rPr>
        <w:t> </w:t>
      </w:r>
      <w:r w:rsidR="00D24C95" w:rsidRPr="00B31B36">
        <w:rPr>
          <w:rFonts w:eastAsia="Times New Roman"/>
          <w:szCs w:val="24"/>
          <w:lang w:eastAsia="lv-LV"/>
        </w:rPr>
        <w:t>apmierināti, savukārt</w:t>
      </w:r>
      <w:r w:rsidR="00B345DF">
        <w:rPr>
          <w:rFonts w:eastAsia="Times New Roman"/>
          <w:szCs w:val="24"/>
          <w:lang w:eastAsia="lv-LV"/>
        </w:rPr>
        <w:t xml:space="preserve"> </w:t>
      </w:r>
      <w:r w:rsidR="00D24C95" w:rsidRPr="00B31B36">
        <w:rPr>
          <w:rFonts w:eastAsia="Times New Roman"/>
          <w:szCs w:val="24"/>
          <w:lang w:eastAsia="lv-LV"/>
        </w:rPr>
        <w:t>2019.</w:t>
      </w:r>
      <w:r w:rsidR="00B345DF">
        <w:rPr>
          <w:rFonts w:eastAsia="Times New Roman"/>
          <w:szCs w:val="24"/>
          <w:lang w:eastAsia="lv-LV"/>
        </w:rPr>
        <w:t> </w:t>
      </w:r>
      <w:r w:rsidR="00D24C95" w:rsidRPr="00B31B36">
        <w:rPr>
          <w:rFonts w:eastAsia="Times New Roman"/>
          <w:szCs w:val="24"/>
          <w:lang w:eastAsia="lv-LV"/>
        </w:rPr>
        <w:t xml:space="preserve">gadā </w:t>
      </w:r>
      <w:r w:rsidR="00B345DF">
        <w:rPr>
          <w:rFonts w:eastAsia="Times New Roman"/>
          <w:szCs w:val="24"/>
          <w:lang w:eastAsia="lv-LV"/>
        </w:rPr>
        <w:t xml:space="preserve">tika </w:t>
      </w:r>
      <w:r w:rsidR="00D24C95" w:rsidRPr="00B31B36">
        <w:rPr>
          <w:rFonts w:eastAsia="Times New Roman"/>
          <w:szCs w:val="24"/>
          <w:lang w:eastAsia="lv-LV"/>
        </w:rPr>
        <w:t>iesniegti 26</w:t>
      </w:r>
      <w:r w:rsidR="00B345DF">
        <w:rPr>
          <w:rFonts w:eastAsia="Times New Roman"/>
          <w:szCs w:val="24"/>
          <w:lang w:eastAsia="lv-LV"/>
        </w:rPr>
        <w:t> </w:t>
      </w:r>
      <w:r w:rsidR="00D24C95" w:rsidRPr="00B31B36">
        <w:rPr>
          <w:rFonts w:eastAsia="Times New Roman"/>
          <w:szCs w:val="24"/>
          <w:lang w:eastAsia="lv-LV"/>
        </w:rPr>
        <w:t>protesti, no kuriem 10</w:t>
      </w:r>
      <w:r w:rsidR="00B345DF">
        <w:rPr>
          <w:rFonts w:eastAsia="Times New Roman"/>
          <w:szCs w:val="24"/>
          <w:lang w:eastAsia="lv-LV"/>
        </w:rPr>
        <w:t> </w:t>
      </w:r>
      <w:r w:rsidR="00D24C95" w:rsidRPr="00B31B36">
        <w:rPr>
          <w:rFonts w:eastAsia="Times New Roman"/>
          <w:szCs w:val="24"/>
          <w:lang w:eastAsia="lv-LV"/>
        </w:rPr>
        <w:t xml:space="preserve">apmierināti. Neliels iesniegto protestu skaita palielinājums vērojams Gulbenes rajona prokuratūrā, Alūksnes rajona prokuratūrā un Limbažu rajona prokuratūrā. Prokurori aktīvi iesniedz protestus par tiesas noteikto sodu, kā arī par tiesas pieļautajiem procesuālajiem pārkāpumiem. </w:t>
      </w:r>
    </w:p>
    <w:p w14:paraId="5CDE4F86" w14:textId="08CFCA90" w:rsidR="005A47B0" w:rsidRDefault="00D24C95" w:rsidP="008F4D34">
      <w:pPr>
        <w:spacing w:after="0" w:line="240" w:lineRule="auto"/>
        <w:ind w:firstLine="720"/>
        <w:jc w:val="both"/>
        <w:rPr>
          <w:rFonts w:eastAsia="Times New Roman"/>
          <w:szCs w:val="24"/>
          <w:lang w:eastAsia="lv-LV"/>
        </w:rPr>
      </w:pPr>
      <w:r w:rsidRPr="00B31B36">
        <w:rPr>
          <w:rFonts w:eastAsia="Times New Roman"/>
          <w:szCs w:val="24"/>
          <w:lang w:eastAsia="lv-LV"/>
        </w:rPr>
        <w:t xml:space="preserve">Apmierināto protestu īpatsvars attiecībā pret iesniegtajiem protestiem ir ne visai augsts, tomēr tas norāda, ka </w:t>
      </w:r>
      <w:r w:rsidR="008530D0">
        <w:rPr>
          <w:rFonts w:eastAsia="Times New Roman"/>
          <w:szCs w:val="24"/>
          <w:lang w:eastAsia="lv-LV"/>
        </w:rPr>
        <w:t xml:space="preserve">Vidzemes </w:t>
      </w:r>
      <w:r w:rsidR="008530D0" w:rsidRPr="00B41DBE">
        <w:t>tiesas apgabal</w:t>
      </w:r>
      <w:r w:rsidR="008530D0">
        <w:t>a prokuratūras darbības teritorijā</w:t>
      </w:r>
      <w:r w:rsidR="008530D0" w:rsidRPr="00B41DBE">
        <w:t xml:space="preserve"> ietilpstošo</w:t>
      </w:r>
      <w:r w:rsidR="008530D0">
        <w:t xml:space="preserve"> rajona līmeņa</w:t>
      </w:r>
      <w:r w:rsidR="008530D0" w:rsidRPr="00B41DBE">
        <w:t xml:space="preserve"> prokuratūr</w:t>
      </w:r>
      <w:r w:rsidR="008530D0">
        <w:t>u</w:t>
      </w:r>
      <w:r w:rsidR="008530D0" w:rsidRPr="00B31B36">
        <w:rPr>
          <w:rFonts w:eastAsia="Times New Roman"/>
          <w:szCs w:val="24"/>
          <w:lang w:eastAsia="lv-LV"/>
        </w:rPr>
        <w:t xml:space="preserve"> </w:t>
      </w:r>
      <w:r w:rsidRPr="00B31B36">
        <w:rPr>
          <w:rFonts w:eastAsia="Times New Roman"/>
          <w:szCs w:val="24"/>
          <w:lang w:eastAsia="lv-LV"/>
        </w:rPr>
        <w:t xml:space="preserve">prokurori objektīvi izvērtē sprieduma pārsūdzēšanas pamatotību. </w:t>
      </w:r>
    </w:p>
    <w:p w14:paraId="36FAD5E9" w14:textId="77777777" w:rsidR="00251F86" w:rsidRPr="00B31B36" w:rsidRDefault="00251F86" w:rsidP="00D24C95">
      <w:pPr>
        <w:spacing w:after="0" w:line="240" w:lineRule="auto"/>
        <w:ind w:firstLine="720"/>
        <w:jc w:val="both"/>
        <w:rPr>
          <w:rFonts w:eastAsia="Times New Roman"/>
          <w:szCs w:val="24"/>
          <w:lang w:eastAsia="lv-LV"/>
        </w:rPr>
      </w:pPr>
    </w:p>
    <w:p w14:paraId="23880AEF" w14:textId="30A457E5" w:rsidR="008F4D34" w:rsidRPr="003D75E4" w:rsidRDefault="003D75E4" w:rsidP="00E329FC">
      <w:pPr>
        <w:pStyle w:val="ListParagraph"/>
        <w:numPr>
          <w:ilvl w:val="0"/>
          <w:numId w:val="19"/>
        </w:numPr>
        <w:spacing w:after="0" w:line="240" w:lineRule="auto"/>
        <w:rPr>
          <w:rFonts w:eastAsia="Times New Roman"/>
          <w:b/>
          <w:bCs/>
          <w:szCs w:val="24"/>
          <w:lang w:eastAsia="lv-LV"/>
        </w:rPr>
      </w:pPr>
      <w:r>
        <w:rPr>
          <w:noProof/>
        </w:rPr>
        <w:lastRenderedPageBreak/>
        <w:drawing>
          <wp:anchor distT="0" distB="0" distL="114300" distR="114300" simplePos="0" relativeHeight="251727360" behindDoc="0" locked="0" layoutInCell="1" allowOverlap="1" wp14:anchorId="091DAF13" wp14:editId="2B0ECBE2">
            <wp:simplePos x="0" y="0"/>
            <wp:positionH relativeFrom="margin">
              <wp:align>center</wp:align>
            </wp:positionH>
            <wp:positionV relativeFrom="paragraph">
              <wp:posOffset>249612</wp:posOffset>
            </wp:positionV>
            <wp:extent cx="5397500" cy="2533650"/>
            <wp:effectExtent l="0" t="0" r="12700" b="0"/>
            <wp:wrapTopAndBottom/>
            <wp:docPr id="150" name="Chart 150">
              <a:extLst xmlns:a="http://schemas.openxmlformats.org/drawingml/2006/main">
                <a:ext uri="{FF2B5EF4-FFF2-40B4-BE49-F238E27FC236}">
                  <a16:creationId xmlns:a16="http://schemas.microsoft.com/office/drawing/2014/main" id="{00000000-0008-0000-01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r w:rsidR="00D24C95" w:rsidRPr="00F6136E">
        <w:rPr>
          <w:rFonts w:eastAsia="Times New Roman"/>
          <w:b/>
          <w:bCs/>
          <w:szCs w:val="24"/>
          <w:lang w:eastAsia="lv-LV"/>
        </w:rPr>
        <w:t>Izlemt</w:t>
      </w:r>
      <w:r w:rsidR="00CE7895">
        <w:rPr>
          <w:rFonts w:eastAsia="Times New Roman"/>
          <w:b/>
          <w:bCs/>
          <w:szCs w:val="24"/>
          <w:lang w:eastAsia="lv-LV"/>
        </w:rPr>
        <w:t>a</w:t>
      </w:r>
      <w:r w:rsidR="00D24C95" w:rsidRPr="00F6136E">
        <w:rPr>
          <w:rFonts w:eastAsia="Times New Roman"/>
          <w:b/>
          <w:bCs/>
          <w:szCs w:val="24"/>
          <w:lang w:eastAsia="lv-LV"/>
        </w:rPr>
        <w:t>s sūdzības, no tām apmierinātas</w:t>
      </w:r>
    </w:p>
    <w:p w14:paraId="634956E4" w14:textId="77777777" w:rsidR="008F4D34" w:rsidRPr="008F4D34" w:rsidRDefault="008F4D34" w:rsidP="008F4D34">
      <w:pPr>
        <w:spacing w:after="0" w:line="240" w:lineRule="auto"/>
        <w:rPr>
          <w:rFonts w:eastAsia="Times New Roman"/>
          <w:b/>
          <w:bCs/>
          <w:szCs w:val="24"/>
          <w:lang w:eastAsia="lv-LV"/>
        </w:rPr>
      </w:pPr>
    </w:p>
    <w:p w14:paraId="786CDE23" w14:textId="4ABBF0F3" w:rsidR="00832209" w:rsidRDefault="00D24C95" w:rsidP="00832209">
      <w:pPr>
        <w:spacing w:after="0" w:line="240" w:lineRule="auto"/>
        <w:ind w:firstLine="720"/>
        <w:jc w:val="both"/>
        <w:rPr>
          <w:rFonts w:eastAsia="Times New Roman"/>
          <w:sz w:val="26"/>
          <w:szCs w:val="26"/>
          <w:lang w:eastAsia="lv-LV"/>
        </w:rPr>
      </w:pPr>
      <w:r w:rsidRPr="00B31B36">
        <w:rPr>
          <w:rFonts w:eastAsia="Times New Roman"/>
          <w:szCs w:val="24"/>
          <w:lang w:eastAsia="lv-LV"/>
        </w:rPr>
        <w:t xml:space="preserve">Izlemto sūdzību skaits </w:t>
      </w:r>
      <w:r w:rsidR="00B345DF">
        <w:rPr>
          <w:rFonts w:eastAsia="Times New Roman"/>
          <w:szCs w:val="24"/>
          <w:lang w:eastAsia="lv-LV"/>
        </w:rPr>
        <w:t xml:space="preserve">Vidzemes </w:t>
      </w:r>
      <w:r w:rsidR="008530D0" w:rsidRPr="00B41DBE">
        <w:t>tiesas apgabal</w:t>
      </w:r>
      <w:r w:rsidR="008530D0">
        <w:t>a prokuratūras darbības teritorijā</w:t>
      </w:r>
      <w:r w:rsidR="008530D0" w:rsidRPr="00B41DBE">
        <w:t xml:space="preserve"> ietilpstoš</w:t>
      </w:r>
      <w:r w:rsidR="008530D0">
        <w:t>ajās rajona līmeņa</w:t>
      </w:r>
      <w:r w:rsidR="008530D0" w:rsidRPr="00B41DBE">
        <w:t xml:space="preserve"> prokuratūr</w:t>
      </w:r>
      <w:r w:rsidR="008530D0">
        <w:t>ās</w:t>
      </w:r>
      <w:r w:rsidR="008530D0">
        <w:rPr>
          <w:rFonts w:eastAsia="Times New Roman"/>
          <w:szCs w:val="24"/>
          <w:lang w:eastAsia="lv-LV"/>
        </w:rPr>
        <w:t xml:space="preserve"> </w:t>
      </w:r>
      <w:r w:rsidR="00F37D45">
        <w:rPr>
          <w:rFonts w:eastAsia="Times New Roman"/>
          <w:szCs w:val="24"/>
          <w:lang w:eastAsia="lv-LV"/>
        </w:rPr>
        <w:t xml:space="preserve">arī </w:t>
      </w:r>
      <w:r w:rsidRPr="00B31B36">
        <w:rPr>
          <w:rFonts w:eastAsia="Times New Roman"/>
          <w:szCs w:val="24"/>
          <w:lang w:eastAsia="lv-LV"/>
        </w:rPr>
        <w:t>saglabājies izteikti augsts. Vienīgi Limbažu rajona prokuratūrā vērojams neliels izlemto sūdzību samazinājums, kas ļauj domāt, ka sūdzību skaita samazinājuma risinājumi tomēr ir iespējami</w:t>
      </w:r>
      <w:r w:rsidRPr="008B1238">
        <w:rPr>
          <w:rFonts w:eastAsia="Times New Roman"/>
          <w:sz w:val="26"/>
          <w:szCs w:val="26"/>
          <w:lang w:eastAsia="lv-LV"/>
        </w:rPr>
        <w:t>.</w:t>
      </w:r>
      <w:bookmarkStart w:id="33" w:name="_Hlk63706988"/>
      <w:bookmarkStart w:id="34" w:name="_Hlk63693371"/>
    </w:p>
    <w:p w14:paraId="665DE4F1" w14:textId="03961E1D" w:rsidR="008C2EE1" w:rsidRDefault="008C2EE1" w:rsidP="008C2EE1">
      <w:pPr>
        <w:spacing w:after="0" w:line="240" w:lineRule="auto"/>
        <w:jc w:val="both"/>
        <w:rPr>
          <w:rFonts w:eastAsia="Times New Roman"/>
          <w:sz w:val="26"/>
          <w:szCs w:val="26"/>
          <w:lang w:eastAsia="lv-LV"/>
        </w:rPr>
      </w:pPr>
    </w:p>
    <w:p w14:paraId="1410A212" w14:textId="0995E23C" w:rsidR="008530D0" w:rsidRDefault="008C2EE1" w:rsidP="008530D0">
      <w:pPr>
        <w:spacing w:after="0" w:line="240" w:lineRule="auto"/>
        <w:ind w:firstLine="720"/>
        <w:jc w:val="both"/>
        <w:rPr>
          <w:szCs w:val="24"/>
        </w:rPr>
      </w:pPr>
      <w:r w:rsidRPr="008530D0">
        <w:rPr>
          <w:rFonts w:eastAsia="Times New Roman"/>
          <w:szCs w:val="24"/>
          <w:lang w:eastAsia="lv-LV"/>
        </w:rPr>
        <w:t xml:space="preserve">Kopumā jāuzsver, ka </w:t>
      </w:r>
      <w:r w:rsidRPr="008530D0">
        <w:rPr>
          <w:szCs w:val="24"/>
        </w:rPr>
        <w:t xml:space="preserve">Vidzemes tiesas </w:t>
      </w:r>
      <w:r w:rsidR="008530D0">
        <w:rPr>
          <w:szCs w:val="24"/>
        </w:rPr>
        <w:t xml:space="preserve">apgabala prokuratūras un tās darbības teritorijā </w:t>
      </w:r>
      <w:r w:rsidRPr="008530D0">
        <w:rPr>
          <w:szCs w:val="24"/>
        </w:rPr>
        <w:t xml:space="preserve">ietilpstošo </w:t>
      </w:r>
      <w:r w:rsidR="008530D0">
        <w:rPr>
          <w:szCs w:val="24"/>
        </w:rPr>
        <w:t xml:space="preserve">rajona līmeņa </w:t>
      </w:r>
      <w:r w:rsidRPr="008530D0">
        <w:rPr>
          <w:szCs w:val="24"/>
        </w:rPr>
        <w:t>prokuratūr</w:t>
      </w:r>
      <w:r w:rsidR="008530D0">
        <w:rPr>
          <w:szCs w:val="24"/>
        </w:rPr>
        <w:t>u</w:t>
      </w:r>
      <w:r w:rsidRPr="008530D0">
        <w:rPr>
          <w:szCs w:val="24"/>
        </w:rPr>
        <w:t xml:space="preserve"> prokurori uzrauga</w:t>
      </w:r>
      <w:r w:rsidR="008530D0">
        <w:rPr>
          <w:szCs w:val="24"/>
        </w:rPr>
        <w:t xml:space="preserve"> izmeklēšanu</w:t>
      </w:r>
      <w:r w:rsidRPr="008530D0">
        <w:rPr>
          <w:szCs w:val="24"/>
        </w:rPr>
        <w:t xml:space="preserve">, veic kriminālvajāšanu un uztur valsts apsūdzību </w:t>
      </w:r>
      <w:r w:rsidR="008530D0">
        <w:rPr>
          <w:szCs w:val="24"/>
        </w:rPr>
        <w:t xml:space="preserve">par </w:t>
      </w:r>
      <w:r w:rsidRPr="008530D0">
        <w:rPr>
          <w:szCs w:val="24"/>
        </w:rPr>
        <w:t xml:space="preserve">visu kategoriju </w:t>
      </w:r>
      <w:r w:rsidR="008530D0">
        <w:rPr>
          <w:szCs w:val="24"/>
        </w:rPr>
        <w:t>noziedzīgajiem nodarījumiem</w:t>
      </w:r>
      <w:r w:rsidRPr="008530D0">
        <w:rPr>
          <w:szCs w:val="24"/>
        </w:rPr>
        <w:t xml:space="preserve"> dažādas sarežģītības pakāpes kriminālprocesos, tai skaitā par noziedzīgiem nodarījumiem pret personu dzīvību un veselību, pret tikumību un dzimumneaizskaramību, īpašumu, noziedzīgiem nodarījumiem tautsaimniecības jomā, noziedzīgiem nodarījumiem pret vispārējo drošību un sabiedrisko kārtību, pret satiksmes drošību un pārvaldības kārtību, jurisdikciju, kā arī noziedzīgiem nodarījumiem valsts institūciju dienestā.</w:t>
      </w:r>
      <w:r w:rsidR="008530D0">
        <w:rPr>
          <w:szCs w:val="24"/>
        </w:rPr>
        <w:t xml:space="preserve"> </w:t>
      </w:r>
    </w:p>
    <w:p w14:paraId="17145A60" w14:textId="223C3CA7" w:rsidR="008C2EE1" w:rsidRPr="008530D0" w:rsidRDefault="009553C1" w:rsidP="008530D0">
      <w:pPr>
        <w:spacing w:after="0" w:line="240" w:lineRule="auto"/>
        <w:ind w:firstLine="720"/>
        <w:jc w:val="both"/>
        <w:rPr>
          <w:szCs w:val="24"/>
        </w:rPr>
      </w:pPr>
      <w:r>
        <w:rPr>
          <w:szCs w:val="24"/>
        </w:rPr>
        <w:t xml:space="preserve">Pastiprinātu </w:t>
      </w:r>
      <w:r w:rsidR="008C2EE1" w:rsidRPr="008530D0">
        <w:rPr>
          <w:szCs w:val="24"/>
        </w:rPr>
        <w:t xml:space="preserve">uzmanību Vidzemes </w:t>
      </w:r>
      <w:r w:rsidR="008530D0" w:rsidRPr="00B41DBE">
        <w:t>tiesas apgabal</w:t>
      </w:r>
      <w:r w:rsidR="008530D0">
        <w:t xml:space="preserve">a prokuratūras un tās darbības teritorijā </w:t>
      </w:r>
      <w:r w:rsidR="008530D0" w:rsidRPr="00B41DBE">
        <w:t>ietilpstošo</w:t>
      </w:r>
      <w:r w:rsidR="008530D0">
        <w:t xml:space="preserve"> rajona līmeņa</w:t>
      </w:r>
      <w:r w:rsidR="008530D0" w:rsidRPr="00B41DBE">
        <w:t xml:space="preserve"> prokuratūr</w:t>
      </w:r>
      <w:r w:rsidR="008530D0">
        <w:t>u</w:t>
      </w:r>
      <w:r w:rsidR="008530D0" w:rsidRPr="00B41DBE">
        <w:t xml:space="preserve"> prokurori pievērš </w:t>
      </w:r>
      <w:r w:rsidR="008530D0">
        <w:t xml:space="preserve">izmeklēšanas </w:t>
      </w:r>
      <w:r w:rsidR="008530D0" w:rsidRPr="00B41DBE">
        <w:t>uzraudzībai, kriminālvajāšanai un valsts apsūdzības uzturēšanai</w:t>
      </w:r>
      <w:r w:rsidR="008530D0">
        <w:t xml:space="preserve"> par noziedzīgiem nodarījumiem, kuri </w:t>
      </w:r>
      <w:r>
        <w:t xml:space="preserve">atzīti par īpaši aktuāliem </w:t>
      </w:r>
      <w:r w:rsidR="008530D0">
        <w:t xml:space="preserve">saskaņā ar </w:t>
      </w:r>
      <w:r w:rsidR="008530D0" w:rsidRPr="00B41DBE">
        <w:t xml:space="preserve">Ģenerālprokuratūras Krimināltiesiskā departamenta virsprokurora rīkojumu </w:t>
      </w:r>
      <w:r w:rsidR="008530D0" w:rsidRPr="00B41DBE">
        <w:rPr>
          <w:i/>
        </w:rPr>
        <w:t>Par īpaši aktuālām krimināllietām</w:t>
      </w:r>
      <w:r w:rsidR="008530D0">
        <w:t>.</w:t>
      </w:r>
      <w:r w:rsidR="008530D0">
        <w:rPr>
          <w:szCs w:val="24"/>
        </w:rPr>
        <w:t xml:space="preserve"> </w:t>
      </w:r>
      <w:r w:rsidR="008C2EE1" w:rsidRPr="008530D0">
        <w:rPr>
          <w:szCs w:val="24"/>
        </w:rPr>
        <w:t>2020.gadā ties</w:t>
      </w:r>
      <w:r w:rsidR="008530D0">
        <w:rPr>
          <w:szCs w:val="24"/>
        </w:rPr>
        <w:t>ai</w:t>
      </w:r>
      <w:r w:rsidR="008C2EE1" w:rsidRPr="008530D0">
        <w:rPr>
          <w:szCs w:val="24"/>
        </w:rPr>
        <w:t xml:space="preserve"> tika nodot</w:t>
      </w:r>
      <w:r w:rsidR="008530D0">
        <w:rPr>
          <w:szCs w:val="24"/>
        </w:rPr>
        <w:t xml:space="preserve">as </w:t>
      </w:r>
      <w:r w:rsidR="008C2EE1" w:rsidRPr="008530D0">
        <w:rPr>
          <w:szCs w:val="24"/>
        </w:rPr>
        <w:t>22</w:t>
      </w:r>
      <w:r>
        <w:rPr>
          <w:szCs w:val="24"/>
        </w:rPr>
        <w:t> </w:t>
      </w:r>
      <w:r w:rsidR="008C2EE1" w:rsidRPr="008530D0">
        <w:rPr>
          <w:szCs w:val="24"/>
        </w:rPr>
        <w:t>krimināl</w:t>
      </w:r>
      <w:r w:rsidR="008530D0">
        <w:rPr>
          <w:szCs w:val="24"/>
        </w:rPr>
        <w:t>lietas par īpaši aktuāliem noziedzīgiem nodarījumiem</w:t>
      </w:r>
      <w:r w:rsidR="008C2EE1" w:rsidRPr="008530D0">
        <w:rPr>
          <w:szCs w:val="24"/>
        </w:rPr>
        <w:t>, t</w:t>
      </w:r>
      <w:r w:rsidR="008530D0">
        <w:rPr>
          <w:szCs w:val="24"/>
        </w:rPr>
        <w:t xml:space="preserve">ai skaitā </w:t>
      </w:r>
      <w:r w:rsidR="008C2EE1" w:rsidRPr="008530D0">
        <w:rPr>
          <w:szCs w:val="24"/>
        </w:rPr>
        <w:t>pēc K</w:t>
      </w:r>
      <w:r w:rsidR="008530D0">
        <w:rPr>
          <w:szCs w:val="24"/>
        </w:rPr>
        <w:t>rimināllikuma</w:t>
      </w:r>
      <w:r w:rsidR="008C2EE1" w:rsidRPr="008530D0">
        <w:rPr>
          <w:szCs w:val="24"/>
        </w:rPr>
        <w:t xml:space="preserve"> 174.</w:t>
      </w:r>
      <w:r w:rsidR="008530D0">
        <w:rPr>
          <w:szCs w:val="24"/>
        </w:rPr>
        <w:t> </w:t>
      </w:r>
      <w:r w:rsidR="008C2EE1" w:rsidRPr="008530D0">
        <w:rPr>
          <w:szCs w:val="24"/>
        </w:rPr>
        <w:t>panta, 162.</w:t>
      </w:r>
      <w:r w:rsidR="008530D0">
        <w:rPr>
          <w:szCs w:val="24"/>
        </w:rPr>
        <w:t> </w:t>
      </w:r>
      <w:r w:rsidR="008C2EE1" w:rsidRPr="008530D0">
        <w:rPr>
          <w:szCs w:val="24"/>
        </w:rPr>
        <w:t>panta, 160.</w:t>
      </w:r>
      <w:r w:rsidR="008530D0">
        <w:rPr>
          <w:szCs w:val="24"/>
        </w:rPr>
        <w:t> </w:t>
      </w:r>
      <w:r w:rsidR="008C2EE1" w:rsidRPr="008530D0">
        <w:rPr>
          <w:szCs w:val="24"/>
        </w:rPr>
        <w:t>panta, 323.</w:t>
      </w:r>
      <w:r w:rsidR="008530D0">
        <w:rPr>
          <w:szCs w:val="24"/>
        </w:rPr>
        <w:t> </w:t>
      </w:r>
      <w:r w:rsidR="008C2EE1" w:rsidRPr="008530D0">
        <w:rPr>
          <w:szCs w:val="24"/>
        </w:rPr>
        <w:t>panta, 319.</w:t>
      </w:r>
      <w:r w:rsidR="008530D0">
        <w:rPr>
          <w:szCs w:val="24"/>
        </w:rPr>
        <w:t> </w:t>
      </w:r>
      <w:r w:rsidR="008C2EE1" w:rsidRPr="008530D0">
        <w:rPr>
          <w:szCs w:val="24"/>
        </w:rPr>
        <w:t>panta, 116.</w:t>
      </w:r>
      <w:r w:rsidR="008530D0">
        <w:rPr>
          <w:szCs w:val="24"/>
        </w:rPr>
        <w:t> </w:t>
      </w:r>
      <w:r w:rsidR="008C2EE1" w:rsidRPr="008530D0">
        <w:rPr>
          <w:szCs w:val="24"/>
        </w:rPr>
        <w:t>panta, 117.</w:t>
      </w:r>
      <w:r w:rsidR="008530D0">
        <w:rPr>
          <w:szCs w:val="24"/>
        </w:rPr>
        <w:t> </w:t>
      </w:r>
      <w:r w:rsidR="008C2EE1" w:rsidRPr="008530D0">
        <w:rPr>
          <w:szCs w:val="24"/>
        </w:rPr>
        <w:t>panta, 195.</w:t>
      </w:r>
      <w:r w:rsidR="008530D0">
        <w:rPr>
          <w:szCs w:val="24"/>
        </w:rPr>
        <w:t> </w:t>
      </w:r>
      <w:r w:rsidR="008C2EE1" w:rsidRPr="008530D0">
        <w:rPr>
          <w:szCs w:val="24"/>
        </w:rPr>
        <w:t xml:space="preserve">panta. </w:t>
      </w:r>
    </w:p>
    <w:p w14:paraId="43741CDC" w14:textId="78231FC4" w:rsidR="007011E9" w:rsidRDefault="008C2EE1" w:rsidP="008530D0">
      <w:pPr>
        <w:spacing w:after="0" w:line="240" w:lineRule="auto"/>
        <w:jc w:val="both"/>
        <w:rPr>
          <w:szCs w:val="24"/>
        </w:rPr>
      </w:pPr>
      <w:r w:rsidRPr="008530D0">
        <w:rPr>
          <w:szCs w:val="24"/>
        </w:rPr>
        <w:t xml:space="preserve">          Šobrīd prokurori aktīvi uzrauga </w:t>
      </w:r>
      <w:r w:rsidR="008530D0">
        <w:rPr>
          <w:szCs w:val="24"/>
        </w:rPr>
        <w:t xml:space="preserve">izmeklēšanu </w:t>
      </w:r>
      <w:r w:rsidRPr="008530D0">
        <w:rPr>
          <w:szCs w:val="24"/>
        </w:rPr>
        <w:t>kriminālproces</w:t>
      </w:r>
      <w:r w:rsidR="008530D0">
        <w:rPr>
          <w:szCs w:val="24"/>
        </w:rPr>
        <w:t>o</w:t>
      </w:r>
      <w:r w:rsidRPr="008530D0">
        <w:rPr>
          <w:szCs w:val="24"/>
        </w:rPr>
        <w:t>s, kas uzsākti pēc K</w:t>
      </w:r>
      <w:r w:rsidR="008530D0">
        <w:rPr>
          <w:szCs w:val="24"/>
        </w:rPr>
        <w:t>rimināllikuma</w:t>
      </w:r>
      <w:r w:rsidRPr="008530D0">
        <w:rPr>
          <w:szCs w:val="24"/>
        </w:rPr>
        <w:t xml:space="preserve"> 195.</w:t>
      </w:r>
      <w:r w:rsidR="008530D0">
        <w:rPr>
          <w:szCs w:val="24"/>
        </w:rPr>
        <w:t> </w:t>
      </w:r>
      <w:r w:rsidRPr="008530D0">
        <w:rPr>
          <w:szCs w:val="24"/>
        </w:rPr>
        <w:t>panta</w:t>
      </w:r>
      <w:r w:rsidR="008530D0">
        <w:rPr>
          <w:szCs w:val="24"/>
        </w:rPr>
        <w:t>. T</w:t>
      </w:r>
      <w:r w:rsidRPr="008530D0">
        <w:rPr>
          <w:szCs w:val="24"/>
        </w:rPr>
        <w:t>as saist</w:t>
      </w:r>
      <w:r w:rsidR="008530D0">
        <w:rPr>
          <w:szCs w:val="24"/>
        </w:rPr>
        <w:t>āms</w:t>
      </w:r>
      <w:r w:rsidR="008530D0" w:rsidRPr="00B41DBE">
        <w:t xml:space="preserve"> ar 2020.</w:t>
      </w:r>
      <w:r w:rsidR="008530D0">
        <w:t> </w:t>
      </w:r>
      <w:r w:rsidR="008530D0" w:rsidRPr="00B41DBE">
        <w:t>gad</w:t>
      </w:r>
      <w:r w:rsidR="008530D0">
        <w:t>ā</w:t>
      </w:r>
      <w:r w:rsidR="008530D0" w:rsidRPr="00B41DBE">
        <w:t xml:space="preserve"> Ģenerālprokuratūras prokuroru veikt</w:t>
      </w:r>
      <w:r w:rsidR="008530D0">
        <w:t>aj</w:t>
      </w:r>
      <w:r w:rsidR="008530D0" w:rsidRPr="00B41DBE">
        <w:t xml:space="preserve">ām apmācībām </w:t>
      </w:r>
      <w:r w:rsidR="008530D0">
        <w:t xml:space="preserve">Latvijas </w:t>
      </w:r>
      <w:r w:rsidR="008530D0" w:rsidRPr="00B41DBE">
        <w:t>reģionos par noziedzīgi iegūtu līdzekļu legalizēšan</w:t>
      </w:r>
      <w:r w:rsidR="008530D0">
        <w:t>as noziedzīgajiem nodarījumiem</w:t>
      </w:r>
      <w:r w:rsidR="008530D0" w:rsidRPr="00B41DBE">
        <w:t xml:space="preserve"> un vadlīniju izstrādi, kas atviegloja prokuroru darbu un </w:t>
      </w:r>
      <w:r w:rsidR="008530D0">
        <w:t xml:space="preserve">veicināja </w:t>
      </w:r>
      <w:r w:rsidR="008530D0" w:rsidRPr="00B41DBE">
        <w:t>izpratni par š</w:t>
      </w:r>
      <w:r w:rsidR="008530D0">
        <w:t>īs</w:t>
      </w:r>
      <w:r w:rsidR="008530D0" w:rsidRPr="00B41DBE">
        <w:t xml:space="preserve"> kategorijas </w:t>
      </w:r>
      <w:r w:rsidR="008530D0">
        <w:t xml:space="preserve">kriminālprocesu </w:t>
      </w:r>
      <w:r w:rsidR="008530D0" w:rsidRPr="00B41DBE">
        <w:t>izmeklēšanu un virzību.</w:t>
      </w:r>
      <w:r w:rsidR="008530D0">
        <w:t xml:space="preserve"> </w:t>
      </w:r>
      <w:r w:rsidR="008530D0">
        <w:rPr>
          <w:szCs w:val="24"/>
        </w:rPr>
        <w:t>Kopumā Vidzemes tiesas apgabala prokuratūras un tās darbības teritorijā ietilpstošo rajona līmeņa prokuratūru prokuroru</w:t>
      </w:r>
      <w:r w:rsidR="008530D0" w:rsidRPr="008530D0">
        <w:rPr>
          <w:szCs w:val="24"/>
        </w:rPr>
        <w:t xml:space="preserve"> </w:t>
      </w:r>
      <w:r w:rsidRPr="008530D0">
        <w:rPr>
          <w:szCs w:val="24"/>
        </w:rPr>
        <w:t xml:space="preserve">uzraudzībā </w:t>
      </w:r>
      <w:r w:rsidR="008530D0">
        <w:rPr>
          <w:szCs w:val="24"/>
        </w:rPr>
        <w:t xml:space="preserve">šobrīd </w:t>
      </w:r>
      <w:r w:rsidRPr="008530D0">
        <w:rPr>
          <w:szCs w:val="24"/>
        </w:rPr>
        <w:t>ir 56 kriminālprocesi, kas uzsākti pēc Krimināllikuma 195.</w:t>
      </w:r>
      <w:r w:rsidR="008530D0">
        <w:rPr>
          <w:szCs w:val="24"/>
        </w:rPr>
        <w:t> </w:t>
      </w:r>
      <w:r w:rsidRPr="008530D0">
        <w:rPr>
          <w:szCs w:val="24"/>
        </w:rPr>
        <w:t xml:space="preserve">panta otrās vai trešās daļas. </w:t>
      </w:r>
    </w:p>
    <w:p w14:paraId="768696F0" w14:textId="77777777" w:rsidR="008530D0" w:rsidRPr="008530D0" w:rsidRDefault="008530D0" w:rsidP="008530D0">
      <w:pPr>
        <w:spacing w:after="0" w:line="240" w:lineRule="auto"/>
        <w:jc w:val="both"/>
        <w:rPr>
          <w:szCs w:val="24"/>
        </w:rPr>
      </w:pPr>
    </w:p>
    <w:p w14:paraId="4ECCA260" w14:textId="648B7ACA" w:rsidR="007011E9" w:rsidRDefault="007011E9" w:rsidP="007011E9">
      <w:pPr>
        <w:spacing w:after="0" w:line="240" w:lineRule="auto"/>
        <w:jc w:val="both"/>
        <w:rPr>
          <w:rFonts w:eastAsia="Times New Roman"/>
          <w:b/>
          <w:bCs/>
          <w:szCs w:val="24"/>
          <w:lang w:eastAsia="lv-LV"/>
        </w:rPr>
      </w:pPr>
      <w:r>
        <w:rPr>
          <w:rFonts w:eastAsia="Times New Roman"/>
          <w:b/>
          <w:bCs/>
          <w:szCs w:val="24"/>
          <w:lang w:eastAsia="lv-LV"/>
        </w:rPr>
        <w:t>Vidzemes tiesas apgabala prokuratūras virsprokurore L. </w:t>
      </w:r>
      <w:proofErr w:type="spellStart"/>
      <w:r>
        <w:rPr>
          <w:rFonts w:eastAsia="Times New Roman"/>
          <w:b/>
          <w:bCs/>
          <w:szCs w:val="24"/>
          <w:lang w:eastAsia="lv-LV"/>
        </w:rPr>
        <w:t>Vehi</w:t>
      </w:r>
      <w:proofErr w:type="spellEnd"/>
    </w:p>
    <w:p w14:paraId="20A26406" w14:textId="71B066C1" w:rsidR="007D40EB" w:rsidRPr="007B61D1" w:rsidRDefault="007011E9" w:rsidP="007011E9">
      <w:pPr>
        <w:spacing w:after="0" w:line="240" w:lineRule="auto"/>
        <w:jc w:val="both"/>
        <w:rPr>
          <w:rFonts w:eastAsia="Times New Roman"/>
          <w:b/>
          <w:bCs/>
          <w:szCs w:val="24"/>
          <w:lang w:eastAsia="lv-LV"/>
        </w:rPr>
      </w:pPr>
      <w:r>
        <w:rPr>
          <w:rFonts w:eastAsia="Times New Roman"/>
          <w:b/>
          <w:bCs/>
          <w:szCs w:val="24"/>
          <w:lang w:eastAsia="lv-LV"/>
        </w:rPr>
        <w:t>Valmierā 2021. gada 11. februārī</w:t>
      </w:r>
    </w:p>
    <w:bookmarkEnd w:id="31"/>
    <w:p w14:paraId="10412B3A" w14:textId="77777777" w:rsidR="00C521CC" w:rsidRDefault="00C521CC">
      <w:pPr>
        <w:rPr>
          <w:rFonts w:cs="Times New Roman"/>
          <w:b/>
          <w:sz w:val="32"/>
          <w:szCs w:val="32"/>
        </w:rPr>
      </w:pPr>
      <w:r>
        <w:rPr>
          <w:rFonts w:cs="Times New Roman"/>
          <w:b/>
          <w:sz w:val="32"/>
          <w:szCs w:val="32"/>
        </w:rPr>
        <w:br w:type="page"/>
      </w:r>
    </w:p>
    <w:p w14:paraId="18F0DB4A" w14:textId="5778FC17" w:rsidR="00C43D20" w:rsidRPr="00832209" w:rsidRDefault="00C43D20" w:rsidP="00832209">
      <w:pPr>
        <w:spacing w:after="0" w:line="240" w:lineRule="auto"/>
        <w:ind w:firstLine="720"/>
        <w:jc w:val="center"/>
        <w:rPr>
          <w:rFonts w:eastAsia="Times New Roman"/>
          <w:sz w:val="26"/>
          <w:szCs w:val="26"/>
          <w:lang w:eastAsia="lv-LV"/>
        </w:rPr>
      </w:pPr>
      <w:r w:rsidRPr="00577BF3">
        <w:rPr>
          <w:rFonts w:cs="Times New Roman"/>
          <w:b/>
          <w:sz w:val="32"/>
          <w:szCs w:val="32"/>
        </w:rPr>
        <w:lastRenderedPageBreak/>
        <w:t xml:space="preserve">Zemgales tiesas apgabala prokuratūras un tās darbības teritorijā </w:t>
      </w:r>
      <w:r w:rsidR="008530D0">
        <w:rPr>
          <w:rFonts w:cs="Times New Roman"/>
          <w:b/>
          <w:sz w:val="32"/>
          <w:szCs w:val="32"/>
        </w:rPr>
        <w:t>ietilpstošo</w:t>
      </w:r>
      <w:r w:rsidRPr="00577BF3">
        <w:rPr>
          <w:rFonts w:cs="Times New Roman"/>
          <w:b/>
          <w:sz w:val="32"/>
          <w:szCs w:val="32"/>
        </w:rPr>
        <w:t xml:space="preserve"> rajona līmeņa prokuratūru pārskats par 2020. gada darba rezultātiem</w:t>
      </w:r>
    </w:p>
    <w:p w14:paraId="60C55413" w14:textId="77777777" w:rsidR="00F544C2" w:rsidRPr="008530D0" w:rsidRDefault="00F544C2" w:rsidP="00CF4214">
      <w:pPr>
        <w:spacing w:after="0" w:line="240" w:lineRule="auto"/>
        <w:jc w:val="center"/>
        <w:rPr>
          <w:rFonts w:cs="Times New Roman"/>
          <w:b/>
          <w:szCs w:val="24"/>
        </w:rPr>
      </w:pPr>
    </w:p>
    <w:p w14:paraId="49C78A97" w14:textId="7BFABE43" w:rsidR="00C43D20" w:rsidRPr="00577BF3" w:rsidRDefault="00F544C2" w:rsidP="00CF4214">
      <w:pPr>
        <w:pStyle w:val="ListParagraph"/>
        <w:spacing w:after="0" w:line="240" w:lineRule="auto"/>
        <w:ind w:left="1077"/>
        <w:jc w:val="center"/>
        <w:rPr>
          <w:rFonts w:cs="Times New Roman"/>
          <w:b/>
          <w:bCs/>
          <w:sz w:val="28"/>
          <w:szCs w:val="28"/>
        </w:rPr>
      </w:pPr>
      <w:r w:rsidRPr="00577BF3">
        <w:rPr>
          <w:rFonts w:cs="Times New Roman"/>
          <w:b/>
          <w:bCs/>
          <w:sz w:val="28"/>
          <w:szCs w:val="28"/>
        </w:rPr>
        <w:t>I. </w:t>
      </w:r>
      <w:r w:rsidR="00C43D20" w:rsidRPr="00577BF3">
        <w:rPr>
          <w:rFonts w:cs="Times New Roman"/>
          <w:b/>
          <w:bCs/>
          <w:sz w:val="28"/>
          <w:szCs w:val="28"/>
        </w:rPr>
        <w:t>Strukturālais modelis un prokuroru personālsastāvs</w:t>
      </w:r>
    </w:p>
    <w:p w14:paraId="70B109E6" w14:textId="77777777" w:rsidR="00F544C2" w:rsidRPr="008530D0" w:rsidRDefault="00F544C2" w:rsidP="00CF4214">
      <w:pPr>
        <w:pStyle w:val="ListParagraph"/>
        <w:spacing w:after="0" w:line="240" w:lineRule="auto"/>
        <w:ind w:left="1077"/>
        <w:rPr>
          <w:rFonts w:cs="Times New Roman"/>
          <w:b/>
          <w:bCs/>
          <w:szCs w:val="24"/>
        </w:rPr>
      </w:pPr>
    </w:p>
    <w:p w14:paraId="071C9668" w14:textId="381E033A" w:rsidR="00C43D20" w:rsidRPr="00577BF3" w:rsidRDefault="00C43D20" w:rsidP="00CF4214">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sidR="00711D85">
        <w:rPr>
          <w:rFonts w:cs="Times New Roman"/>
          <w:szCs w:val="24"/>
        </w:rPr>
        <w:t xml:space="preserve">2020. gada 28. oktobra redakcijā </w:t>
      </w:r>
      <w:r w:rsidRPr="00577BF3">
        <w:rPr>
          <w:rFonts w:cs="Times New Roman"/>
          <w:szCs w:val="24"/>
        </w:rPr>
        <w:t>Zemgales tiesas apgabalā 2020. gadā darbojās 1 apgabala līmeņa teritoriālā prokuratūra</w:t>
      </w:r>
      <w:r w:rsidR="00F1054A" w:rsidRPr="00577BF3">
        <w:rPr>
          <w:rFonts w:cs="Times New Roman"/>
          <w:szCs w:val="24"/>
        </w:rPr>
        <w:t>s struktūrvienība</w:t>
      </w:r>
      <w:r w:rsidRPr="00577BF3">
        <w:rPr>
          <w:rFonts w:cs="Times New Roman"/>
          <w:szCs w:val="24"/>
        </w:rPr>
        <w:t xml:space="preserve"> un </w:t>
      </w:r>
      <w:r w:rsidR="00831673" w:rsidRPr="00577BF3">
        <w:rPr>
          <w:rFonts w:cs="Times New Roman"/>
          <w:szCs w:val="24"/>
        </w:rPr>
        <w:t>6 </w:t>
      </w:r>
      <w:r w:rsidRPr="00577BF3">
        <w:rPr>
          <w:rFonts w:cs="Times New Roman"/>
          <w:szCs w:val="24"/>
        </w:rPr>
        <w:t xml:space="preserve">rajona līmeņa teritoriālās prokuratūras struktūrvienības </w:t>
      </w:r>
      <w:r w:rsidR="00F1054A" w:rsidRPr="00577BF3">
        <w:rPr>
          <w:rFonts w:cs="Times New Roman"/>
          <w:szCs w:val="24"/>
        </w:rPr>
        <w:t>pie</w:t>
      </w:r>
      <w:r w:rsidRPr="00577BF3">
        <w:rPr>
          <w:rFonts w:cs="Times New Roman"/>
          <w:szCs w:val="24"/>
        </w:rPr>
        <w:t xml:space="preserve"> šād</w:t>
      </w:r>
      <w:r w:rsidR="00F1054A" w:rsidRPr="00577BF3">
        <w:rPr>
          <w:rFonts w:cs="Times New Roman"/>
          <w:szCs w:val="24"/>
        </w:rPr>
        <w:t>a</w:t>
      </w:r>
      <w:r w:rsidRPr="00577BF3">
        <w:rPr>
          <w:rFonts w:cs="Times New Roman"/>
          <w:szCs w:val="24"/>
        </w:rPr>
        <w:t xml:space="preserve"> prokuror</w:t>
      </w:r>
      <w:r w:rsidR="002171C6" w:rsidRPr="00577BF3">
        <w:rPr>
          <w:rFonts w:cs="Times New Roman"/>
          <w:szCs w:val="24"/>
        </w:rPr>
        <w:t>a amata</w:t>
      </w:r>
      <w:r w:rsidRPr="00577BF3">
        <w:rPr>
          <w:rFonts w:cs="Times New Roman"/>
          <w:szCs w:val="24"/>
        </w:rPr>
        <w:t xml:space="preserve"> vietu </w:t>
      </w:r>
      <w:r w:rsidR="002F4C67" w:rsidRPr="00577BF3">
        <w:rPr>
          <w:rFonts w:cs="Times New Roman"/>
          <w:szCs w:val="24"/>
        </w:rPr>
        <w:t>sa</w:t>
      </w:r>
      <w:r w:rsidRPr="00577BF3">
        <w:rPr>
          <w:rFonts w:cs="Times New Roman"/>
          <w:szCs w:val="24"/>
        </w:rPr>
        <w:t>dalījum</w:t>
      </w:r>
      <w:r w:rsidR="00F1054A" w:rsidRPr="00577BF3">
        <w:rPr>
          <w:rFonts w:cs="Times New Roman"/>
          <w:szCs w:val="24"/>
        </w:rPr>
        <w:t>a</w:t>
      </w:r>
      <w:r w:rsidRPr="00577BF3">
        <w:rPr>
          <w:rFonts w:cs="Times New Roman"/>
          <w:szCs w:val="24"/>
        </w:rPr>
        <w:t>:</w:t>
      </w:r>
    </w:p>
    <w:p w14:paraId="6EC2B532" w14:textId="797B509C" w:rsidR="00C43D20" w:rsidRPr="00577BF3" w:rsidRDefault="00831673" w:rsidP="00B16727">
      <w:pPr>
        <w:pStyle w:val="ListParagraph"/>
        <w:numPr>
          <w:ilvl w:val="0"/>
          <w:numId w:val="1"/>
        </w:numPr>
        <w:spacing w:after="0" w:line="240" w:lineRule="auto"/>
        <w:jc w:val="both"/>
        <w:rPr>
          <w:rFonts w:cs="Times New Roman"/>
          <w:szCs w:val="24"/>
        </w:rPr>
      </w:pPr>
      <w:r w:rsidRPr="00577BF3">
        <w:rPr>
          <w:rFonts w:cs="Times New Roman"/>
          <w:szCs w:val="24"/>
        </w:rPr>
        <w:t>Zemgales</w:t>
      </w:r>
      <w:r w:rsidR="00C43D20" w:rsidRPr="00577BF3">
        <w:rPr>
          <w:rFonts w:cs="Times New Roman"/>
          <w:szCs w:val="24"/>
        </w:rPr>
        <w:t xml:space="preserve"> tiesas apgabala prokuratūra – </w:t>
      </w:r>
      <w:r w:rsidRPr="00577BF3">
        <w:rPr>
          <w:rFonts w:cs="Times New Roman"/>
          <w:szCs w:val="24"/>
        </w:rPr>
        <w:t>9 </w:t>
      </w:r>
      <w:r w:rsidR="00C43D20" w:rsidRPr="00577BF3">
        <w:rPr>
          <w:rFonts w:cs="Times New Roman"/>
          <w:szCs w:val="24"/>
        </w:rPr>
        <w:t xml:space="preserve">prokurora amata vietas (1 virsprokurora un </w:t>
      </w:r>
      <w:r w:rsidRPr="00577BF3">
        <w:rPr>
          <w:rFonts w:cs="Times New Roman"/>
          <w:szCs w:val="24"/>
        </w:rPr>
        <w:t>8 </w:t>
      </w:r>
      <w:r w:rsidR="00C43D20" w:rsidRPr="00577BF3">
        <w:rPr>
          <w:rFonts w:cs="Times New Roman"/>
          <w:szCs w:val="24"/>
        </w:rPr>
        <w:t xml:space="preserve">prokurora štata vietas, no tām </w:t>
      </w:r>
      <w:r w:rsidRPr="00577BF3">
        <w:rPr>
          <w:rFonts w:cs="Times New Roman"/>
          <w:szCs w:val="24"/>
        </w:rPr>
        <w:t>6 </w:t>
      </w:r>
      <w:r w:rsidR="00C43D20" w:rsidRPr="00577BF3">
        <w:rPr>
          <w:rFonts w:cs="Times New Roman"/>
          <w:lang w:eastAsia="lv-LV"/>
        </w:rPr>
        <w:t xml:space="preserve">prokurora štata vietas ar pastāvīgo darbavietu </w:t>
      </w:r>
      <w:r w:rsidRPr="00577BF3">
        <w:rPr>
          <w:rFonts w:cs="Times New Roman"/>
          <w:lang w:eastAsia="lv-LV"/>
        </w:rPr>
        <w:t>Jelgav</w:t>
      </w:r>
      <w:r w:rsidR="00C43D20" w:rsidRPr="00577BF3">
        <w:rPr>
          <w:rFonts w:cs="Times New Roman"/>
          <w:lang w:eastAsia="lv-LV"/>
        </w:rPr>
        <w:t xml:space="preserve">ā, 2 prokurora štata vietas ar pastāvīgo darbavietu </w:t>
      </w:r>
      <w:r w:rsidRPr="00577BF3">
        <w:rPr>
          <w:rFonts w:cs="Times New Roman"/>
          <w:lang w:eastAsia="lv-LV"/>
        </w:rPr>
        <w:t>Aizkrauklē</w:t>
      </w:r>
      <w:r w:rsidR="00C43D20" w:rsidRPr="00577BF3">
        <w:rPr>
          <w:rFonts w:cs="Times New Roman"/>
          <w:szCs w:val="24"/>
        </w:rPr>
        <w:t>);</w:t>
      </w:r>
    </w:p>
    <w:p w14:paraId="3EAE3FD1" w14:textId="3404D47D" w:rsidR="00C43D20" w:rsidRPr="00577BF3" w:rsidRDefault="00C43D20" w:rsidP="00B16727">
      <w:pPr>
        <w:pStyle w:val="ListParagraph"/>
        <w:numPr>
          <w:ilvl w:val="0"/>
          <w:numId w:val="1"/>
        </w:numPr>
        <w:spacing w:after="0" w:line="240" w:lineRule="auto"/>
        <w:jc w:val="both"/>
        <w:rPr>
          <w:rFonts w:cs="Times New Roman"/>
          <w:szCs w:val="24"/>
        </w:rPr>
      </w:pPr>
      <w:r w:rsidRPr="00577BF3">
        <w:rPr>
          <w:rFonts w:cs="Times New Roman"/>
          <w:szCs w:val="24"/>
        </w:rPr>
        <w:t>A</w:t>
      </w:r>
      <w:r w:rsidR="00831673" w:rsidRPr="00577BF3">
        <w:rPr>
          <w:rFonts w:cs="Times New Roman"/>
          <w:szCs w:val="24"/>
        </w:rPr>
        <w:t>izkraukles</w:t>
      </w:r>
      <w:r w:rsidRPr="00577BF3">
        <w:rPr>
          <w:rFonts w:cs="Times New Roman"/>
          <w:szCs w:val="24"/>
        </w:rPr>
        <w:t xml:space="preserve"> rajona prokuratūra – </w:t>
      </w:r>
      <w:r w:rsidR="00831673" w:rsidRPr="00577BF3">
        <w:rPr>
          <w:rFonts w:cs="Times New Roman"/>
          <w:szCs w:val="24"/>
        </w:rPr>
        <w:t>5 </w:t>
      </w:r>
      <w:r w:rsidRPr="00577BF3">
        <w:rPr>
          <w:rFonts w:cs="Times New Roman"/>
        </w:rPr>
        <w:t>prokurora</w:t>
      </w:r>
      <w:r w:rsidRPr="00577BF3">
        <w:rPr>
          <w:rFonts w:cs="Times New Roman"/>
          <w:szCs w:val="24"/>
        </w:rPr>
        <w:t xml:space="preserve"> amata vietas</w:t>
      </w:r>
      <w:r w:rsidR="00FB2020" w:rsidRPr="00577BF3">
        <w:rPr>
          <w:rFonts w:cs="Times New Roman"/>
          <w:szCs w:val="24"/>
        </w:rPr>
        <w:t xml:space="preserve"> </w:t>
      </w:r>
      <w:r w:rsidRPr="00577BF3">
        <w:rPr>
          <w:rFonts w:cs="Times New Roman"/>
          <w:szCs w:val="24"/>
        </w:rPr>
        <w:t xml:space="preserve">(1 virsprokurora un </w:t>
      </w:r>
      <w:r w:rsidR="00831673" w:rsidRPr="00577BF3">
        <w:rPr>
          <w:rFonts w:cs="Times New Roman"/>
        </w:rPr>
        <w:t>4 </w:t>
      </w:r>
      <w:r w:rsidRPr="00577BF3">
        <w:rPr>
          <w:rFonts w:cs="Times New Roman"/>
        </w:rPr>
        <w:t>prokurora</w:t>
      </w:r>
      <w:r w:rsidRPr="00577BF3">
        <w:rPr>
          <w:rFonts w:cs="Times New Roman"/>
          <w:szCs w:val="24"/>
        </w:rPr>
        <w:t xml:space="preserve"> štata vietas);</w:t>
      </w:r>
    </w:p>
    <w:p w14:paraId="3DD30A1F" w14:textId="4016F511" w:rsidR="00C43D20" w:rsidRPr="00577BF3" w:rsidRDefault="00831673" w:rsidP="00B16727">
      <w:pPr>
        <w:pStyle w:val="ListParagraph"/>
        <w:numPr>
          <w:ilvl w:val="0"/>
          <w:numId w:val="1"/>
        </w:numPr>
        <w:spacing w:after="0" w:line="240" w:lineRule="auto"/>
        <w:jc w:val="both"/>
        <w:rPr>
          <w:rFonts w:cs="Times New Roman"/>
          <w:szCs w:val="24"/>
        </w:rPr>
      </w:pPr>
      <w:r w:rsidRPr="00577BF3">
        <w:rPr>
          <w:rFonts w:cs="Times New Roman"/>
          <w:szCs w:val="24"/>
        </w:rPr>
        <w:t>Bauskas</w:t>
      </w:r>
      <w:r w:rsidR="00C43D20" w:rsidRPr="00577BF3">
        <w:rPr>
          <w:rFonts w:cs="Times New Roman"/>
          <w:szCs w:val="24"/>
        </w:rPr>
        <w:t xml:space="preserve"> rajona prokuratūra – </w:t>
      </w:r>
      <w:r w:rsidRPr="00577BF3">
        <w:rPr>
          <w:rFonts w:cs="Times New Roman"/>
          <w:szCs w:val="24"/>
        </w:rPr>
        <w:t>7 </w:t>
      </w:r>
      <w:r w:rsidR="00C43D20" w:rsidRPr="00577BF3">
        <w:rPr>
          <w:rFonts w:cs="Times New Roman"/>
          <w:szCs w:val="24"/>
        </w:rPr>
        <w:t xml:space="preserve">prokurora amata vietas (1 virsprokurora un </w:t>
      </w:r>
      <w:r w:rsidRPr="00577BF3">
        <w:rPr>
          <w:rFonts w:cs="Times New Roman"/>
          <w:szCs w:val="24"/>
        </w:rPr>
        <w:t>6 </w:t>
      </w:r>
      <w:r w:rsidR="00C43D20" w:rsidRPr="00577BF3">
        <w:rPr>
          <w:rFonts w:cs="Times New Roman"/>
          <w:szCs w:val="24"/>
        </w:rPr>
        <w:t>prokurora štata vietas);</w:t>
      </w:r>
    </w:p>
    <w:p w14:paraId="64380EE4" w14:textId="231E13F9" w:rsidR="00C43D20" w:rsidRPr="00577BF3" w:rsidRDefault="00831673" w:rsidP="00B16727">
      <w:pPr>
        <w:pStyle w:val="ListParagraph"/>
        <w:numPr>
          <w:ilvl w:val="0"/>
          <w:numId w:val="1"/>
        </w:numPr>
        <w:spacing w:after="0" w:line="240" w:lineRule="auto"/>
        <w:jc w:val="both"/>
        <w:rPr>
          <w:rFonts w:cs="Times New Roman"/>
          <w:szCs w:val="24"/>
        </w:rPr>
      </w:pPr>
      <w:r w:rsidRPr="00577BF3">
        <w:rPr>
          <w:rFonts w:cs="Times New Roman"/>
          <w:szCs w:val="24"/>
        </w:rPr>
        <w:t>Dobeles</w:t>
      </w:r>
      <w:r w:rsidR="00C43D20" w:rsidRPr="00577BF3">
        <w:rPr>
          <w:rFonts w:cs="Times New Roman"/>
          <w:szCs w:val="24"/>
        </w:rPr>
        <w:t xml:space="preserve"> rajona prokuratūra – </w:t>
      </w:r>
      <w:r w:rsidRPr="00577BF3">
        <w:rPr>
          <w:rFonts w:cs="Times New Roman"/>
          <w:szCs w:val="24"/>
        </w:rPr>
        <w:t>5 </w:t>
      </w:r>
      <w:r w:rsidR="00C43D20" w:rsidRPr="00577BF3">
        <w:rPr>
          <w:rFonts w:cs="Times New Roman"/>
          <w:szCs w:val="24"/>
        </w:rPr>
        <w:t xml:space="preserve">prokurora amata vietas (1 virsprokurora un </w:t>
      </w:r>
      <w:r w:rsidRPr="00577BF3">
        <w:rPr>
          <w:rFonts w:cs="Times New Roman"/>
          <w:szCs w:val="24"/>
        </w:rPr>
        <w:t>4 </w:t>
      </w:r>
      <w:r w:rsidR="00C43D20" w:rsidRPr="00577BF3">
        <w:rPr>
          <w:rFonts w:cs="Times New Roman"/>
          <w:szCs w:val="24"/>
        </w:rPr>
        <w:t>prokurora štata vietas);</w:t>
      </w:r>
    </w:p>
    <w:p w14:paraId="55A0338B" w14:textId="29E0E711" w:rsidR="00C43D20" w:rsidRPr="00577BF3" w:rsidRDefault="00487DF9"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Jelgavas </w:t>
      </w:r>
      <w:r w:rsidR="00C43D20" w:rsidRPr="00577BF3">
        <w:rPr>
          <w:rFonts w:cs="Times New Roman"/>
          <w:szCs w:val="24"/>
        </w:rPr>
        <w:t xml:space="preserve">prokuratūra – </w:t>
      </w:r>
      <w:r w:rsidRPr="00577BF3">
        <w:rPr>
          <w:rFonts w:cs="Times New Roman"/>
          <w:szCs w:val="24"/>
        </w:rPr>
        <w:t>1</w:t>
      </w:r>
      <w:r w:rsidR="00C43D20" w:rsidRPr="00577BF3">
        <w:rPr>
          <w:rFonts w:cs="Times New Roman"/>
          <w:szCs w:val="24"/>
        </w:rPr>
        <w:t xml:space="preserve">4 prokurora amata vietas (1 virsprokurora un </w:t>
      </w:r>
      <w:r w:rsidRPr="00577BF3">
        <w:rPr>
          <w:rFonts w:cs="Times New Roman"/>
          <w:szCs w:val="24"/>
        </w:rPr>
        <w:t>1</w:t>
      </w:r>
      <w:r w:rsidR="00C43D20" w:rsidRPr="00577BF3">
        <w:rPr>
          <w:rFonts w:cs="Times New Roman"/>
          <w:szCs w:val="24"/>
        </w:rPr>
        <w:t>3 prokurora štata vietas);</w:t>
      </w:r>
    </w:p>
    <w:p w14:paraId="7DE638DA" w14:textId="2D5C19C7" w:rsidR="00C43D20" w:rsidRPr="00577BF3" w:rsidRDefault="00487DF9"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Jēkabpils rajona </w:t>
      </w:r>
      <w:r w:rsidR="00C43D20" w:rsidRPr="00577BF3">
        <w:rPr>
          <w:rFonts w:cs="Times New Roman"/>
          <w:szCs w:val="24"/>
        </w:rPr>
        <w:t xml:space="preserve">prokuratūra – </w:t>
      </w:r>
      <w:r w:rsidRPr="00577BF3">
        <w:rPr>
          <w:rFonts w:cs="Times New Roman"/>
          <w:szCs w:val="24"/>
        </w:rPr>
        <w:t>7 </w:t>
      </w:r>
      <w:r w:rsidR="00C43D20" w:rsidRPr="00577BF3">
        <w:rPr>
          <w:rFonts w:cs="Times New Roman"/>
          <w:szCs w:val="24"/>
        </w:rPr>
        <w:t xml:space="preserve">prokurora amata vietas (1 virsprokurora un </w:t>
      </w:r>
      <w:r w:rsidRPr="00577BF3">
        <w:rPr>
          <w:rFonts w:cs="Times New Roman"/>
          <w:szCs w:val="24"/>
        </w:rPr>
        <w:t>6 </w:t>
      </w:r>
      <w:r w:rsidR="00C43D20" w:rsidRPr="00577BF3">
        <w:rPr>
          <w:rFonts w:cs="Times New Roman"/>
          <w:szCs w:val="24"/>
        </w:rPr>
        <w:t>prokurora štata vietas);</w:t>
      </w:r>
    </w:p>
    <w:p w14:paraId="5D0C5C55" w14:textId="2AEA1BAE" w:rsidR="00C43D20" w:rsidRPr="00577BF3" w:rsidRDefault="00487DF9" w:rsidP="00B16727">
      <w:pPr>
        <w:pStyle w:val="ListParagraph"/>
        <w:numPr>
          <w:ilvl w:val="0"/>
          <w:numId w:val="1"/>
        </w:numPr>
        <w:spacing w:after="0" w:line="240" w:lineRule="auto"/>
        <w:ind w:left="714" w:hanging="357"/>
        <w:jc w:val="both"/>
        <w:rPr>
          <w:rFonts w:cs="Times New Roman"/>
          <w:szCs w:val="24"/>
        </w:rPr>
      </w:pPr>
      <w:r w:rsidRPr="00577BF3">
        <w:rPr>
          <w:rFonts w:cs="Times New Roman"/>
          <w:szCs w:val="24"/>
        </w:rPr>
        <w:t>Tukuma</w:t>
      </w:r>
      <w:r w:rsidR="00C43D20" w:rsidRPr="00577BF3">
        <w:rPr>
          <w:rFonts w:cs="Times New Roman"/>
          <w:szCs w:val="24"/>
        </w:rPr>
        <w:t xml:space="preserve"> rajona prokuratūra – </w:t>
      </w:r>
      <w:r w:rsidRPr="00577BF3">
        <w:rPr>
          <w:rFonts w:cs="Times New Roman"/>
          <w:szCs w:val="24"/>
        </w:rPr>
        <w:t>5 </w:t>
      </w:r>
      <w:r w:rsidR="00C43D20" w:rsidRPr="00577BF3">
        <w:rPr>
          <w:rFonts w:cs="Times New Roman"/>
          <w:szCs w:val="24"/>
        </w:rPr>
        <w:t xml:space="preserve">prokurora amata vietas (1 virsprokurora un </w:t>
      </w:r>
      <w:r w:rsidRPr="00577BF3">
        <w:rPr>
          <w:rFonts w:cs="Times New Roman"/>
          <w:szCs w:val="24"/>
        </w:rPr>
        <w:t>4 </w:t>
      </w:r>
      <w:r w:rsidR="00C43D20" w:rsidRPr="00577BF3">
        <w:rPr>
          <w:rFonts w:cs="Times New Roman"/>
          <w:szCs w:val="24"/>
        </w:rPr>
        <w:t>prokurora štata vietas)</w:t>
      </w:r>
      <w:r w:rsidRPr="00577BF3">
        <w:rPr>
          <w:rFonts w:cs="Times New Roman"/>
          <w:szCs w:val="24"/>
        </w:rPr>
        <w:t>.</w:t>
      </w:r>
    </w:p>
    <w:bookmarkEnd w:id="33"/>
    <w:p w14:paraId="3E3F0FAE" w14:textId="17D7D008" w:rsidR="00C43D20" w:rsidRDefault="00C43D20" w:rsidP="00CF4214">
      <w:pPr>
        <w:spacing w:after="0" w:line="240" w:lineRule="auto"/>
        <w:jc w:val="both"/>
        <w:rPr>
          <w:rFonts w:cs="Times New Roman"/>
          <w:szCs w:val="24"/>
        </w:rPr>
      </w:pPr>
    </w:p>
    <w:p w14:paraId="4D548A50" w14:textId="24B77C88" w:rsidR="00FB371F" w:rsidRDefault="0095201D" w:rsidP="007B61D1">
      <w:pPr>
        <w:spacing w:after="0" w:line="240" w:lineRule="auto"/>
        <w:jc w:val="center"/>
        <w:rPr>
          <w:rFonts w:cs="Times New Roman"/>
          <w:szCs w:val="24"/>
        </w:rPr>
      </w:pPr>
      <w:r w:rsidRPr="00577BF3">
        <w:rPr>
          <w:rFonts w:cs="Times New Roman"/>
          <w:noProof/>
        </w:rPr>
        <w:drawing>
          <wp:inline distT="0" distB="0" distL="0" distR="0" wp14:anchorId="504991EE" wp14:editId="10F93DF6">
            <wp:extent cx="3613150" cy="1644650"/>
            <wp:effectExtent l="0" t="0" r="6350" b="12700"/>
            <wp:docPr id="89" name="Chart 89">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86EAA40" w14:textId="77777777" w:rsidR="00165FE7" w:rsidRPr="00577BF3" w:rsidRDefault="00165FE7" w:rsidP="00165FE7">
      <w:pPr>
        <w:spacing w:after="0" w:line="240" w:lineRule="auto"/>
        <w:jc w:val="center"/>
        <w:rPr>
          <w:rFonts w:cs="Times New Roman"/>
          <w:szCs w:val="24"/>
        </w:rPr>
      </w:pPr>
    </w:p>
    <w:p w14:paraId="2EAA933E" w14:textId="54C4FA67" w:rsidR="00165FE7" w:rsidRDefault="00165FE7" w:rsidP="00165FE7">
      <w:pPr>
        <w:spacing w:after="0" w:line="240" w:lineRule="auto"/>
        <w:ind w:firstLine="714"/>
        <w:jc w:val="both"/>
        <w:rPr>
          <w:rFonts w:cs="Times New Roman"/>
          <w:szCs w:val="24"/>
        </w:rPr>
      </w:pPr>
      <w:bookmarkStart w:id="35" w:name="_Hlk63696943"/>
      <w:r>
        <w:rPr>
          <w:rFonts w:cs="Times New Roman"/>
          <w:szCs w:val="24"/>
        </w:rPr>
        <w:tab/>
        <w:t>Kopumā Zemgales tiesas apgabalā uz 2020. gada 31. decembri bija noteiktas 5</w:t>
      </w:r>
      <w:r w:rsidR="005752BF">
        <w:rPr>
          <w:rFonts w:cs="Times New Roman"/>
          <w:szCs w:val="24"/>
        </w:rPr>
        <w:t>2 </w:t>
      </w:r>
      <w:r>
        <w:rPr>
          <w:rFonts w:cs="Times New Roman"/>
          <w:szCs w:val="24"/>
        </w:rPr>
        <w:t>prokurora amata vietas, no kurām aizpildītas 4</w:t>
      </w:r>
      <w:r w:rsidR="005752BF">
        <w:rPr>
          <w:rFonts w:cs="Times New Roman"/>
          <w:szCs w:val="24"/>
        </w:rPr>
        <w:t>6</w:t>
      </w:r>
      <w:r>
        <w:rPr>
          <w:rFonts w:cs="Times New Roman"/>
          <w:szCs w:val="24"/>
        </w:rPr>
        <w:t xml:space="preserve"> (virsprokurora</w:t>
      </w:r>
      <w:r w:rsidR="005752BF">
        <w:rPr>
          <w:rFonts w:cs="Times New Roman"/>
          <w:szCs w:val="24"/>
        </w:rPr>
        <w:t xml:space="preserve"> </w:t>
      </w:r>
      <w:r>
        <w:rPr>
          <w:rFonts w:cs="Times New Roman"/>
          <w:szCs w:val="24"/>
        </w:rPr>
        <w:t>un prokurora štata vietas) jeb 8</w:t>
      </w:r>
      <w:r w:rsidR="007A11C8">
        <w:rPr>
          <w:rFonts w:cs="Times New Roman"/>
          <w:szCs w:val="24"/>
        </w:rPr>
        <w:t>8</w:t>
      </w:r>
      <w:r>
        <w:rPr>
          <w:rFonts w:cs="Times New Roman"/>
          <w:szCs w:val="24"/>
        </w:rPr>
        <w:t> %</w:t>
      </w:r>
      <w:r w:rsidR="007A11C8">
        <w:rPr>
          <w:rFonts w:cs="Times New Roman"/>
          <w:szCs w:val="24"/>
        </w:rPr>
        <w:t xml:space="preserve">, bet reāli strādāja </w:t>
      </w:r>
      <w:r w:rsidR="00431F1C">
        <w:rPr>
          <w:rFonts w:cs="Times New Roman"/>
          <w:szCs w:val="24"/>
        </w:rPr>
        <w:t>44 jeb 85 %</w:t>
      </w:r>
      <w:r w:rsidR="00FB78D4">
        <w:rPr>
          <w:rFonts w:cs="Times New Roman"/>
          <w:szCs w:val="24"/>
        </w:rPr>
        <w:t>, jo 2 prokurori atradās ilgstošā prombūtnē.</w:t>
      </w:r>
    </w:p>
    <w:p w14:paraId="7A1DCA6D" w14:textId="389A7464" w:rsidR="007B61D1" w:rsidRDefault="003C3316" w:rsidP="00732A28">
      <w:pPr>
        <w:spacing w:after="0" w:line="240" w:lineRule="auto"/>
        <w:ind w:firstLine="720"/>
        <w:jc w:val="both"/>
        <w:rPr>
          <w:rFonts w:cs="Times New Roman"/>
          <w:szCs w:val="24"/>
        </w:rPr>
      </w:pPr>
      <w:r w:rsidRPr="00577BF3">
        <w:rPr>
          <w:rFonts w:cs="Times New Roman"/>
          <w:szCs w:val="24"/>
        </w:rPr>
        <w:t>Prokuratūrā notiekošā reorganizācija ietver rajona līmeņa prokuratūras struktūrvienību apvienošanu, izveidojot jaunas prokuratūras struktūrvienības</w:t>
      </w:r>
      <w:bookmarkEnd w:id="35"/>
      <w:r w:rsidRPr="00577BF3">
        <w:rPr>
          <w:rFonts w:cs="Times New Roman"/>
          <w:szCs w:val="24"/>
        </w:rPr>
        <w:t xml:space="preserve">, tādējādi samazinot to skaitu. Zemgales tiesas apgabalā no 2021. gada 1. marta, apvienojot </w:t>
      </w:r>
      <w:r w:rsidR="00B61872" w:rsidRPr="00577BF3">
        <w:rPr>
          <w:rFonts w:cs="Times New Roman"/>
          <w:szCs w:val="24"/>
        </w:rPr>
        <w:t>7 </w:t>
      </w:r>
      <w:r w:rsidRPr="00577BF3">
        <w:rPr>
          <w:rFonts w:cs="Times New Roman"/>
          <w:szCs w:val="24"/>
        </w:rPr>
        <w:t>rajona līmeņa prokuratūras struktūrvienības, izveidotas 2 jaunas rajona līmeņa prokuratūras</w:t>
      </w:r>
      <w:r w:rsidR="008C3CBA" w:rsidRPr="00577BF3">
        <w:rPr>
          <w:rFonts w:cs="Times New Roman"/>
          <w:szCs w:val="24"/>
        </w:rPr>
        <w:t xml:space="preserve"> struktūrvienības</w:t>
      </w:r>
      <w:r w:rsidRPr="00577BF3">
        <w:rPr>
          <w:rFonts w:cs="Times New Roman"/>
          <w:szCs w:val="24"/>
        </w:rPr>
        <w:t xml:space="preserve"> – </w:t>
      </w:r>
      <w:r w:rsidRPr="00577BF3">
        <w:rPr>
          <w:rFonts w:cs="Times New Roman"/>
          <w:b/>
          <w:bCs/>
          <w:szCs w:val="24"/>
        </w:rPr>
        <w:t>Austrumzemgales prokuratūra</w:t>
      </w:r>
      <w:r w:rsidRPr="00577BF3">
        <w:rPr>
          <w:rFonts w:cs="Times New Roman"/>
          <w:szCs w:val="24"/>
        </w:rPr>
        <w:t>, apvienojot Aizkraukles rajona prokuratūru, Bauskas rajona prokuratūru, Jēkabpils rajona prokuratūru un</w:t>
      </w:r>
      <w:r w:rsidR="00B61872" w:rsidRPr="00577BF3">
        <w:rPr>
          <w:rFonts w:cs="Times New Roman"/>
          <w:szCs w:val="24"/>
        </w:rPr>
        <w:t xml:space="preserve"> no 2021. gada 1.janvāra Zemgales tiesas apgabala</w:t>
      </w:r>
      <w:r w:rsidR="009553C1">
        <w:rPr>
          <w:rFonts w:cs="Times New Roman"/>
          <w:szCs w:val="24"/>
        </w:rPr>
        <w:t xml:space="preserve"> prokuratūras</w:t>
      </w:r>
      <w:r w:rsidR="00B61872" w:rsidRPr="00577BF3">
        <w:rPr>
          <w:rFonts w:cs="Times New Roman"/>
          <w:szCs w:val="24"/>
        </w:rPr>
        <w:t xml:space="preserve"> darbības </w:t>
      </w:r>
      <w:r w:rsidR="009553C1">
        <w:rPr>
          <w:rFonts w:cs="Times New Roman"/>
          <w:szCs w:val="24"/>
        </w:rPr>
        <w:t>teritorijā</w:t>
      </w:r>
      <w:r w:rsidR="00B61872" w:rsidRPr="00577BF3">
        <w:rPr>
          <w:rFonts w:cs="Times New Roman"/>
          <w:szCs w:val="24"/>
        </w:rPr>
        <w:t xml:space="preserve"> iekļauto Ogres rajona prokuratūru, </w:t>
      </w:r>
      <w:r w:rsidRPr="00577BF3">
        <w:rPr>
          <w:rFonts w:cs="Times New Roman"/>
          <w:szCs w:val="24"/>
        </w:rPr>
        <w:t xml:space="preserve">un </w:t>
      </w:r>
      <w:r w:rsidR="00FB2020" w:rsidRPr="00577BF3">
        <w:rPr>
          <w:rFonts w:cs="Times New Roman"/>
          <w:b/>
          <w:bCs/>
          <w:szCs w:val="24"/>
        </w:rPr>
        <w:t>Rietumzem</w:t>
      </w:r>
      <w:r w:rsidRPr="00577BF3">
        <w:rPr>
          <w:rFonts w:cs="Times New Roman"/>
          <w:b/>
          <w:bCs/>
          <w:szCs w:val="24"/>
        </w:rPr>
        <w:t>gales prokuratūra</w:t>
      </w:r>
      <w:r w:rsidRPr="00577BF3">
        <w:rPr>
          <w:rFonts w:cs="Times New Roman"/>
          <w:szCs w:val="24"/>
        </w:rPr>
        <w:t>, apvienojot D</w:t>
      </w:r>
      <w:r w:rsidR="00FB2020" w:rsidRPr="00577BF3">
        <w:rPr>
          <w:rFonts w:cs="Times New Roman"/>
          <w:szCs w:val="24"/>
        </w:rPr>
        <w:t xml:space="preserve">obeles rajona </w:t>
      </w:r>
      <w:r w:rsidRPr="00577BF3">
        <w:rPr>
          <w:rFonts w:cs="Times New Roman"/>
          <w:szCs w:val="24"/>
        </w:rPr>
        <w:t xml:space="preserve">prokuratūru, </w:t>
      </w:r>
      <w:r w:rsidR="00FB2020" w:rsidRPr="00577BF3">
        <w:rPr>
          <w:rFonts w:cs="Times New Roman"/>
          <w:szCs w:val="24"/>
        </w:rPr>
        <w:t xml:space="preserve">Jelgavas </w:t>
      </w:r>
      <w:r w:rsidRPr="00577BF3">
        <w:rPr>
          <w:rFonts w:cs="Times New Roman"/>
          <w:szCs w:val="24"/>
        </w:rPr>
        <w:t xml:space="preserve">prokuratūru un </w:t>
      </w:r>
      <w:r w:rsidR="00FB2020" w:rsidRPr="00577BF3">
        <w:rPr>
          <w:rFonts w:cs="Times New Roman"/>
          <w:szCs w:val="24"/>
        </w:rPr>
        <w:t xml:space="preserve">Tukuma </w:t>
      </w:r>
      <w:r w:rsidRPr="00577BF3">
        <w:rPr>
          <w:rFonts w:cs="Times New Roman"/>
          <w:szCs w:val="24"/>
        </w:rPr>
        <w:t xml:space="preserve">rajona prokuratūru, un samazinātas </w:t>
      </w:r>
      <w:r w:rsidR="001531D5" w:rsidRPr="00577BF3">
        <w:rPr>
          <w:rFonts w:cs="Times New Roman"/>
          <w:szCs w:val="24"/>
        </w:rPr>
        <w:t>2 </w:t>
      </w:r>
      <w:r w:rsidRPr="00577BF3">
        <w:rPr>
          <w:rFonts w:cs="Times New Roman"/>
          <w:szCs w:val="24"/>
        </w:rPr>
        <w:t>prokurora amata vietas.</w:t>
      </w:r>
    </w:p>
    <w:p w14:paraId="4FB05F85" w14:textId="77777777" w:rsidR="007B61D1" w:rsidRDefault="007B61D1">
      <w:pPr>
        <w:rPr>
          <w:rFonts w:cs="Times New Roman"/>
          <w:szCs w:val="24"/>
        </w:rPr>
      </w:pPr>
      <w:r>
        <w:rPr>
          <w:rFonts w:cs="Times New Roman"/>
          <w:szCs w:val="24"/>
        </w:rPr>
        <w:br w:type="page"/>
      </w:r>
    </w:p>
    <w:bookmarkEnd w:id="34"/>
    <w:p w14:paraId="745CDE7C" w14:textId="5B5AADAE" w:rsidR="00732A28" w:rsidRPr="006F65A6" w:rsidRDefault="00732A28" w:rsidP="00732A28">
      <w:pPr>
        <w:spacing w:after="0" w:line="240" w:lineRule="auto"/>
        <w:jc w:val="center"/>
        <w:rPr>
          <w:rFonts w:eastAsia="Times New Roman"/>
          <w:b/>
          <w:bCs/>
          <w:sz w:val="28"/>
          <w:szCs w:val="28"/>
          <w:lang w:eastAsia="lv-LV"/>
        </w:rPr>
      </w:pPr>
      <w:r w:rsidRPr="006F65A6">
        <w:rPr>
          <w:rFonts w:eastAsia="Times New Roman"/>
          <w:b/>
          <w:bCs/>
          <w:sz w:val="28"/>
          <w:szCs w:val="28"/>
          <w:lang w:eastAsia="lv-LV"/>
        </w:rPr>
        <w:lastRenderedPageBreak/>
        <w:t>II</w:t>
      </w:r>
      <w:r>
        <w:rPr>
          <w:rFonts w:eastAsia="Times New Roman"/>
          <w:b/>
          <w:bCs/>
          <w:sz w:val="28"/>
          <w:szCs w:val="28"/>
          <w:lang w:eastAsia="lv-LV"/>
        </w:rPr>
        <w:t>. </w:t>
      </w:r>
      <w:r w:rsidRPr="006F65A6">
        <w:rPr>
          <w:rFonts w:eastAsia="Times New Roman"/>
          <w:b/>
          <w:bCs/>
          <w:sz w:val="28"/>
          <w:szCs w:val="28"/>
          <w:lang w:eastAsia="lv-LV"/>
        </w:rPr>
        <w:t>Tiesas apgabala prokuratūras darba rādītāji</w:t>
      </w:r>
    </w:p>
    <w:p w14:paraId="6684648C" w14:textId="70171A44" w:rsidR="00732A28" w:rsidRDefault="00732A28" w:rsidP="008530D0">
      <w:pPr>
        <w:spacing w:after="0" w:line="240" w:lineRule="auto"/>
        <w:ind w:firstLine="720"/>
        <w:jc w:val="center"/>
        <w:rPr>
          <w:rFonts w:eastAsia="Times New Roman"/>
          <w:b/>
          <w:bCs/>
          <w:sz w:val="28"/>
          <w:szCs w:val="28"/>
          <w:lang w:eastAsia="lv-LV"/>
        </w:rPr>
      </w:pPr>
      <w:r w:rsidRPr="00940E02">
        <w:rPr>
          <w:rFonts w:eastAsia="Times New Roman"/>
          <w:b/>
          <w:bCs/>
          <w:sz w:val="28"/>
          <w:szCs w:val="28"/>
          <w:lang w:eastAsia="lv-LV"/>
        </w:rPr>
        <w:t>(salīdzinājums 3 gadu periodā)</w:t>
      </w:r>
    </w:p>
    <w:p w14:paraId="41579618" w14:textId="77777777" w:rsidR="008530D0" w:rsidRPr="008530D0" w:rsidRDefault="008530D0" w:rsidP="008530D0">
      <w:pPr>
        <w:spacing w:after="0" w:line="240" w:lineRule="auto"/>
        <w:ind w:firstLine="720"/>
        <w:jc w:val="center"/>
        <w:rPr>
          <w:rFonts w:eastAsia="Times New Roman"/>
          <w:b/>
          <w:bCs/>
          <w:szCs w:val="24"/>
          <w:lang w:eastAsia="lv-LV"/>
        </w:rPr>
      </w:pPr>
    </w:p>
    <w:p w14:paraId="38AD6538" w14:textId="640895E0" w:rsidR="008530D0" w:rsidRPr="002B251F" w:rsidRDefault="008530D0" w:rsidP="00E329FC">
      <w:pPr>
        <w:pStyle w:val="ListParagraph"/>
        <w:numPr>
          <w:ilvl w:val="0"/>
          <w:numId w:val="58"/>
        </w:numPr>
        <w:spacing w:after="0" w:line="240" w:lineRule="auto"/>
        <w:rPr>
          <w:rFonts w:eastAsia="Times New Roman"/>
          <w:b/>
          <w:bCs/>
          <w:szCs w:val="24"/>
          <w:lang w:eastAsia="lv-LV"/>
        </w:rPr>
      </w:pPr>
      <w:r>
        <w:rPr>
          <w:noProof/>
        </w:rPr>
        <w:drawing>
          <wp:anchor distT="0" distB="0" distL="114300" distR="114300" simplePos="0" relativeHeight="251731456" behindDoc="0" locked="0" layoutInCell="1" allowOverlap="1" wp14:anchorId="47AEA70D" wp14:editId="6C77EC59">
            <wp:simplePos x="0" y="0"/>
            <wp:positionH relativeFrom="margin">
              <wp:align>center</wp:align>
            </wp:positionH>
            <wp:positionV relativeFrom="paragraph">
              <wp:posOffset>263756</wp:posOffset>
            </wp:positionV>
            <wp:extent cx="3956050" cy="1891665"/>
            <wp:effectExtent l="0" t="0" r="6350" b="13335"/>
            <wp:wrapTopAndBottom/>
            <wp:docPr id="80" name="Chart 80">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r>
        <w:rPr>
          <w:rFonts w:eastAsia="Times New Roman"/>
          <w:b/>
          <w:bCs/>
          <w:szCs w:val="24"/>
          <w:lang w:eastAsia="lv-LV"/>
        </w:rPr>
        <w:t>Kriminālvajāšanai saņemti kriminālprocesi</w:t>
      </w:r>
    </w:p>
    <w:p w14:paraId="6F10E630" w14:textId="77777777" w:rsidR="008530D0" w:rsidRDefault="008530D0" w:rsidP="008530D0">
      <w:pPr>
        <w:spacing w:after="0"/>
        <w:ind w:left="357" w:firstLine="357"/>
        <w:jc w:val="both"/>
      </w:pPr>
    </w:p>
    <w:p w14:paraId="765BBF43" w14:textId="004153F4" w:rsidR="008530D0" w:rsidRDefault="008530D0" w:rsidP="008530D0">
      <w:pPr>
        <w:spacing w:after="0" w:line="240" w:lineRule="auto"/>
        <w:ind w:firstLine="720"/>
        <w:jc w:val="both"/>
      </w:pPr>
      <w:r w:rsidRPr="00053C47">
        <w:t>Zemgales tiesas apgabala prokuratūr</w:t>
      </w:r>
      <w:r w:rsidR="00477E33">
        <w:t>as</w:t>
      </w:r>
      <w:r w:rsidRPr="00053C47">
        <w:t xml:space="preserve"> lietvedībā saņemto kriminālprocesu skaita samazinājums ir rezultāts iepriekšējos gados uzraudzībā pieņemtajam salīdzinoši nelielajam kriminālprocesu skaitam. Pie dotā fakta gan jānorāda, ka Zemgales tiesas apgabala prokuratūr</w:t>
      </w:r>
      <w:r>
        <w:t xml:space="preserve">ā 2020. gadā strādāja </w:t>
      </w:r>
      <w:r w:rsidRPr="00053C47">
        <w:t>virsprokurors un 5</w:t>
      </w:r>
      <w:r>
        <w:t> </w:t>
      </w:r>
      <w:r w:rsidRPr="00053C47">
        <w:t xml:space="preserve">prokurori, no kuriem </w:t>
      </w:r>
      <w:r>
        <w:t>2 </w:t>
      </w:r>
      <w:r w:rsidRPr="00053C47">
        <w:t xml:space="preserve">prokurori pamatā bija saistīti ar valsts apsūdzības uzturēšanu apelācijas instances tiesā, bet tikai </w:t>
      </w:r>
      <w:r>
        <w:t>3 </w:t>
      </w:r>
      <w:r w:rsidRPr="00053C47">
        <w:t>prokurori veica izmeklēšanas uzraudzības un kriminālvajāšanas funkcij</w:t>
      </w:r>
      <w:r>
        <w:t>as</w:t>
      </w:r>
      <w:r w:rsidRPr="00053C47">
        <w:t>. Sakarā ar to virkne kriminālproces</w:t>
      </w:r>
      <w:r>
        <w:t>u</w:t>
      </w:r>
      <w:r w:rsidRPr="00053C47">
        <w:t>, kuri bija piekritīgi</w:t>
      </w:r>
      <w:r w:rsidRPr="00CC12B0">
        <w:rPr>
          <w:color w:val="00B050"/>
        </w:rPr>
        <w:t xml:space="preserve"> </w:t>
      </w:r>
      <w:r w:rsidRPr="00053C47">
        <w:t xml:space="preserve">tieši apgabala līmeņa prokuratūrai, uzraudzības organizēšanai iepriekš tika nodoti rajona līmeņa prokuratūrām. </w:t>
      </w:r>
      <w:r>
        <w:t xml:space="preserve">2021. gadā </w:t>
      </w:r>
      <w:r w:rsidRPr="00053C47">
        <w:t>Zemgales tiesas apgabala prokuratūr</w:t>
      </w:r>
      <w:r>
        <w:t xml:space="preserve">ā ir aizpildītas visas prokurora štata vietas, kas ir </w:t>
      </w:r>
      <w:r w:rsidRPr="00053C47">
        <w:t>atbilstoš</w:t>
      </w:r>
      <w:r>
        <w:t>i</w:t>
      </w:r>
      <w:r w:rsidRPr="00053C47">
        <w:t xml:space="preserve"> noslodzei</w:t>
      </w:r>
      <w:r>
        <w:t xml:space="preserve"> un</w:t>
      </w:r>
      <w:r w:rsidRPr="00053C47">
        <w:t xml:space="preserve"> dod iespēju maksimāli pieņemt uzraudzībā kriminālprocesus, kuri norādīti </w:t>
      </w:r>
      <w:bookmarkStart w:id="36" w:name="_Hlk64461547"/>
      <w:r w:rsidRPr="00053C47">
        <w:t>ģenerālprokurora 2020.</w:t>
      </w:r>
      <w:r>
        <w:t> </w:t>
      </w:r>
      <w:r w:rsidRPr="00053C47">
        <w:t>gada 22.</w:t>
      </w:r>
      <w:r>
        <w:t> </w:t>
      </w:r>
      <w:r w:rsidRPr="00053C47">
        <w:t>decembra pavēlē Nr.</w:t>
      </w:r>
      <w:r>
        <w:t> </w:t>
      </w:r>
      <w:r w:rsidRPr="00053C47">
        <w:t xml:space="preserve">119 “ Par prokuratūras struktūrvienību kompetenci”. </w:t>
      </w:r>
      <w:bookmarkEnd w:id="36"/>
    </w:p>
    <w:p w14:paraId="38C5690C" w14:textId="77777777" w:rsidR="008530D0" w:rsidRDefault="008530D0" w:rsidP="008530D0">
      <w:pPr>
        <w:spacing w:after="0" w:line="240" w:lineRule="auto"/>
        <w:jc w:val="both"/>
      </w:pPr>
    </w:p>
    <w:p w14:paraId="085BC702" w14:textId="77777777" w:rsidR="008530D0" w:rsidRPr="002705C2" w:rsidRDefault="008530D0" w:rsidP="00E329FC">
      <w:pPr>
        <w:pStyle w:val="ListParagraph"/>
        <w:numPr>
          <w:ilvl w:val="0"/>
          <w:numId w:val="58"/>
        </w:numPr>
        <w:spacing w:after="0" w:line="240" w:lineRule="auto"/>
        <w:jc w:val="both"/>
        <w:rPr>
          <w:b/>
          <w:bCs/>
        </w:rPr>
      </w:pPr>
      <w:r>
        <w:rPr>
          <w:noProof/>
        </w:rPr>
        <w:drawing>
          <wp:anchor distT="0" distB="0" distL="114300" distR="114300" simplePos="0" relativeHeight="251732480" behindDoc="0" locked="0" layoutInCell="1" allowOverlap="1" wp14:anchorId="74BADB08" wp14:editId="44AFF741">
            <wp:simplePos x="0" y="0"/>
            <wp:positionH relativeFrom="margin">
              <wp:align>center</wp:align>
            </wp:positionH>
            <wp:positionV relativeFrom="paragraph">
              <wp:posOffset>243667</wp:posOffset>
            </wp:positionV>
            <wp:extent cx="3968750" cy="2000250"/>
            <wp:effectExtent l="0" t="0" r="12700" b="0"/>
            <wp:wrapTopAndBottom/>
            <wp:docPr id="147" name="Chart 14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14:sizeRelV relativeFrom="margin">
              <wp14:pctHeight>0</wp14:pctHeight>
            </wp14:sizeRelV>
          </wp:anchor>
        </w:drawing>
      </w:r>
      <w:r>
        <w:rPr>
          <w:b/>
          <w:bCs/>
        </w:rPr>
        <w:t>Tiesai nodotas krimināllietas, no tām vienošanās procesa kārtībā</w:t>
      </w:r>
    </w:p>
    <w:p w14:paraId="43EE3C71" w14:textId="77777777" w:rsidR="008530D0" w:rsidRDefault="008530D0" w:rsidP="008530D0">
      <w:pPr>
        <w:spacing w:after="0" w:line="240" w:lineRule="auto"/>
        <w:ind w:firstLine="357"/>
        <w:jc w:val="both"/>
        <w:rPr>
          <w:bCs/>
          <w:szCs w:val="24"/>
        </w:rPr>
      </w:pPr>
      <w:bookmarkStart w:id="37" w:name="_Hlk64460911"/>
    </w:p>
    <w:p w14:paraId="2591950B" w14:textId="66F9E45E" w:rsidR="008530D0" w:rsidRDefault="008530D0" w:rsidP="008530D0">
      <w:pPr>
        <w:spacing w:line="240" w:lineRule="auto"/>
        <w:ind w:firstLine="720"/>
        <w:jc w:val="both"/>
        <w:rPr>
          <w:bCs/>
          <w:szCs w:val="24"/>
        </w:rPr>
      </w:pPr>
      <w:r w:rsidRPr="002D0FF3">
        <w:rPr>
          <w:bCs/>
          <w:szCs w:val="24"/>
        </w:rPr>
        <w:t xml:space="preserve">Zemgales tiesas apgabala prokuratūrā </w:t>
      </w:r>
      <w:bookmarkEnd w:id="37"/>
      <w:r w:rsidRPr="002D0FF3">
        <w:rPr>
          <w:bCs/>
          <w:szCs w:val="24"/>
        </w:rPr>
        <w:t>vienošanās procesa kārtībā tiek pabeigts salīdzinoši neliels kriminālprocesu skaits, kas izskaidrojams ar apsūdzēto personu attieksmi pret prokurora nostāju attiecībā p</w:t>
      </w:r>
      <w:r>
        <w:rPr>
          <w:bCs/>
          <w:szCs w:val="24"/>
        </w:rPr>
        <w:t>ar</w:t>
      </w:r>
      <w:r w:rsidRPr="002D0FF3">
        <w:rPr>
          <w:bCs/>
          <w:szCs w:val="24"/>
        </w:rPr>
        <w:t xml:space="preserve"> personai piemērojamā soda veidu un mēru. </w:t>
      </w:r>
    </w:p>
    <w:p w14:paraId="5D0F803D" w14:textId="77777777" w:rsidR="008530D0" w:rsidRPr="005C4F3F" w:rsidRDefault="008530D0" w:rsidP="00E329FC">
      <w:pPr>
        <w:pStyle w:val="ListParagraph"/>
        <w:numPr>
          <w:ilvl w:val="0"/>
          <w:numId w:val="58"/>
        </w:numPr>
        <w:spacing w:line="240" w:lineRule="auto"/>
        <w:jc w:val="both"/>
        <w:rPr>
          <w:b/>
          <w:szCs w:val="24"/>
        </w:rPr>
      </w:pPr>
      <w:r>
        <w:rPr>
          <w:noProof/>
        </w:rPr>
        <w:lastRenderedPageBreak/>
        <w:drawing>
          <wp:anchor distT="0" distB="0" distL="114300" distR="114300" simplePos="0" relativeHeight="251733504" behindDoc="0" locked="0" layoutInCell="1" allowOverlap="1" wp14:anchorId="0A757AD2" wp14:editId="563D1654">
            <wp:simplePos x="0" y="0"/>
            <wp:positionH relativeFrom="margin">
              <wp:align>center</wp:align>
            </wp:positionH>
            <wp:positionV relativeFrom="paragraph">
              <wp:posOffset>288002</wp:posOffset>
            </wp:positionV>
            <wp:extent cx="3968750" cy="1644650"/>
            <wp:effectExtent l="0" t="0" r="12700" b="12700"/>
            <wp:wrapTopAndBottom/>
            <wp:docPr id="151" name="Chart 151">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Pr>
          <w:b/>
          <w:szCs w:val="24"/>
        </w:rPr>
        <w:t>Prokuratūrā pabeigti kriminālprocesi, nenododot krimināllietu tiesai</w:t>
      </w:r>
    </w:p>
    <w:p w14:paraId="36B79BAC" w14:textId="77777777" w:rsidR="008530D0" w:rsidRDefault="008530D0" w:rsidP="008530D0">
      <w:pPr>
        <w:tabs>
          <w:tab w:val="left" w:leader="dot" w:pos="8505"/>
        </w:tabs>
        <w:spacing w:after="0" w:line="240" w:lineRule="auto"/>
        <w:jc w:val="both"/>
        <w:rPr>
          <w:rFonts w:cs="Times New Roman"/>
          <w:szCs w:val="24"/>
        </w:rPr>
      </w:pPr>
    </w:p>
    <w:p w14:paraId="3CDBE476" w14:textId="031BBEEA" w:rsidR="008530D0" w:rsidRDefault="008530D0" w:rsidP="008530D0">
      <w:pPr>
        <w:spacing w:after="0" w:line="240" w:lineRule="auto"/>
        <w:ind w:firstLine="720"/>
        <w:jc w:val="both"/>
        <w:rPr>
          <w:bCs/>
          <w:szCs w:val="24"/>
        </w:rPr>
      </w:pPr>
      <w:r w:rsidRPr="002D0FF3">
        <w:rPr>
          <w:bCs/>
          <w:szCs w:val="24"/>
        </w:rPr>
        <w:t>Zemgales tiesas apgabala prokuratūrā salīdzinoši neliels kriminālprocesu skaits tiek pabeigts</w:t>
      </w:r>
      <w:r>
        <w:rPr>
          <w:bCs/>
          <w:szCs w:val="24"/>
        </w:rPr>
        <w:t xml:space="preserve">, nenododot krimināllietu tiesai, </w:t>
      </w:r>
      <w:r w:rsidRPr="002D0FF3">
        <w:rPr>
          <w:bCs/>
          <w:szCs w:val="24"/>
        </w:rPr>
        <w:t>kas izskaidrojams ar noziedzīgu nodarījumu smagumu un kriminālprocesu juridisko sarežģītību.</w:t>
      </w:r>
    </w:p>
    <w:p w14:paraId="5AD84793" w14:textId="77777777" w:rsidR="008530D0" w:rsidRDefault="008530D0" w:rsidP="008530D0">
      <w:pPr>
        <w:spacing w:after="0" w:line="240" w:lineRule="auto"/>
        <w:jc w:val="both"/>
        <w:rPr>
          <w:bCs/>
          <w:szCs w:val="24"/>
        </w:rPr>
      </w:pPr>
    </w:p>
    <w:p w14:paraId="363EC1E6" w14:textId="77777777" w:rsidR="008530D0" w:rsidRDefault="008530D0" w:rsidP="00E329FC">
      <w:pPr>
        <w:pStyle w:val="ListParagraph"/>
        <w:numPr>
          <w:ilvl w:val="0"/>
          <w:numId w:val="58"/>
        </w:numPr>
        <w:spacing w:after="0" w:line="240" w:lineRule="auto"/>
        <w:jc w:val="both"/>
        <w:rPr>
          <w:b/>
          <w:szCs w:val="24"/>
        </w:rPr>
      </w:pPr>
      <w:r>
        <w:rPr>
          <w:noProof/>
        </w:rPr>
        <w:drawing>
          <wp:anchor distT="0" distB="0" distL="114300" distR="114300" simplePos="0" relativeHeight="251734528" behindDoc="0" locked="0" layoutInCell="1" allowOverlap="1" wp14:anchorId="7D8DD4E7" wp14:editId="22FAD5A8">
            <wp:simplePos x="0" y="0"/>
            <wp:positionH relativeFrom="margin">
              <wp:align>center</wp:align>
            </wp:positionH>
            <wp:positionV relativeFrom="paragraph">
              <wp:posOffset>427182</wp:posOffset>
            </wp:positionV>
            <wp:extent cx="5410200" cy="3644900"/>
            <wp:effectExtent l="0" t="0" r="0" b="12700"/>
            <wp:wrapTopAndBottom/>
            <wp:docPr id="153" name="Chart 153">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r>
        <w:rPr>
          <w:b/>
          <w:szCs w:val="24"/>
        </w:rPr>
        <w:t>Pabeigti kriminālprocesi par atsevišķiem noziedzīgiem nodarījumiem (īpaši aktuāli pēc apdraudējuma objekta)</w:t>
      </w:r>
    </w:p>
    <w:p w14:paraId="20A152D3" w14:textId="77777777" w:rsidR="008530D0" w:rsidRDefault="008530D0" w:rsidP="008530D0">
      <w:pPr>
        <w:tabs>
          <w:tab w:val="left" w:leader="dot" w:pos="8505"/>
        </w:tabs>
        <w:spacing w:after="0" w:line="240" w:lineRule="auto"/>
        <w:jc w:val="both"/>
        <w:rPr>
          <w:rFonts w:cs="Times New Roman"/>
          <w:szCs w:val="24"/>
        </w:rPr>
      </w:pPr>
    </w:p>
    <w:p w14:paraId="67F319F4" w14:textId="704F4694" w:rsidR="008530D0" w:rsidRPr="001D25BE" w:rsidRDefault="008530D0" w:rsidP="008530D0">
      <w:pPr>
        <w:spacing w:after="0" w:line="240" w:lineRule="auto"/>
        <w:ind w:firstLine="714"/>
        <w:jc w:val="both"/>
      </w:pPr>
      <w:r w:rsidRPr="002D0FF3">
        <w:rPr>
          <w:bCs/>
          <w:szCs w:val="24"/>
        </w:rPr>
        <w:t>Zemgales tiesas apgabala prokuratūrā novērojams izteikts ar seksuālo vardarbību saistīto nozi</w:t>
      </w:r>
      <w:r>
        <w:rPr>
          <w:bCs/>
          <w:szCs w:val="24"/>
        </w:rPr>
        <w:t>edzīgo nodarījumu</w:t>
      </w:r>
      <w:r w:rsidRPr="002D0FF3">
        <w:rPr>
          <w:bCs/>
          <w:szCs w:val="24"/>
        </w:rPr>
        <w:t xml:space="preserve"> skaita īpatsvars attiecībā pret citiem nozi</w:t>
      </w:r>
      <w:r>
        <w:rPr>
          <w:bCs/>
          <w:szCs w:val="24"/>
        </w:rPr>
        <w:t>edzīga nodarījuma</w:t>
      </w:r>
      <w:r w:rsidRPr="002D0FF3">
        <w:rPr>
          <w:bCs/>
          <w:szCs w:val="24"/>
        </w:rPr>
        <w:t xml:space="preserve"> veidiem. Šāda tendence vērojama nemainīgi vairāku gadu griezumā</w:t>
      </w:r>
      <w:r>
        <w:rPr>
          <w:bCs/>
          <w:szCs w:val="24"/>
        </w:rPr>
        <w:t xml:space="preserve"> un tas saistāms arī </w:t>
      </w:r>
      <w:r w:rsidRPr="001D25BE">
        <w:t xml:space="preserve">ar </w:t>
      </w:r>
      <w:r>
        <w:t xml:space="preserve">prokuratūras </w:t>
      </w:r>
      <w:r w:rsidRPr="001D25BE">
        <w:t>iekšēj</w:t>
      </w:r>
      <w:r>
        <w:t>os</w:t>
      </w:r>
      <w:r w:rsidRPr="001D25BE">
        <w:t xml:space="preserve"> normatīvaj</w:t>
      </w:r>
      <w:r>
        <w:t>os</w:t>
      </w:r>
      <w:r w:rsidRPr="001D25BE">
        <w:t xml:space="preserve"> akt</w:t>
      </w:r>
      <w:r>
        <w:t xml:space="preserve">os noteikto šīs kategorijas kriminālprocesu piekritību </w:t>
      </w:r>
      <w:r w:rsidRPr="001D25BE">
        <w:t>apgabala līmeņa prokuratūrai.</w:t>
      </w:r>
    </w:p>
    <w:p w14:paraId="131F00F5" w14:textId="77777777" w:rsidR="008530D0" w:rsidRPr="00577BF3" w:rsidRDefault="008530D0" w:rsidP="008530D0">
      <w:pPr>
        <w:tabs>
          <w:tab w:val="left" w:leader="dot" w:pos="8505"/>
        </w:tabs>
        <w:spacing w:after="0" w:line="240" w:lineRule="auto"/>
        <w:jc w:val="both"/>
        <w:rPr>
          <w:rFonts w:cs="Times New Roman"/>
          <w:szCs w:val="24"/>
        </w:rPr>
      </w:pPr>
    </w:p>
    <w:p w14:paraId="27747A5E" w14:textId="77777777" w:rsidR="008530D0" w:rsidRDefault="008530D0" w:rsidP="00E329FC">
      <w:pPr>
        <w:pStyle w:val="ListParagraph"/>
        <w:numPr>
          <w:ilvl w:val="0"/>
          <w:numId w:val="58"/>
        </w:numPr>
        <w:tabs>
          <w:tab w:val="left" w:leader="dot" w:pos="8505"/>
        </w:tabs>
        <w:spacing w:after="0" w:line="240" w:lineRule="auto"/>
        <w:ind w:left="714" w:hanging="357"/>
        <w:jc w:val="both"/>
        <w:rPr>
          <w:rFonts w:cs="Times New Roman"/>
          <w:b/>
          <w:bCs/>
          <w:szCs w:val="24"/>
        </w:rPr>
      </w:pPr>
      <w:r>
        <w:rPr>
          <w:noProof/>
        </w:rPr>
        <w:lastRenderedPageBreak/>
        <w:drawing>
          <wp:anchor distT="0" distB="0" distL="114300" distR="114300" simplePos="0" relativeHeight="251735552" behindDoc="0" locked="0" layoutInCell="1" allowOverlap="1" wp14:anchorId="7F78560C" wp14:editId="7FBE8528">
            <wp:simplePos x="0" y="0"/>
            <wp:positionH relativeFrom="margin">
              <wp:align>center</wp:align>
            </wp:positionH>
            <wp:positionV relativeFrom="paragraph">
              <wp:posOffset>257002</wp:posOffset>
            </wp:positionV>
            <wp:extent cx="3975100" cy="1898015"/>
            <wp:effectExtent l="0" t="0" r="6350" b="6985"/>
            <wp:wrapTopAndBottom/>
            <wp:docPr id="157" name="Chart 157">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r>
        <w:rPr>
          <w:rFonts w:cs="Times New Roman"/>
          <w:b/>
          <w:bCs/>
          <w:szCs w:val="24"/>
        </w:rPr>
        <w:t>Prokuroru uzraudzībā pieņemti kriminālprocesi</w:t>
      </w:r>
    </w:p>
    <w:p w14:paraId="3A8726F0" w14:textId="77777777" w:rsidR="008530D0" w:rsidRDefault="008530D0" w:rsidP="008530D0">
      <w:pPr>
        <w:spacing w:after="0"/>
        <w:jc w:val="both"/>
      </w:pPr>
    </w:p>
    <w:p w14:paraId="6DEDA744" w14:textId="5D1ABE9A" w:rsidR="008530D0" w:rsidRDefault="008530D0" w:rsidP="008530D0">
      <w:pPr>
        <w:spacing w:after="0" w:line="240" w:lineRule="auto"/>
        <w:ind w:firstLine="714"/>
        <w:jc w:val="both"/>
      </w:pPr>
      <w:r w:rsidRPr="001D25BE">
        <w:t xml:space="preserve">Zemgales tiesas apgabala prokuratūras uzraudzībā pieņemto kriminālprocesu skaita pieaugums </w:t>
      </w:r>
      <w:r>
        <w:t xml:space="preserve">2020. gadā </w:t>
      </w:r>
      <w:r w:rsidRPr="001D25BE">
        <w:t xml:space="preserve">vistiešākā </w:t>
      </w:r>
      <w:r>
        <w:t>veidā</w:t>
      </w:r>
      <w:r w:rsidRPr="001D25BE">
        <w:t xml:space="preserve"> saistāms ar izmeklēšanas iestādēs pēc Krimināllikuma 195.</w:t>
      </w:r>
      <w:r>
        <w:t> </w:t>
      </w:r>
      <w:r w:rsidRPr="001D25BE">
        <w:t>panta uzsākto kriminālprocesu skaita būtisku palielinājumu, kā</w:t>
      </w:r>
      <w:r w:rsidRPr="00EE77B3">
        <w:rPr>
          <w:color w:val="00B050"/>
        </w:rPr>
        <w:t xml:space="preserve"> </w:t>
      </w:r>
      <w:r w:rsidRPr="001D25BE">
        <w:t>arī to kriminālprocesu skaita pieaugumu, kuri uzsākti tieši par Krimināllikuma 26.</w:t>
      </w:r>
      <w:r>
        <w:t> </w:t>
      </w:r>
      <w:r w:rsidRPr="001D25BE">
        <w:t>nodaļā paredzētajiem noziedzīg</w:t>
      </w:r>
      <w:r>
        <w:t>aj</w:t>
      </w:r>
      <w:r w:rsidRPr="001D25BE">
        <w:t>iem nodarījumiem</w:t>
      </w:r>
      <w:r>
        <w:t xml:space="preserve">, kas </w:t>
      </w:r>
      <w:r w:rsidRPr="001D25BE">
        <w:t xml:space="preserve">saskaņā ar </w:t>
      </w:r>
      <w:r>
        <w:t xml:space="preserve">prokuratūras </w:t>
      </w:r>
      <w:r w:rsidRPr="001D25BE">
        <w:t>iekšējiem normatīvajiem aktiem piekritīgi apgabala līmeņa prokuratūrai.</w:t>
      </w:r>
    </w:p>
    <w:p w14:paraId="5136D2FD" w14:textId="77777777" w:rsidR="008530D0" w:rsidRDefault="008530D0" w:rsidP="008530D0">
      <w:pPr>
        <w:spacing w:after="0" w:line="240" w:lineRule="auto"/>
        <w:jc w:val="both"/>
      </w:pPr>
    </w:p>
    <w:p w14:paraId="3F491458" w14:textId="77777777" w:rsidR="008530D0" w:rsidRPr="0033273A" w:rsidRDefault="008530D0" w:rsidP="00E329FC">
      <w:pPr>
        <w:pStyle w:val="ListParagraph"/>
        <w:numPr>
          <w:ilvl w:val="0"/>
          <w:numId w:val="58"/>
        </w:numPr>
        <w:spacing w:after="0" w:line="240" w:lineRule="auto"/>
        <w:jc w:val="both"/>
        <w:rPr>
          <w:b/>
          <w:bCs/>
        </w:rPr>
      </w:pPr>
      <w:r>
        <w:rPr>
          <w:noProof/>
        </w:rPr>
        <w:drawing>
          <wp:anchor distT="0" distB="0" distL="114300" distR="114300" simplePos="0" relativeHeight="251736576" behindDoc="0" locked="0" layoutInCell="1" allowOverlap="1" wp14:anchorId="37B8B42A" wp14:editId="4F29ED2C">
            <wp:simplePos x="0" y="0"/>
            <wp:positionH relativeFrom="margin">
              <wp:align>center</wp:align>
            </wp:positionH>
            <wp:positionV relativeFrom="paragraph">
              <wp:posOffset>241704</wp:posOffset>
            </wp:positionV>
            <wp:extent cx="3956050" cy="1714500"/>
            <wp:effectExtent l="0" t="0" r="6350" b="0"/>
            <wp:wrapTopAndBottom/>
            <wp:docPr id="158" name="Chart 158">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Pr>
          <w:b/>
          <w:bCs/>
        </w:rPr>
        <w:t>Prokuroru dotie norādījumi</w:t>
      </w:r>
    </w:p>
    <w:p w14:paraId="719E450A" w14:textId="77777777" w:rsidR="008530D0" w:rsidRDefault="008530D0" w:rsidP="008530D0">
      <w:pPr>
        <w:tabs>
          <w:tab w:val="left" w:leader="dot" w:pos="8505"/>
        </w:tabs>
        <w:spacing w:after="0" w:line="240" w:lineRule="auto"/>
        <w:jc w:val="both"/>
        <w:rPr>
          <w:rFonts w:cs="Times New Roman"/>
          <w:szCs w:val="24"/>
        </w:rPr>
      </w:pPr>
    </w:p>
    <w:p w14:paraId="5FCB7F00" w14:textId="77777777" w:rsidR="008530D0" w:rsidRDefault="008530D0" w:rsidP="008530D0">
      <w:pPr>
        <w:spacing w:after="0" w:line="240" w:lineRule="auto"/>
        <w:ind w:firstLine="720"/>
        <w:jc w:val="both"/>
        <w:rPr>
          <w:bCs/>
          <w:szCs w:val="24"/>
        </w:rPr>
      </w:pPr>
      <w:r w:rsidRPr="00250921">
        <w:rPr>
          <w:bCs/>
          <w:szCs w:val="24"/>
        </w:rPr>
        <w:t xml:space="preserve">Vērojams </w:t>
      </w:r>
      <w:r>
        <w:rPr>
          <w:bCs/>
          <w:szCs w:val="24"/>
        </w:rPr>
        <w:t xml:space="preserve">Zemgales tiesas apgabala prokuratūras </w:t>
      </w:r>
      <w:r w:rsidRPr="00250921">
        <w:rPr>
          <w:bCs/>
          <w:szCs w:val="24"/>
        </w:rPr>
        <w:t xml:space="preserve">prokuroru doto norādījumu skaita </w:t>
      </w:r>
      <w:r>
        <w:rPr>
          <w:bCs/>
          <w:szCs w:val="24"/>
        </w:rPr>
        <w:t>palielinājums</w:t>
      </w:r>
      <w:r w:rsidRPr="00250921">
        <w:rPr>
          <w:bCs/>
          <w:szCs w:val="24"/>
        </w:rPr>
        <w:t xml:space="preserve">, kas izskaidrojams ar </w:t>
      </w:r>
      <w:r>
        <w:rPr>
          <w:bCs/>
          <w:szCs w:val="24"/>
        </w:rPr>
        <w:t>prokuroru uzraudzībā pieņemto kriminālprocesu skaita pieaugumu 2020. gadā.</w:t>
      </w:r>
      <w:r w:rsidRPr="00250921">
        <w:rPr>
          <w:bCs/>
          <w:szCs w:val="24"/>
        </w:rPr>
        <w:t xml:space="preserve"> Rakstveida norādījumi tiek sniegti gadījumos, kad tas nepieciešams sakarā ar izmeklējamā noziedzīg</w:t>
      </w:r>
      <w:r>
        <w:rPr>
          <w:bCs/>
          <w:szCs w:val="24"/>
        </w:rPr>
        <w:t>ā</w:t>
      </w:r>
      <w:r w:rsidRPr="00250921">
        <w:rPr>
          <w:bCs/>
          <w:szCs w:val="24"/>
        </w:rPr>
        <w:t xml:space="preserve"> nodarījuma juridisko sarežģītību vai kriminālprocesa apjomu.</w:t>
      </w:r>
    </w:p>
    <w:p w14:paraId="1CD41245" w14:textId="77777777" w:rsidR="008530D0" w:rsidRDefault="008530D0" w:rsidP="008530D0">
      <w:pPr>
        <w:spacing w:after="0" w:line="240" w:lineRule="auto"/>
        <w:ind w:firstLine="720"/>
        <w:jc w:val="both"/>
        <w:rPr>
          <w:bCs/>
          <w:szCs w:val="24"/>
        </w:rPr>
      </w:pPr>
    </w:p>
    <w:p w14:paraId="0ECDB0CB" w14:textId="2BC7F496" w:rsidR="008530D0" w:rsidRDefault="008530D0" w:rsidP="00E329FC">
      <w:pPr>
        <w:pStyle w:val="ListParagraph"/>
        <w:numPr>
          <w:ilvl w:val="0"/>
          <w:numId w:val="58"/>
        </w:numPr>
        <w:spacing w:after="0" w:line="240" w:lineRule="auto"/>
        <w:jc w:val="both"/>
        <w:rPr>
          <w:b/>
          <w:szCs w:val="24"/>
        </w:rPr>
      </w:pPr>
      <w:r>
        <w:rPr>
          <w:noProof/>
        </w:rPr>
        <w:drawing>
          <wp:anchor distT="0" distB="0" distL="114300" distR="114300" simplePos="0" relativeHeight="251737600" behindDoc="0" locked="0" layoutInCell="1" allowOverlap="1" wp14:anchorId="2DA3A157" wp14:editId="7E04B0AC">
            <wp:simplePos x="0" y="0"/>
            <wp:positionH relativeFrom="margin">
              <wp:align>center</wp:align>
            </wp:positionH>
            <wp:positionV relativeFrom="paragraph">
              <wp:posOffset>418812</wp:posOffset>
            </wp:positionV>
            <wp:extent cx="3968750" cy="1981200"/>
            <wp:effectExtent l="0" t="0" r="12700" b="0"/>
            <wp:wrapTopAndBottom/>
            <wp:docPr id="161" name="Chart 161">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r>
        <w:rPr>
          <w:b/>
          <w:szCs w:val="24"/>
        </w:rPr>
        <w:t>Valsts apsūdzības uzturēšana pirmās instances tiesā (izskatītas krimināllietas), no tām ar pierādījumu pārbaudi</w:t>
      </w:r>
    </w:p>
    <w:p w14:paraId="0404196B" w14:textId="77777777" w:rsidR="008530D0" w:rsidRPr="000D2968" w:rsidRDefault="008530D0" w:rsidP="008530D0">
      <w:pPr>
        <w:jc w:val="both"/>
        <w:rPr>
          <w:bCs/>
          <w:szCs w:val="24"/>
        </w:rPr>
      </w:pPr>
    </w:p>
    <w:p w14:paraId="2C4FBDCB" w14:textId="77777777" w:rsidR="008530D0" w:rsidRDefault="008530D0" w:rsidP="008530D0">
      <w:pPr>
        <w:spacing w:after="0" w:line="240" w:lineRule="auto"/>
        <w:ind w:firstLine="720"/>
        <w:jc w:val="both"/>
        <w:rPr>
          <w:bCs/>
          <w:szCs w:val="24"/>
        </w:rPr>
      </w:pPr>
      <w:r w:rsidRPr="008E3737">
        <w:rPr>
          <w:bCs/>
          <w:szCs w:val="24"/>
        </w:rPr>
        <w:t>Valstī noteiktie pasākumi pandēmijas izplatības ierobežošanai atstājuši ietekmi uz</w:t>
      </w:r>
      <w:r>
        <w:rPr>
          <w:bCs/>
          <w:szCs w:val="24"/>
        </w:rPr>
        <w:t xml:space="preserve"> pirmās </w:t>
      </w:r>
      <w:r w:rsidRPr="008E3737">
        <w:rPr>
          <w:bCs/>
          <w:szCs w:val="24"/>
        </w:rPr>
        <w:t xml:space="preserve">instances tiesā iztiesāto krimināllietu skaitu. Iztiesāšanā esošo </w:t>
      </w:r>
      <w:r>
        <w:rPr>
          <w:bCs/>
          <w:szCs w:val="24"/>
        </w:rPr>
        <w:t>krimināl</w:t>
      </w:r>
      <w:r w:rsidRPr="008E3737">
        <w:rPr>
          <w:bCs/>
          <w:szCs w:val="24"/>
        </w:rPr>
        <w:t xml:space="preserve">lietu uzkrājums palielinās. Valsts apsūdzības uzturēšana </w:t>
      </w:r>
      <w:r>
        <w:rPr>
          <w:bCs/>
          <w:szCs w:val="24"/>
        </w:rPr>
        <w:t xml:space="preserve">pirmās </w:t>
      </w:r>
      <w:r w:rsidRPr="008E3737">
        <w:rPr>
          <w:bCs/>
          <w:szCs w:val="24"/>
        </w:rPr>
        <w:t xml:space="preserve">instances tiesā prasa lielu prokurora darba laika resursu. Sadarbībā ar tiesnešiem jāmeklē risinājums iztiesāšanas procesa efektīvākai norisei. </w:t>
      </w:r>
    </w:p>
    <w:p w14:paraId="0A30D6C3" w14:textId="77777777" w:rsidR="008530D0" w:rsidRDefault="008530D0" w:rsidP="008530D0">
      <w:pPr>
        <w:spacing w:after="0" w:line="240" w:lineRule="auto"/>
        <w:jc w:val="both"/>
        <w:rPr>
          <w:bCs/>
          <w:szCs w:val="24"/>
        </w:rPr>
      </w:pPr>
    </w:p>
    <w:p w14:paraId="0EABAB4B" w14:textId="30319A96" w:rsidR="008530D0" w:rsidRDefault="008530D0" w:rsidP="00E329FC">
      <w:pPr>
        <w:pStyle w:val="ListParagraph"/>
        <w:numPr>
          <w:ilvl w:val="0"/>
          <w:numId w:val="58"/>
        </w:numPr>
        <w:spacing w:after="0" w:line="240" w:lineRule="auto"/>
        <w:jc w:val="both"/>
        <w:rPr>
          <w:b/>
          <w:szCs w:val="24"/>
        </w:rPr>
      </w:pPr>
      <w:r>
        <w:rPr>
          <w:noProof/>
        </w:rPr>
        <w:drawing>
          <wp:anchor distT="0" distB="0" distL="114300" distR="114300" simplePos="0" relativeHeight="251738624" behindDoc="0" locked="0" layoutInCell="1" allowOverlap="1" wp14:anchorId="08E4DCC3" wp14:editId="101BB2B5">
            <wp:simplePos x="0" y="0"/>
            <wp:positionH relativeFrom="margin">
              <wp:align>center</wp:align>
            </wp:positionH>
            <wp:positionV relativeFrom="paragraph">
              <wp:posOffset>433474</wp:posOffset>
            </wp:positionV>
            <wp:extent cx="3956050" cy="1809750"/>
            <wp:effectExtent l="0" t="0" r="6350" b="0"/>
            <wp:wrapTopAndBottom/>
            <wp:docPr id="162" name="Chart 162">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r>
        <w:rPr>
          <w:b/>
          <w:szCs w:val="24"/>
        </w:rPr>
        <w:t>Valsts apsūdzības uzturēšana apelācijas instances tiesā (izskatītas krimināllietas), no tām mutvārdu/rakstveida procesā</w:t>
      </w:r>
    </w:p>
    <w:p w14:paraId="6AD7156A" w14:textId="77777777" w:rsidR="008530D0" w:rsidRDefault="008530D0" w:rsidP="008530D0">
      <w:pPr>
        <w:spacing w:after="0"/>
        <w:jc w:val="both"/>
        <w:rPr>
          <w:bCs/>
          <w:szCs w:val="24"/>
        </w:rPr>
      </w:pPr>
    </w:p>
    <w:p w14:paraId="585D740D" w14:textId="77777777" w:rsidR="008530D0" w:rsidRDefault="008530D0" w:rsidP="008530D0">
      <w:pPr>
        <w:spacing w:after="0" w:line="240" w:lineRule="auto"/>
        <w:ind w:firstLine="720"/>
        <w:jc w:val="both"/>
        <w:rPr>
          <w:rFonts w:cs="Times New Roman"/>
          <w:bCs/>
          <w:szCs w:val="24"/>
        </w:rPr>
      </w:pPr>
      <w:r>
        <w:rPr>
          <w:bCs/>
          <w:szCs w:val="24"/>
        </w:rPr>
        <w:t>2020. gadā r</w:t>
      </w:r>
      <w:r w:rsidRPr="005578CC">
        <w:rPr>
          <w:bCs/>
          <w:szCs w:val="24"/>
        </w:rPr>
        <w:t xml:space="preserve">akstveida procesā izskatīto </w:t>
      </w:r>
      <w:r>
        <w:rPr>
          <w:bCs/>
          <w:szCs w:val="24"/>
        </w:rPr>
        <w:t>krimināl</w:t>
      </w:r>
      <w:r w:rsidRPr="005578CC">
        <w:rPr>
          <w:bCs/>
          <w:szCs w:val="24"/>
        </w:rPr>
        <w:t xml:space="preserve">lietu skaita palielinājums </w:t>
      </w:r>
      <w:r w:rsidRPr="00577BF3">
        <w:rPr>
          <w:rFonts w:cs="Times New Roman"/>
          <w:bCs/>
          <w:szCs w:val="24"/>
        </w:rPr>
        <w:t xml:space="preserve">viennozīmīgi saistāms ar ārkārtējās situācijas izsludināšanas kontekstā paplašinātajām iespējām </w:t>
      </w:r>
      <w:r>
        <w:rPr>
          <w:rFonts w:cs="Times New Roman"/>
          <w:bCs/>
          <w:szCs w:val="24"/>
        </w:rPr>
        <w:t>krimināl</w:t>
      </w:r>
      <w:r w:rsidRPr="00577BF3">
        <w:rPr>
          <w:rFonts w:cs="Times New Roman"/>
          <w:bCs/>
          <w:szCs w:val="24"/>
        </w:rPr>
        <w:t xml:space="preserve">lietu </w:t>
      </w:r>
      <w:r>
        <w:rPr>
          <w:rFonts w:cs="Times New Roman"/>
          <w:bCs/>
          <w:szCs w:val="24"/>
        </w:rPr>
        <w:t>apelācijas kārtībā iztiesāt rakstveida procesā arī gadījumos, kas nav minēti Kriminālprocesa likumā</w:t>
      </w:r>
      <w:r w:rsidRPr="00577BF3">
        <w:rPr>
          <w:rFonts w:cs="Times New Roman"/>
          <w:bCs/>
          <w:szCs w:val="24"/>
        </w:rPr>
        <w:t xml:space="preserve">. </w:t>
      </w:r>
    </w:p>
    <w:p w14:paraId="1439E9F9" w14:textId="77777777" w:rsidR="008530D0" w:rsidRDefault="008530D0" w:rsidP="008530D0">
      <w:pPr>
        <w:spacing w:after="0" w:line="240" w:lineRule="auto"/>
        <w:jc w:val="both"/>
        <w:rPr>
          <w:rFonts w:cs="Times New Roman"/>
          <w:bCs/>
          <w:szCs w:val="24"/>
        </w:rPr>
      </w:pPr>
    </w:p>
    <w:p w14:paraId="0CD1A15E" w14:textId="77777777" w:rsidR="008530D0" w:rsidRDefault="008530D0" w:rsidP="00E329FC">
      <w:pPr>
        <w:pStyle w:val="ListParagraph"/>
        <w:numPr>
          <w:ilvl w:val="0"/>
          <w:numId w:val="58"/>
        </w:numPr>
        <w:spacing w:after="0" w:line="240" w:lineRule="auto"/>
        <w:jc w:val="both"/>
        <w:rPr>
          <w:rFonts w:cs="Times New Roman"/>
          <w:b/>
          <w:szCs w:val="24"/>
        </w:rPr>
      </w:pPr>
      <w:r>
        <w:rPr>
          <w:noProof/>
        </w:rPr>
        <w:drawing>
          <wp:anchor distT="0" distB="0" distL="114300" distR="114300" simplePos="0" relativeHeight="251739648" behindDoc="0" locked="0" layoutInCell="1" allowOverlap="1" wp14:anchorId="4600098D" wp14:editId="1C81953A">
            <wp:simplePos x="0" y="0"/>
            <wp:positionH relativeFrom="margin">
              <wp:align>center</wp:align>
            </wp:positionH>
            <wp:positionV relativeFrom="paragraph">
              <wp:posOffset>263352</wp:posOffset>
            </wp:positionV>
            <wp:extent cx="3968750" cy="1708150"/>
            <wp:effectExtent l="0" t="0" r="12700" b="6350"/>
            <wp:wrapTopAndBottom/>
            <wp:docPr id="163" name="Chart 163">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margin">
              <wp14:pctHeight>0</wp14:pctHeight>
            </wp14:sizeRelV>
          </wp:anchor>
        </w:drawing>
      </w:r>
      <w:r>
        <w:rPr>
          <w:rFonts w:cs="Times New Roman"/>
          <w:b/>
          <w:szCs w:val="24"/>
        </w:rPr>
        <w:t>Iesniegti protesti, no tiem apmierināti</w:t>
      </w:r>
    </w:p>
    <w:p w14:paraId="6128578E" w14:textId="77777777" w:rsidR="008530D0" w:rsidRDefault="008530D0" w:rsidP="008530D0">
      <w:pPr>
        <w:spacing w:after="0" w:line="240" w:lineRule="auto"/>
        <w:ind w:firstLine="720"/>
        <w:jc w:val="both"/>
        <w:rPr>
          <w:bCs/>
          <w:szCs w:val="24"/>
        </w:rPr>
      </w:pPr>
    </w:p>
    <w:p w14:paraId="06219BCB" w14:textId="51DA83E8" w:rsidR="008530D0" w:rsidRDefault="008530D0" w:rsidP="007967FF">
      <w:pPr>
        <w:spacing w:after="0" w:line="240" w:lineRule="auto"/>
        <w:ind w:firstLine="720"/>
        <w:jc w:val="both"/>
        <w:rPr>
          <w:bCs/>
          <w:szCs w:val="24"/>
        </w:rPr>
      </w:pPr>
      <w:r>
        <w:rPr>
          <w:bCs/>
          <w:szCs w:val="24"/>
        </w:rPr>
        <w:t>Zemgales tiesas apgabala prokuratūras prokuroru i</w:t>
      </w:r>
      <w:r w:rsidRPr="008E3737">
        <w:rPr>
          <w:bCs/>
          <w:szCs w:val="24"/>
        </w:rPr>
        <w:t>esniegto protestu skaits 2019.</w:t>
      </w:r>
      <w:r>
        <w:rPr>
          <w:bCs/>
          <w:szCs w:val="24"/>
        </w:rPr>
        <w:t> </w:t>
      </w:r>
      <w:r w:rsidRPr="008E3737">
        <w:rPr>
          <w:bCs/>
          <w:szCs w:val="24"/>
        </w:rPr>
        <w:t>gadā un 2020.</w:t>
      </w:r>
      <w:r>
        <w:rPr>
          <w:bCs/>
          <w:szCs w:val="24"/>
        </w:rPr>
        <w:t> </w:t>
      </w:r>
      <w:r w:rsidRPr="008E3737">
        <w:rPr>
          <w:bCs/>
          <w:szCs w:val="24"/>
        </w:rPr>
        <w:t>gadā būtiski palielinājies. Prokurori aktīvāk iesniedz protestus par tiesas noteikto sodu krimināllietās par ekonomiskajiem noziegumiem</w:t>
      </w:r>
      <w:r>
        <w:rPr>
          <w:bCs/>
          <w:szCs w:val="24"/>
        </w:rPr>
        <w:t xml:space="preserve"> un</w:t>
      </w:r>
      <w:r w:rsidRPr="008E3737">
        <w:rPr>
          <w:bCs/>
          <w:szCs w:val="24"/>
        </w:rPr>
        <w:t xml:space="preserve"> par tiesas pieļautajiem procesuālajiem pārkāpumiem.</w:t>
      </w:r>
    </w:p>
    <w:p w14:paraId="139EE3EE" w14:textId="519ACCFE" w:rsidR="000D2968" w:rsidRDefault="000D2968" w:rsidP="007967FF">
      <w:pPr>
        <w:spacing w:after="0" w:line="240" w:lineRule="auto"/>
        <w:ind w:firstLine="720"/>
        <w:jc w:val="both"/>
        <w:rPr>
          <w:bCs/>
          <w:szCs w:val="24"/>
        </w:rPr>
      </w:pPr>
    </w:p>
    <w:p w14:paraId="52626A8D" w14:textId="488F4B5F" w:rsidR="008530D0" w:rsidRDefault="007967FF" w:rsidP="00E329FC">
      <w:pPr>
        <w:pStyle w:val="ListParagraph"/>
        <w:numPr>
          <w:ilvl w:val="0"/>
          <w:numId w:val="58"/>
        </w:numPr>
        <w:spacing w:after="0" w:line="240" w:lineRule="auto"/>
        <w:ind w:hanging="436"/>
        <w:jc w:val="both"/>
        <w:rPr>
          <w:rFonts w:cs="Times New Roman"/>
          <w:b/>
          <w:szCs w:val="24"/>
        </w:rPr>
      </w:pPr>
      <w:r>
        <w:rPr>
          <w:noProof/>
        </w:rPr>
        <w:drawing>
          <wp:anchor distT="0" distB="0" distL="114300" distR="114300" simplePos="0" relativeHeight="251740672" behindDoc="0" locked="0" layoutInCell="1" allowOverlap="1" wp14:anchorId="3327D093" wp14:editId="005E3CED">
            <wp:simplePos x="0" y="0"/>
            <wp:positionH relativeFrom="margin">
              <wp:align>center</wp:align>
            </wp:positionH>
            <wp:positionV relativeFrom="paragraph">
              <wp:posOffset>242570</wp:posOffset>
            </wp:positionV>
            <wp:extent cx="3968750" cy="1365250"/>
            <wp:effectExtent l="0" t="0" r="12700" b="6350"/>
            <wp:wrapTopAndBottom/>
            <wp:docPr id="165" name="Chart 165">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14:sizeRelV relativeFrom="margin">
              <wp14:pctHeight>0</wp14:pctHeight>
            </wp14:sizeRelV>
          </wp:anchor>
        </w:drawing>
      </w:r>
      <w:r w:rsidR="008530D0">
        <w:rPr>
          <w:rFonts w:cs="Times New Roman"/>
          <w:b/>
          <w:szCs w:val="24"/>
        </w:rPr>
        <w:t>Tiesā attaisnoto apsūdzēto skaits</w:t>
      </w:r>
    </w:p>
    <w:p w14:paraId="01E5F903" w14:textId="0E4357E3" w:rsidR="007967FF" w:rsidRDefault="007967FF" w:rsidP="007967FF">
      <w:pPr>
        <w:pStyle w:val="ListParagraph"/>
        <w:spacing w:after="0" w:line="240" w:lineRule="auto"/>
        <w:jc w:val="both"/>
        <w:rPr>
          <w:rFonts w:cs="Times New Roman"/>
          <w:b/>
          <w:szCs w:val="24"/>
        </w:rPr>
      </w:pPr>
    </w:p>
    <w:p w14:paraId="249E78B8" w14:textId="67B68BA9" w:rsidR="008530D0" w:rsidRDefault="008530D0" w:rsidP="008530D0">
      <w:pPr>
        <w:spacing w:after="0" w:line="240" w:lineRule="auto"/>
        <w:ind w:firstLine="720"/>
        <w:jc w:val="both"/>
        <w:rPr>
          <w:bCs/>
          <w:szCs w:val="24"/>
        </w:rPr>
      </w:pPr>
      <w:r w:rsidRPr="00AC0005">
        <w:rPr>
          <w:bCs/>
          <w:szCs w:val="24"/>
        </w:rPr>
        <w:t xml:space="preserve">Tiesā attaisnoto </w:t>
      </w:r>
      <w:r>
        <w:rPr>
          <w:bCs/>
          <w:szCs w:val="24"/>
        </w:rPr>
        <w:t xml:space="preserve">apsūdzēto </w:t>
      </w:r>
      <w:r w:rsidRPr="00AC0005">
        <w:rPr>
          <w:bCs/>
          <w:szCs w:val="24"/>
        </w:rPr>
        <w:t>skaits vērtējams kā salīdzinoši zems un dod pamatu prokuror</w:t>
      </w:r>
      <w:r w:rsidR="004A6959">
        <w:rPr>
          <w:bCs/>
          <w:szCs w:val="24"/>
        </w:rPr>
        <w:t>u</w:t>
      </w:r>
      <w:r w:rsidRPr="00AC0005">
        <w:rPr>
          <w:bCs/>
          <w:szCs w:val="24"/>
        </w:rPr>
        <w:t xml:space="preserve"> darba kvalitāti novērtēt pozitīvi. 2020.</w:t>
      </w:r>
      <w:r>
        <w:rPr>
          <w:bCs/>
          <w:szCs w:val="24"/>
        </w:rPr>
        <w:t> </w:t>
      </w:r>
      <w:r w:rsidRPr="00AC0005">
        <w:rPr>
          <w:bCs/>
          <w:szCs w:val="24"/>
        </w:rPr>
        <w:t xml:space="preserve">gadā, vērtējot </w:t>
      </w:r>
      <w:r>
        <w:rPr>
          <w:bCs/>
          <w:szCs w:val="24"/>
        </w:rPr>
        <w:t>apsūdzēto</w:t>
      </w:r>
      <w:r w:rsidRPr="00AC0005">
        <w:rPr>
          <w:bCs/>
          <w:szCs w:val="24"/>
        </w:rPr>
        <w:t xml:space="preserve"> attaisnošanas iemeslus krimināllietās, kurās spriedums stājies spēkā, </w:t>
      </w:r>
      <w:r>
        <w:rPr>
          <w:bCs/>
          <w:szCs w:val="24"/>
        </w:rPr>
        <w:t xml:space="preserve">Zemgales tiesas apgabala prokuratūras </w:t>
      </w:r>
      <w:r w:rsidRPr="00AC0005">
        <w:rPr>
          <w:bCs/>
          <w:szCs w:val="24"/>
        </w:rPr>
        <w:t>prokuroru darbā nav konstatēti būtiski pārkāpumi.</w:t>
      </w:r>
    </w:p>
    <w:p w14:paraId="2EB8BC85" w14:textId="3AEEF5A4" w:rsidR="007967FF" w:rsidRDefault="007967FF" w:rsidP="007967FF">
      <w:pPr>
        <w:spacing w:after="0" w:line="240" w:lineRule="auto"/>
        <w:jc w:val="both"/>
        <w:rPr>
          <w:bCs/>
          <w:szCs w:val="24"/>
        </w:rPr>
      </w:pPr>
    </w:p>
    <w:p w14:paraId="3B9590C7" w14:textId="4934444C" w:rsidR="008530D0" w:rsidRPr="007967FF" w:rsidRDefault="008530D0" w:rsidP="00E329FC">
      <w:pPr>
        <w:pStyle w:val="ListParagraph"/>
        <w:numPr>
          <w:ilvl w:val="0"/>
          <w:numId w:val="58"/>
        </w:numPr>
        <w:spacing w:after="0" w:line="240" w:lineRule="auto"/>
        <w:jc w:val="both"/>
        <w:rPr>
          <w:rFonts w:cs="Times New Roman"/>
          <w:b/>
          <w:szCs w:val="24"/>
        </w:rPr>
      </w:pPr>
      <w:r>
        <w:rPr>
          <w:noProof/>
        </w:rPr>
        <w:drawing>
          <wp:anchor distT="0" distB="0" distL="114300" distR="114300" simplePos="0" relativeHeight="251741696" behindDoc="0" locked="0" layoutInCell="1" allowOverlap="1" wp14:anchorId="61FD3493" wp14:editId="1482A39E">
            <wp:simplePos x="0" y="0"/>
            <wp:positionH relativeFrom="margin">
              <wp:align>center</wp:align>
            </wp:positionH>
            <wp:positionV relativeFrom="paragraph">
              <wp:posOffset>275879</wp:posOffset>
            </wp:positionV>
            <wp:extent cx="3962400" cy="1936750"/>
            <wp:effectExtent l="0" t="0" r="0" b="6350"/>
            <wp:wrapTopAndBottom/>
            <wp:docPr id="166" name="Chart 166">
              <a:extLst xmlns:a="http://schemas.openxmlformats.org/drawingml/2006/main">
                <a:ext uri="{FF2B5EF4-FFF2-40B4-BE49-F238E27FC236}">
                  <a16:creationId xmlns:a16="http://schemas.microsoft.com/office/drawing/2014/main" id="{131BB689-9C72-4FEE-B2D8-735506D37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margin">
              <wp14:pctWidth>0</wp14:pctWidth>
            </wp14:sizeRelH>
            <wp14:sizeRelV relativeFrom="margin">
              <wp14:pctHeight>0</wp14:pctHeight>
            </wp14:sizeRelV>
          </wp:anchor>
        </w:drawing>
      </w:r>
      <w:r w:rsidRPr="007967FF">
        <w:rPr>
          <w:b/>
          <w:szCs w:val="24"/>
        </w:rPr>
        <w:t xml:space="preserve"> Izlemtas sūdzības, no tām apmierinātas</w:t>
      </w:r>
    </w:p>
    <w:p w14:paraId="73E00139" w14:textId="77777777" w:rsidR="008530D0" w:rsidRDefault="008530D0" w:rsidP="008530D0">
      <w:pPr>
        <w:spacing w:after="0" w:line="240" w:lineRule="auto"/>
        <w:ind w:firstLine="720"/>
        <w:jc w:val="both"/>
      </w:pPr>
    </w:p>
    <w:p w14:paraId="739BED3A" w14:textId="31038BB3" w:rsidR="008530D0" w:rsidRDefault="008530D0" w:rsidP="008530D0">
      <w:pPr>
        <w:spacing w:after="0" w:line="240" w:lineRule="auto"/>
        <w:ind w:firstLine="720"/>
        <w:jc w:val="both"/>
        <w:rPr>
          <w:bCs/>
          <w:szCs w:val="24"/>
        </w:rPr>
      </w:pPr>
      <w:r w:rsidRPr="00B9512E">
        <w:t>Prokuratūras virsprokuroru un prokuroru darbam ar sūdzībām un iesniegumiem līdz šim maz pievērsta uzmanība, kas ir bijis objektīvi nepamatoti.</w:t>
      </w:r>
      <w:r w:rsidRPr="00350B5A">
        <w:rPr>
          <w:color w:val="00B050"/>
        </w:rPr>
        <w:t xml:space="preserve"> </w:t>
      </w:r>
      <w:r w:rsidRPr="00B9512E">
        <w:t>Tieši konkrēt</w:t>
      </w:r>
      <w:r>
        <w:t>aj</w:t>
      </w:r>
      <w:r w:rsidRPr="00B9512E">
        <w:t>ā jomā prokuratūras amatpersonas sniegušas būtisku sava darba laika un resursu ieguldījumu, kā rezultātā mazāk laika atlicinot citiem, bieži daudz nozīmīgākiem normatīvos paredzētajiem pienākumiem un tiesībām.</w:t>
      </w:r>
    </w:p>
    <w:p w14:paraId="3FE8BE49" w14:textId="77777777" w:rsidR="008530D0" w:rsidRDefault="008530D0" w:rsidP="008530D0">
      <w:pPr>
        <w:spacing w:after="0" w:line="240" w:lineRule="auto"/>
        <w:jc w:val="both"/>
        <w:rPr>
          <w:bCs/>
          <w:szCs w:val="24"/>
        </w:rPr>
      </w:pPr>
    </w:p>
    <w:p w14:paraId="5ED8C5DE" w14:textId="55DA445B" w:rsidR="008530D0" w:rsidRDefault="008530D0" w:rsidP="008530D0">
      <w:pPr>
        <w:spacing w:after="0"/>
        <w:jc w:val="both"/>
        <w:rPr>
          <w:rFonts w:cs="Times New Roman"/>
          <w:b/>
          <w:sz w:val="28"/>
          <w:szCs w:val="28"/>
        </w:rPr>
      </w:pPr>
      <w:r w:rsidRPr="00577BF3">
        <w:rPr>
          <w:rFonts w:cs="Times New Roman"/>
          <w:b/>
          <w:sz w:val="28"/>
          <w:szCs w:val="28"/>
        </w:rPr>
        <w:t>III. Rajona līmeņa prokuratūru darba rādītāji (salīdzinājums ar 2019. gadu)</w:t>
      </w:r>
    </w:p>
    <w:p w14:paraId="3D2BBD33" w14:textId="77777777" w:rsidR="008530D0" w:rsidRPr="008530D0" w:rsidRDefault="008530D0" w:rsidP="008530D0">
      <w:pPr>
        <w:spacing w:after="0"/>
        <w:jc w:val="both"/>
        <w:rPr>
          <w:rFonts w:cs="Times New Roman"/>
          <w:b/>
          <w:szCs w:val="24"/>
        </w:rPr>
      </w:pPr>
    </w:p>
    <w:p w14:paraId="5206286A" w14:textId="77777777" w:rsidR="008530D0" w:rsidRPr="009C1FED" w:rsidRDefault="008530D0" w:rsidP="00E329FC">
      <w:pPr>
        <w:pStyle w:val="ListParagraph"/>
        <w:numPr>
          <w:ilvl w:val="0"/>
          <w:numId w:val="59"/>
        </w:numPr>
        <w:spacing w:after="0"/>
        <w:jc w:val="both"/>
        <w:rPr>
          <w:rFonts w:cs="Times New Roman"/>
          <w:b/>
          <w:szCs w:val="24"/>
        </w:rPr>
      </w:pPr>
      <w:r>
        <w:rPr>
          <w:noProof/>
        </w:rPr>
        <w:drawing>
          <wp:anchor distT="0" distB="0" distL="114300" distR="114300" simplePos="0" relativeHeight="251742720" behindDoc="0" locked="0" layoutInCell="1" allowOverlap="1" wp14:anchorId="51E34FF8" wp14:editId="0380AB5B">
            <wp:simplePos x="0" y="0"/>
            <wp:positionH relativeFrom="margin">
              <wp:align>center</wp:align>
            </wp:positionH>
            <wp:positionV relativeFrom="paragraph">
              <wp:posOffset>246149</wp:posOffset>
            </wp:positionV>
            <wp:extent cx="5535930" cy="2008505"/>
            <wp:effectExtent l="0" t="0" r="7620" b="10795"/>
            <wp:wrapTopAndBottom/>
            <wp:docPr id="167" name="Chart 167">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margin">
              <wp14:pctWidth>0</wp14:pctWidth>
            </wp14:sizeRelH>
            <wp14:sizeRelV relativeFrom="margin">
              <wp14:pctHeight>0</wp14:pctHeight>
            </wp14:sizeRelV>
          </wp:anchor>
        </w:drawing>
      </w:r>
      <w:r>
        <w:rPr>
          <w:rFonts w:cs="Times New Roman"/>
          <w:b/>
          <w:szCs w:val="24"/>
        </w:rPr>
        <w:t>Kriminālvajāšanai saņemti kriminālprocesi</w:t>
      </w:r>
    </w:p>
    <w:p w14:paraId="51495102" w14:textId="77777777" w:rsidR="008530D0" w:rsidRPr="009C1FED" w:rsidRDefault="008530D0" w:rsidP="008530D0">
      <w:pPr>
        <w:spacing w:after="0" w:line="240" w:lineRule="auto"/>
        <w:jc w:val="both"/>
        <w:rPr>
          <w:b/>
          <w:szCs w:val="24"/>
        </w:rPr>
      </w:pPr>
    </w:p>
    <w:p w14:paraId="04B5A627" w14:textId="0BB33060" w:rsidR="008530D0" w:rsidRDefault="008530D0" w:rsidP="008530D0">
      <w:pPr>
        <w:spacing w:after="0" w:line="240" w:lineRule="auto"/>
        <w:ind w:firstLine="720"/>
        <w:jc w:val="both"/>
      </w:pPr>
      <w:r w:rsidRPr="00BC41F3">
        <w:t xml:space="preserve">Kopumā </w:t>
      </w:r>
      <w:r>
        <w:t xml:space="preserve">Zemgales </w:t>
      </w:r>
      <w:r w:rsidRPr="00B41DBE">
        <w:t>tiesas apgabal</w:t>
      </w:r>
      <w:r>
        <w:t>a prokuratūras darbības teritorijā</w:t>
      </w:r>
      <w:r w:rsidRPr="00B41DBE">
        <w:t xml:space="preserve"> ietilpstošo</w:t>
      </w:r>
      <w:r>
        <w:t xml:space="preserve"> rajona līmeņa</w:t>
      </w:r>
      <w:r w:rsidRPr="00B41DBE">
        <w:t xml:space="preserve"> prokuratūr</w:t>
      </w:r>
      <w:r>
        <w:t>u</w:t>
      </w:r>
      <w:r w:rsidRPr="00BC41F3">
        <w:t xml:space="preserve"> lietvedībā pieņemto kriminālprocesu skaits ir stabils un lielā mērā sasaistāms ar izmeklēšanas iestādēs uzsākto kriminālprocesu skaitu.</w:t>
      </w:r>
    </w:p>
    <w:p w14:paraId="0F26887B" w14:textId="77777777" w:rsidR="008530D0" w:rsidRDefault="008530D0" w:rsidP="008530D0">
      <w:pPr>
        <w:spacing w:after="0" w:line="240" w:lineRule="auto"/>
        <w:jc w:val="both"/>
      </w:pPr>
    </w:p>
    <w:p w14:paraId="544E9074" w14:textId="77777777" w:rsidR="008530D0" w:rsidRDefault="008530D0" w:rsidP="00E329FC">
      <w:pPr>
        <w:pStyle w:val="ListParagraph"/>
        <w:numPr>
          <w:ilvl w:val="0"/>
          <w:numId w:val="59"/>
        </w:numPr>
        <w:spacing w:after="0" w:line="240" w:lineRule="auto"/>
        <w:jc w:val="both"/>
        <w:rPr>
          <w:b/>
          <w:bCs/>
        </w:rPr>
      </w:pPr>
      <w:r>
        <w:rPr>
          <w:noProof/>
        </w:rPr>
        <w:lastRenderedPageBreak/>
        <w:drawing>
          <wp:anchor distT="0" distB="0" distL="114300" distR="114300" simplePos="0" relativeHeight="251743744" behindDoc="0" locked="0" layoutInCell="1" allowOverlap="1" wp14:anchorId="74F053A2" wp14:editId="29E1755C">
            <wp:simplePos x="0" y="0"/>
            <wp:positionH relativeFrom="margin">
              <wp:align>center</wp:align>
            </wp:positionH>
            <wp:positionV relativeFrom="paragraph">
              <wp:posOffset>423661</wp:posOffset>
            </wp:positionV>
            <wp:extent cx="5443855" cy="2762250"/>
            <wp:effectExtent l="0" t="0" r="4445" b="0"/>
            <wp:wrapTopAndBottom/>
            <wp:docPr id="168" name="Chart 168">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r w:rsidRPr="00D94DCD">
        <w:rPr>
          <w:b/>
          <w:bCs/>
        </w:rPr>
        <w:t xml:space="preserve">Paātrinātā procesa kārtībā </w:t>
      </w:r>
      <w:r>
        <w:rPr>
          <w:b/>
          <w:bCs/>
        </w:rPr>
        <w:t>kriminālvajāšanai saņemti kriminālprocesi, no tiem šī procesa kārtībā tiesai nodotas krimināllietas</w:t>
      </w:r>
    </w:p>
    <w:p w14:paraId="65088DB3" w14:textId="77777777" w:rsidR="008530D0" w:rsidRDefault="008530D0" w:rsidP="008530D0">
      <w:pPr>
        <w:tabs>
          <w:tab w:val="left" w:leader="dot" w:pos="8505"/>
        </w:tabs>
        <w:spacing w:after="0" w:line="240" w:lineRule="auto"/>
        <w:jc w:val="both"/>
        <w:rPr>
          <w:rFonts w:cs="Times New Roman"/>
          <w:szCs w:val="24"/>
        </w:rPr>
      </w:pPr>
    </w:p>
    <w:p w14:paraId="14310AE2" w14:textId="48D34D00" w:rsidR="008530D0" w:rsidRDefault="008530D0" w:rsidP="008530D0">
      <w:pPr>
        <w:pStyle w:val="NoSpacing"/>
        <w:ind w:firstLine="720"/>
        <w:jc w:val="both"/>
      </w:pPr>
      <w:r w:rsidRPr="00BC41F3">
        <w:t>Paātrinātā procesa piemērošanas prakse skaidri iezīmē tā praktisko izmantošanu pirmstiesas procesa stadijā, ar tendenci arvien vairāk krimināl</w:t>
      </w:r>
      <w:r>
        <w:t>lietu</w:t>
      </w:r>
      <w:r w:rsidRPr="00BC41F3">
        <w:t xml:space="preserve"> </w:t>
      </w:r>
      <w:r>
        <w:t>nodot</w:t>
      </w:r>
      <w:r w:rsidRPr="00BC41F3">
        <w:t xml:space="preserve"> tiesai paātrinātā procesa kārtībā. Vērtējot Kriminālprocesa likuma 411.</w:t>
      </w:r>
      <w:r>
        <w:t> </w:t>
      </w:r>
      <w:r w:rsidRPr="00BC41F3">
        <w:t>panta 2.</w:t>
      </w:r>
      <w:r>
        <w:t> </w:t>
      </w:r>
      <w:r w:rsidRPr="00BC41F3">
        <w:t>punktā noteikto pirmstiesas kriminālprocesa pabeigšan</w:t>
      </w:r>
      <w:r>
        <w:t>as iespēju</w:t>
      </w:r>
      <w:r w:rsidRPr="00BC41F3">
        <w:t xml:space="preserve"> (</w:t>
      </w:r>
      <w:r>
        <w:t xml:space="preserve">krimināllietas nodošana tiesai </w:t>
      </w:r>
      <w:r w:rsidRPr="00BC41F3">
        <w:t xml:space="preserve">paātrinātā procesa kārtībā), jāņem vērā, ka </w:t>
      </w:r>
      <w:r>
        <w:t xml:space="preserve">Zemgales </w:t>
      </w:r>
      <w:r w:rsidRPr="00B41DBE">
        <w:t>tiesas apgabal</w:t>
      </w:r>
      <w:r>
        <w:t>a prokuratūras darbības teritorijā</w:t>
      </w:r>
      <w:r w:rsidRPr="00B41DBE">
        <w:t xml:space="preserve"> ietilpstoš</w:t>
      </w:r>
      <w:r>
        <w:t>ajās rajona līmeņa</w:t>
      </w:r>
      <w:r w:rsidRPr="00B41DBE">
        <w:t xml:space="preserve"> prokuratūr</w:t>
      </w:r>
      <w:r>
        <w:t>ās</w:t>
      </w:r>
      <w:r w:rsidRPr="00BC41F3">
        <w:t xml:space="preserve"> </w:t>
      </w:r>
      <w:r>
        <w:t xml:space="preserve">2020. gadā </w:t>
      </w:r>
      <w:r w:rsidRPr="00BC41F3">
        <w:t>virkne lietvedībā pieņemto kriminālprocesu, kurus izmeklēšanas iestāde virz</w:t>
      </w:r>
      <w:r>
        <w:t>īja</w:t>
      </w:r>
      <w:r w:rsidRPr="00BC41F3">
        <w:t xml:space="preserve"> paātrinātā procesa kārtībā, tik</w:t>
      </w:r>
      <w:r>
        <w:t>a</w:t>
      </w:r>
      <w:r w:rsidRPr="00BC41F3">
        <w:t xml:space="preserve"> pabeigti prokuratūrā, </w:t>
      </w:r>
      <w:r>
        <w:t xml:space="preserve">nenododot krimināllietu tiesai, </w:t>
      </w:r>
      <w:r w:rsidRPr="00BC41F3">
        <w:t>tādējādi minētie rādītāji vērtējami tikai savstarpējā sakarībā. Tā</w:t>
      </w:r>
      <w:r w:rsidR="00C40346">
        <w:t>,</w:t>
      </w:r>
      <w:r w:rsidRPr="00BC41F3">
        <w:t xml:space="preserve"> piemēram, 2020.</w:t>
      </w:r>
      <w:r>
        <w:t> </w:t>
      </w:r>
      <w:r w:rsidRPr="00BC41F3">
        <w:t>gadā Tukuma rajona prokuratūras prokurori no izmeklēšanas iestādes paātrinātā procesa kārtībā saņēma 11</w:t>
      </w:r>
      <w:r>
        <w:t>3 </w:t>
      </w:r>
      <w:r w:rsidRPr="00BC41F3">
        <w:t xml:space="preserve">kriminālprocesus, bet </w:t>
      </w:r>
      <w:r>
        <w:t>tiesai šī procesa kārtībā nodeva</w:t>
      </w:r>
      <w:r w:rsidRPr="00BC41F3">
        <w:t xml:space="preserve"> tikai 29</w:t>
      </w:r>
      <w:r>
        <w:t xml:space="preserve"> </w:t>
      </w:r>
      <w:r w:rsidRPr="00BC41F3">
        <w:t>krimināl</w:t>
      </w:r>
      <w:r>
        <w:t>lietas.</w:t>
      </w:r>
    </w:p>
    <w:p w14:paraId="0AF19BEF" w14:textId="71F7D279" w:rsidR="008530D0" w:rsidRDefault="008530D0" w:rsidP="008530D0">
      <w:pPr>
        <w:pStyle w:val="NoSpacing"/>
        <w:jc w:val="both"/>
      </w:pPr>
    </w:p>
    <w:p w14:paraId="49EA2994" w14:textId="2AA8E627" w:rsidR="008530D0" w:rsidRPr="008530D0" w:rsidRDefault="008530D0" w:rsidP="00E329FC">
      <w:pPr>
        <w:pStyle w:val="NoSpacing"/>
        <w:numPr>
          <w:ilvl w:val="0"/>
          <w:numId w:val="59"/>
        </w:numPr>
        <w:spacing w:after="120"/>
        <w:ind w:left="714" w:hanging="357"/>
        <w:jc w:val="both"/>
        <w:rPr>
          <w:b/>
          <w:bCs/>
        </w:rPr>
      </w:pPr>
      <w:r w:rsidRPr="008530D0">
        <w:rPr>
          <w:b/>
          <w:szCs w:val="24"/>
        </w:rPr>
        <w:t>Tiesai nodo</w:t>
      </w:r>
      <w:r>
        <w:rPr>
          <w:b/>
          <w:szCs w:val="24"/>
        </w:rPr>
        <w:t xml:space="preserve">tas </w:t>
      </w:r>
      <w:r w:rsidRPr="008530D0">
        <w:rPr>
          <w:b/>
          <w:szCs w:val="24"/>
        </w:rPr>
        <w:t>krimināl</w:t>
      </w:r>
      <w:r>
        <w:rPr>
          <w:b/>
          <w:szCs w:val="24"/>
        </w:rPr>
        <w:t>lietas</w:t>
      </w:r>
      <w:r w:rsidRPr="008530D0">
        <w:rPr>
          <w:b/>
          <w:szCs w:val="24"/>
        </w:rPr>
        <w:t>, no t</w:t>
      </w:r>
      <w:r>
        <w:rPr>
          <w:b/>
          <w:szCs w:val="24"/>
        </w:rPr>
        <w:t>ā</w:t>
      </w:r>
      <w:r w:rsidRPr="008530D0">
        <w:rPr>
          <w:b/>
          <w:szCs w:val="24"/>
        </w:rPr>
        <w:t>m vienošanās procesa kārtībā</w:t>
      </w:r>
    </w:p>
    <w:p w14:paraId="1E47DBEC" w14:textId="57FF9435" w:rsidR="00206B25" w:rsidRDefault="008530D0" w:rsidP="00206B25">
      <w:pPr>
        <w:spacing w:after="0"/>
        <w:jc w:val="center"/>
      </w:pPr>
      <w:r w:rsidRPr="005A60EC">
        <w:rPr>
          <w:noProof/>
        </w:rPr>
        <w:drawing>
          <wp:inline distT="0" distB="0" distL="0" distR="0" wp14:anchorId="550F05DB" wp14:editId="7123996F">
            <wp:extent cx="5357495" cy="2806700"/>
            <wp:effectExtent l="0" t="0" r="14605" b="12700"/>
            <wp:docPr id="171" name="Chart 1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02E5A174" w14:textId="77777777" w:rsidR="00206B25" w:rsidRDefault="00206B25" w:rsidP="00206B25">
      <w:pPr>
        <w:spacing w:after="0"/>
        <w:jc w:val="center"/>
      </w:pPr>
    </w:p>
    <w:p w14:paraId="3C757169" w14:textId="43A279BA" w:rsidR="008530D0" w:rsidRDefault="008530D0" w:rsidP="008530D0">
      <w:pPr>
        <w:spacing w:after="0" w:line="240" w:lineRule="auto"/>
        <w:ind w:firstLine="720"/>
        <w:jc w:val="both"/>
        <w:rPr>
          <w:bCs/>
          <w:szCs w:val="24"/>
        </w:rPr>
      </w:pPr>
      <w:r w:rsidRPr="00505C20">
        <w:rPr>
          <w:bCs/>
          <w:szCs w:val="24"/>
        </w:rPr>
        <w:t xml:space="preserve">Pamatā </w:t>
      </w:r>
      <w:r>
        <w:rPr>
          <w:bCs/>
          <w:szCs w:val="24"/>
        </w:rPr>
        <w:t xml:space="preserve">2020. gadā </w:t>
      </w:r>
      <w:r w:rsidRPr="00505C20">
        <w:rPr>
          <w:bCs/>
          <w:szCs w:val="24"/>
        </w:rPr>
        <w:t>vērojams tiesai nodoto krimināl</w:t>
      </w:r>
      <w:r>
        <w:rPr>
          <w:bCs/>
          <w:szCs w:val="24"/>
        </w:rPr>
        <w:t>lietu</w:t>
      </w:r>
      <w:r w:rsidRPr="00505C20">
        <w:rPr>
          <w:bCs/>
          <w:szCs w:val="24"/>
        </w:rPr>
        <w:t xml:space="preserve"> skaita palielinājums. Akcentējams Jēkabpils rajona prokuratūras būtisks ieguldījums </w:t>
      </w:r>
      <w:r>
        <w:rPr>
          <w:bCs/>
          <w:szCs w:val="24"/>
        </w:rPr>
        <w:t>vienošanās procesa</w:t>
      </w:r>
      <w:r w:rsidRPr="00505C20">
        <w:rPr>
          <w:bCs/>
          <w:szCs w:val="24"/>
        </w:rPr>
        <w:t xml:space="preserve"> </w:t>
      </w:r>
      <w:r w:rsidRPr="00505C20">
        <w:rPr>
          <w:bCs/>
          <w:szCs w:val="24"/>
        </w:rPr>
        <w:lastRenderedPageBreak/>
        <w:t>piemērošanā. Vis</w:t>
      </w:r>
      <w:r>
        <w:rPr>
          <w:bCs/>
          <w:szCs w:val="24"/>
        </w:rPr>
        <w:t>u</w:t>
      </w:r>
      <w:r w:rsidRPr="00505C20">
        <w:rPr>
          <w:bCs/>
          <w:szCs w:val="24"/>
        </w:rPr>
        <w:t xml:space="preserve"> </w:t>
      </w:r>
      <w:r>
        <w:t xml:space="preserve">Zemgales </w:t>
      </w:r>
      <w:r w:rsidRPr="00B41DBE">
        <w:t>tiesas apgabal</w:t>
      </w:r>
      <w:r>
        <w:t>a prokuratūras darbības teritorijā</w:t>
      </w:r>
      <w:r w:rsidRPr="00B41DBE">
        <w:t xml:space="preserve"> ietilpstoš</w:t>
      </w:r>
      <w:r>
        <w:t>o rajona līmeņa</w:t>
      </w:r>
      <w:r w:rsidRPr="00B41DBE">
        <w:t xml:space="preserve"> prokuratūr</w:t>
      </w:r>
      <w:r>
        <w:t xml:space="preserve">u prokurori </w:t>
      </w:r>
      <w:r w:rsidRPr="00505C20">
        <w:rPr>
          <w:bCs/>
          <w:szCs w:val="24"/>
        </w:rPr>
        <w:t>konsekventi izmanto vienošanās procesa piemērošanas iespējas.</w:t>
      </w:r>
    </w:p>
    <w:p w14:paraId="522F065F" w14:textId="0CC0DD32" w:rsidR="008530D0" w:rsidRDefault="008530D0" w:rsidP="008530D0">
      <w:pPr>
        <w:spacing w:after="0" w:line="240" w:lineRule="auto"/>
        <w:jc w:val="both"/>
        <w:rPr>
          <w:bCs/>
          <w:szCs w:val="24"/>
        </w:rPr>
      </w:pPr>
    </w:p>
    <w:p w14:paraId="7AF41FC5" w14:textId="453FABD1" w:rsidR="008530D0" w:rsidRPr="008530D0" w:rsidRDefault="008530D0" w:rsidP="00E329FC">
      <w:pPr>
        <w:pStyle w:val="ListParagraph"/>
        <w:numPr>
          <w:ilvl w:val="0"/>
          <w:numId w:val="59"/>
        </w:numPr>
        <w:spacing w:after="120" w:line="240" w:lineRule="auto"/>
        <w:ind w:left="714" w:hanging="357"/>
        <w:jc w:val="both"/>
        <w:rPr>
          <w:b/>
          <w:szCs w:val="24"/>
        </w:rPr>
      </w:pPr>
      <w:r w:rsidRPr="008530D0">
        <w:rPr>
          <w:b/>
          <w:szCs w:val="24"/>
        </w:rPr>
        <w:t>Prokuratūrā pabeigti kriminālprocesi ar prokurora priekšrakstu par sodu</w:t>
      </w:r>
    </w:p>
    <w:p w14:paraId="0273B43E" w14:textId="4105CBEE" w:rsidR="008530D0" w:rsidRDefault="008530D0" w:rsidP="00221BE5">
      <w:pPr>
        <w:spacing w:after="0"/>
        <w:jc w:val="center"/>
        <w:rPr>
          <w:bCs/>
          <w:szCs w:val="24"/>
        </w:rPr>
      </w:pPr>
      <w:r w:rsidRPr="005A60EC">
        <w:rPr>
          <w:noProof/>
        </w:rPr>
        <w:drawing>
          <wp:inline distT="0" distB="0" distL="0" distR="0" wp14:anchorId="3C6080AB" wp14:editId="5682696C">
            <wp:extent cx="5411470" cy="2806700"/>
            <wp:effectExtent l="0" t="0" r="17780" b="12700"/>
            <wp:docPr id="170" name="Chart 1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66D3C2F" w14:textId="77777777" w:rsidR="00221BE5" w:rsidRPr="00515A32" w:rsidRDefault="00221BE5" w:rsidP="00221BE5">
      <w:pPr>
        <w:spacing w:after="0" w:line="240" w:lineRule="auto"/>
        <w:jc w:val="center"/>
        <w:rPr>
          <w:bCs/>
          <w:szCs w:val="24"/>
        </w:rPr>
      </w:pPr>
    </w:p>
    <w:p w14:paraId="629D60D6" w14:textId="14DA708F" w:rsidR="008530D0" w:rsidRDefault="008530D0" w:rsidP="008530D0">
      <w:pPr>
        <w:spacing w:after="0" w:line="240" w:lineRule="auto"/>
        <w:jc w:val="both"/>
      </w:pPr>
      <w:r w:rsidRPr="00515A32">
        <w:rPr>
          <w:bCs/>
          <w:szCs w:val="24"/>
        </w:rPr>
        <w:tab/>
      </w:r>
      <w:r w:rsidRPr="00505C20">
        <w:t xml:space="preserve">Ar katru gadu </w:t>
      </w:r>
      <w:r>
        <w:t xml:space="preserve">Zemgales </w:t>
      </w:r>
      <w:r w:rsidRPr="00B41DBE">
        <w:t>tiesas apgabal</w:t>
      </w:r>
      <w:r>
        <w:t>a prokuratūras darbības teritorijā</w:t>
      </w:r>
      <w:r w:rsidRPr="00B41DBE">
        <w:t xml:space="preserve"> ietilpstoš</w:t>
      </w:r>
      <w:r>
        <w:t>ajās rajona līmeņa</w:t>
      </w:r>
      <w:r w:rsidRPr="00B41DBE">
        <w:t xml:space="preserve"> prokuratūr</w:t>
      </w:r>
      <w:r>
        <w:t>ās</w:t>
      </w:r>
      <w:r w:rsidRPr="00505C20">
        <w:t xml:space="preserve"> palielin</w:t>
      </w:r>
      <w:r>
        <w:t>ās</w:t>
      </w:r>
      <w:r w:rsidRPr="00505C20">
        <w:t xml:space="preserve"> to kriminālprocesu skaitu, kuri tiek pabeigti tieši prokuratūrā. Šāds uzstādījums </w:t>
      </w:r>
      <w:r>
        <w:t xml:space="preserve">prokuratūras </w:t>
      </w:r>
      <w:r w:rsidRPr="00505C20">
        <w:t>struktūrvienību virsprokuroriem tika izvirzīts arī 2020.</w:t>
      </w:r>
      <w:r>
        <w:t> </w:t>
      </w:r>
      <w:r w:rsidRPr="00505C20">
        <w:t xml:space="preserve">gada sākumā, kad uzsāku pildīt </w:t>
      </w:r>
      <w:r>
        <w:t xml:space="preserve">Zemgales tiesas </w:t>
      </w:r>
      <w:r w:rsidRPr="00505C20">
        <w:t>apgabala prokuratūras virsprokurora pienākumus. Pabeidzot kriminālprocesus prokuratūrā, tiek būtiski atvieglots prokuror</w:t>
      </w:r>
      <w:r>
        <w:t>u</w:t>
      </w:r>
      <w:r w:rsidRPr="00505C20">
        <w:t xml:space="preserve"> ikdienas darbs, paverot iespējas vairāk laika veltīt juridiski sarežģītu vai liela apjoma kriminālprocesu uzraudzībai, kā arī nepamatoti nenoslogojot tiesu.</w:t>
      </w:r>
    </w:p>
    <w:p w14:paraId="18BDCE2C" w14:textId="449B3325" w:rsidR="008530D0" w:rsidRDefault="008530D0" w:rsidP="008530D0">
      <w:pPr>
        <w:spacing w:after="0"/>
        <w:jc w:val="both"/>
      </w:pPr>
    </w:p>
    <w:p w14:paraId="185ABFED" w14:textId="534B8C7D" w:rsidR="008530D0" w:rsidRPr="008530D0" w:rsidRDefault="008530D0" w:rsidP="00E329FC">
      <w:pPr>
        <w:pStyle w:val="ListParagraph"/>
        <w:numPr>
          <w:ilvl w:val="0"/>
          <w:numId w:val="59"/>
        </w:numPr>
        <w:spacing w:after="120"/>
        <w:ind w:left="714" w:hanging="357"/>
        <w:jc w:val="both"/>
        <w:rPr>
          <w:b/>
          <w:bCs/>
        </w:rPr>
      </w:pPr>
      <w:r w:rsidRPr="008530D0">
        <w:rPr>
          <w:b/>
          <w:szCs w:val="24"/>
        </w:rPr>
        <w:t>Pēc K</w:t>
      </w:r>
      <w:r>
        <w:rPr>
          <w:b/>
          <w:szCs w:val="24"/>
        </w:rPr>
        <w:t xml:space="preserve">rimināllikuma </w:t>
      </w:r>
      <w:r w:rsidRPr="008530D0">
        <w:rPr>
          <w:b/>
          <w:szCs w:val="24"/>
        </w:rPr>
        <w:t>180.</w:t>
      </w:r>
      <w:r>
        <w:rPr>
          <w:b/>
          <w:szCs w:val="24"/>
        </w:rPr>
        <w:t> </w:t>
      </w:r>
      <w:r w:rsidRPr="008530D0">
        <w:rPr>
          <w:b/>
          <w:szCs w:val="24"/>
        </w:rPr>
        <w:t xml:space="preserve">panta pabeigto </w:t>
      </w:r>
      <w:r>
        <w:rPr>
          <w:b/>
          <w:szCs w:val="24"/>
        </w:rPr>
        <w:t>kriminālprocesu</w:t>
      </w:r>
      <w:r w:rsidRPr="008530D0">
        <w:rPr>
          <w:b/>
          <w:szCs w:val="24"/>
        </w:rPr>
        <w:t xml:space="preserve"> procentuālā attiecība pret kopā pabeigto kriminālprocesu skaitu</w:t>
      </w:r>
    </w:p>
    <w:p w14:paraId="6C81B6E5" w14:textId="431DB4CF" w:rsidR="008530D0" w:rsidRDefault="008530D0" w:rsidP="00767922">
      <w:pPr>
        <w:spacing w:after="0"/>
        <w:jc w:val="center"/>
        <w:rPr>
          <w:b/>
          <w:szCs w:val="24"/>
        </w:rPr>
      </w:pPr>
      <w:r w:rsidRPr="005A60EC">
        <w:rPr>
          <w:noProof/>
        </w:rPr>
        <w:drawing>
          <wp:inline distT="0" distB="0" distL="0" distR="0" wp14:anchorId="5D34FF5A" wp14:editId="17340B91">
            <wp:extent cx="5467350" cy="2774950"/>
            <wp:effectExtent l="0" t="0" r="0" b="6350"/>
            <wp:docPr id="169" name="Chart 1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5AE546B" w14:textId="77777777" w:rsidR="00767922" w:rsidRPr="00515A32" w:rsidRDefault="00767922" w:rsidP="00767922">
      <w:pPr>
        <w:spacing w:after="0"/>
        <w:jc w:val="center"/>
        <w:rPr>
          <w:b/>
          <w:szCs w:val="24"/>
        </w:rPr>
      </w:pPr>
    </w:p>
    <w:p w14:paraId="08E62FD0" w14:textId="7760572C" w:rsidR="008530D0" w:rsidRDefault="008530D0" w:rsidP="008530D0">
      <w:pPr>
        <w:spacing w:after="0" w:line="240" w:lineRule="auto"/>
        <w:jc w:val="both"/>
        <w:rPr>
          <w:bCs/>
          <w:szCs w:val="24"/>
        </w:rPr>
      </w:pPr>
      <w:r w:rsidRPr="00515A32">
        <w:rPr>
          <w:b/>
          <w:szCs w:val="24"/>
        </w:rPr>
        <w:tab/>
      </w:r>
      <w:r w:rsidRPr="0092031C">
        <w:rPr>
          <w:bCs/>
          <w:szCs w:val="24"/>
        </w:rPr>
        <w:t>Pēc Krimināllikuma 180.</w:t>
      </w:r>
      <w:r>
        <w:rPr>
          <w:bCs/>
          <w:szCs w:val="24"/>
        </w:rPr>
        <w:t> </w:t>
      </w:r>
      <w:r w:rsidRPr="0092031C">
        <w:rPr>
          <w:bCs/>
          <w:szCs w:val="24"/>
        </w:rPr>
        <w:t>panta pabeigto kriminālprocesu īpatsvars faktiski ik gadu ir nemainīgs.</w:t>
      </w:r>
    </w:p>
    <w:p w14:paraId="2A65B7A6" w14:textId="1B4321BD" w:rsidR="008530D0" w:rsidRDefault="008530D0" w:rsidP="008530D0">
      <w:pPr>
        <w:spacing w:after="0" w:line="240" w:lineRule="auto"/>
        <w:jc w:val="both"/>
        <w:rPr>
          <w:bCs/>
          <w:szCs w:val="24"/>
        </w:rPr>
      </w:pPr>
    </w:p>
    <w:p w14:paraId="08B2A732" w14:textId="69E8CA2B" w:rsidR="008530D0" w:rsidRPr="008530D0" w:rsidRDefault="008530D0" w:rsidP="00E329FC">
      <w:pPr>
        <w:pStyle w:val="ListParagraph"/>
        <w:numPr>
          <w:ilvl w:val="0"/>
          <w:numId w:val="59"/>
        </w:numPr>
        <w:spacing w:after="120" w:line="240" w:lineRule="auto"/>
        <w:ind w:left="714" w:hanging="357"/>
        <w:jc w:val="both"/>
        <w:rPr>
          <w:b/>
          <w:szCs w:val="24"/>
        </w:rPr>
      </w:pPr>
      <w:r>
        <w:rPr>
          <w:b/>
          <w:szCs w:val="24"/>
        </w:rPr>
        <w:lastRenderedPageBreak/>
        <w:t>Prokuroru uzraudzībā pieņemti kriminālprocesi</w:t>
      </w:r>
    </w:p>
    <w:p w14:paraId="48C4CDBB" w14:textId="78BF98EB" w:rsidR="008530D0" w:rsidRDefault="008530D0" w:rsidP="009F3C68">
      <w:pPr>
        <w:spacing w:after="0"/>
        <w:jc w:val="center"/>
        <w:rPr>
          <w:bCs/>
          <w:szCs w:val="24"/>
        </w:rPr>
      </w:pPr>
      <w:r w:rsidRPr="005A60EC">
        <w:rPr>
          <w:noProof/>
        </w:rPr>
        <w:drawing>
          <wp:inline distT="0" distB="0" distL="0" distR="0" wp14:anchorId="55351ABA" wp14:editId="5758C422">
            <wp:extent cx="5535930" cy="2984500"/>
            <wp:effectExtent l="0" t="0" r="7620" b="6350"/>
            <wp:docPr id="164" name="Chart 1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695A5559" w14:textId="77777777" w:rsidR="009F3C68" w:rsidRPr="00515A32" w:rsidRDefault="009F3C68" w:rsidP="009F3C68">
      <w:pPr>
        <w:spacing w:after="0"/>
        <w:jc w:val="center"/>
        <w:rPr>
          <w:bCs/>
          <w:szCs w:val="24"/>
        </w:rPr>
      </w:pPr>
    </w:p>
    <w:p w14:paraId="0801C996" w14:textId="034993AE" w:rsidR="008530D0" w:rsidRDefault="008530D0" w:rsidP="008530D0">
      <w:pPr>
        <w:spacing w:after="0" w:line="240" w:lineRule="auto"/>
        <w:ind w:firstLine="720"/>
        <w:jc w:val="both"/>
      </w:pPr>
      <w:r w:rsidRPr="0087598E">
        <w:t xml:space="preserve">Kā redzams no tabulā ietvertās informācijas, </w:t>
      </w:r>
      <w:r>
        <w:t xml:space="preserve">2020. gadā visās Zemgales </w:t>
      </w:r>
      <w:r w:rsidRPr="00B41DBE">
        <w:t>tiesas apgabal</w:t>
      </w:r>
      <w:r>
        <w:t>a prokuratūras darbības teritorijā</w:t>
      </w:r>
      <w:r w:rsidRPr="00B41DBE">
        <w:t xml:space="preserve"> ietilpstoš</w:t>
      </w:r>
      <w:r>
        <w:t>ajās rajona līmeņa</w:t>
      </w:r>
      <w:r w:rsidRPr="00B41DBE">
        <w:t xml:space="preserve"> prokuratūr</w:t>
      </w:r>
      <w:r>
        <w:t>ās</w:t>
      </w:r>
      <w:r w:rsidRPr="0087598E">
        <w:t xml:space="preserve"> </w:t>
      </w:r>
      <w:r>
        <w:t xml:space="preserve">prokuroru </w:t>
      </w:r>
      <w:r w:rsidRPr="0087598E">
        <w:t>uzraudzībā pieņemto kriminālprocesu skaits samazinājies, šāda tendence skaidrojama gan ar nelielu noziedzības līmeņa kritumu, gan ar citiem objektīviem apstākļiem (ar prokurora piekrišanu atteikts uzsākt kriminālprocesu par maznozīmīgiem noziedzīgiem nodarījumiem, izmeklēšanas iestādēs rūpīgāk izsvērts kriminālprocesa uzsākšanas pamats u.</w:t>
      </w:r>
      <w:r>
        <w:t> </w:t>
      </w:r>
      <w:r w:rsidRPr="0087598E">
        <w:t xml:space="preserve">c.). </w:t>
      </w:r>
    </w:p>
    <w:p w14:paraId="43339197" w14:textId="77777777" w:rsidR="008530D0" w:rsidRDefault="008530D0" w:rsidP="008530D0">
      <w:pPr>
        <w:spacing w:after="0" w:line="240" w:lineRule="auto"/>
        <w:jc w:val="both"/>
      </w:pPr>
    </w:p>
    <w:p w14:paraId="68EA8D65" w14:textId="67C45B34" w:rsidR="008530D0" w:rsidRPr="008530D0" w:rsidRDefault="008530D0" w:rsidP="00E329FC">
      <w:pPr>
        <w:pStyle w:val="ListParagraph"/>
        <w:numPr>
          <w:ilvl w:val="0"/>
          <w:numId w:val="59"/>
        </w:numPr>
        <w:spacing w:after="120" w:line="240" w:lineRule="auto"/>
        <w:ind w:left="714" w:hanging="357"/>
        <w:jc w:val="both"/>
        <w:rPr>
          <w:szCs w:val="24"/>
        </w:rPr>
      </w:pPr>
      <w:r w:rsidRPr="008530D0">
        <w:rPr>
          <w:b/>
          <w:szCs w:val="24"/>
        </w:rPr>
        <w:t>Ar prokurora piekrišanu atteikts uzsākt kriminālprocesu par maznozīmīgu noziedzīgu nodarījumu</w:t>
      </w:r>
    </w:p>
    <w:p w14:paraId="5D4B0228" w14:textId="32F1E3E2" w:rsidR="008530D0" w:rsidRDefault="008530D0" w:rsidP="009F3C68">
      <w:pPr>
        <w:spacing w:after="0"/>
        <w:jc w:val="center"/>
        <w:rPr>
          <w:bCs/>
          <w:szCs w:val="24"/>
        </w:rPr>
      </w:pPr>
      <w:r w:rsidRPr="005A60EC">
        <w:rPr>
          <w:noProof/>
        </w:rPr>
        <w:drawing>
          <wp:inline distT="0" distB="0" distL="0" distR="0" wp14:anchorId="714F3526" wp14:editId="4AF20312">
            <wp:extent cx="5451475" cy="2755900"/>
            <wp:effectExtent l="0" t="0" r="15875" b="6350"/>
            <wp:docPr id="160" name="Chart 1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04C0219C" w14:textId="77777777" w:rsidR="009F3C68" w:rsidRPr="00515A32" w:rsidRDefault="009F3C68" w:rsidP="009F3C68">
      <w:pPr>
        <w:spacing w:after="0"/>
        <w:jc w:val="center"/>
        <w:rPr>
          <w:bCs/>
          <w:szCs w:val="24"/>
        </w:rPr>
      </w:pPr>
    </w:p>
    <w:p w14:paraId="219EA674" w14:textId="457799FC" w:rsidR="008530D0" w:rsidRDefault="008530D0" w:rsidP="008530D0">
      <w:pPr>
        <w:spacing w:after="0" w:line="240" w:lineRule="auto"/>
        <w:jc w:val="both"/>
        <w:rPr>
          <w:bCs/>
          <w:szCs w:val="24"/>
        </w:rPr>
      </w:pPr>
      <w:r w:rsidRPr="00515A32">
        <w:rPr>
          <w:bCs/>
          <w:szCs w:val="24"/>
        </w:rPr>
        <w:tab/>
      </w:r>
      <w:r w:rsidRPr="0087598E">
        <w:rPr>
          <w:bCs/>
          <w:szCs w:val="24"/>
        </w:rPr>
        <w:t xml:space="preserve">Kopumā šo procesuālo instrumentu </w:t>
      </w:r>
      <w:r>
        <w:t xml:space="preserve">Zemgales </w:t>
      </w:r>
      <w:r w:rsidRPr="00B41DBE">
        <w:t>tiesas apgabal</w:t>
      </w:r>
      <w:r>
        <w:t>a prokuratūras darbības teritorijā</w:t>
      </w:r>
      <w:r w:rsidRPr="00B41DBE">
        <w:t xml:space="preserve"> ietilpstoš</w:t>
      </w:r>
      <w:r>
        <w:t>o rajona līmeņa</w:t>
      </w:r>
      <w:r w:rsidRPr="00B41DBE">
        <w:t xml:space="preserve"> prokuratūr</w:t>
      </w:r>
      <w:r>
        <w:t>u</w:t>
      </w:r>
      <w:r w:rsidRPr="0087598E">
        <w:rPr>
          <w:bCs/>
          <w:szCs w:val="24"/>
        </w:rPr>
        <w:t xml:space="preserve"> prokurori izmantojuši salīdzinoši retos gadījumos. Tikai Jēkabpils rajona prokuratūrā 100</w:t>
      </w:r>
      <w:r>
        <w:rPr>
          <w:bCs/>
          <w:szCs w:val="24"/>
        </w:rPr>
        <w:t> </w:t>
      </w:r>
      <w:r w:rsidRPr="0087598E">
        <w:rPr>
          <w:bCs/>
          <w:szCs w:val="24"/>
        </w:rPr>
        <w:t xml:space="preserve">gadījumos prokurori snieguši piekrišanu atteikumam uzsākt kriminālprocesu. Augstāk minētais apliecina nepieciešamību kopēju vadlīniju izstrādei, pie kā uzsākusi darbu ģenerālprokurora iniciēta darba grupa. </w:t>
      </w:r>
    </w:p>
    <w:p w14:paraId="185B38C2" w14:textId="7E9D26A4" w:rsidR="008530D0" w:rsidRDefault="008530D0" w:rsidP="008530D0">
      <w:pPr>
        <w:spacing w:after="0" w:line="240" w:lineRule="auto"/>
        <w:jc w:val="both"/>
        <w:rPr>
          <w:bCs/>
          <w:szCs w:val="24"/>
        </w:rPr>
      </w:pPr>
    </w:p>
    <w:p w14:paraId="4EFD7729" w14:textId="569D09CA" w:rsidR="008530D0" w:rsidRPr="008530D0" w:rsidRDefault="008530D0" w:rsidP="00E329FC">
      <w:pPr>
        <w:pStyle w:val="ListParagraph"/>
        <w:numPr>
          <w:ilvl w:val="0"/>
          <w:numId w:val="59"/>
        </w:numPr>
        <w:spacing w:after="120" w:line="240" w:lineRule="auto"/>
        <w:ind w:left="714" w:hanging="357"/>
        <w:jc w:val="both"/>
        <w:rPr>
          <w:b/>
          <w:szCs w:val="24"/>
        </w:rPr>
      </w:pPr>
      <w:r>
        <w:rPr>
          <w:b/>
          <w:szCs w:val="24"/>
        </w:rPr>
        <w:lastRenderedPageBreak/>
        <w:t>Dota piekrišana kriminālprocesa apturēšanai izmeklēšanā</w:t>
      </w:r>
    </w:p>
    <w:p w14:paraId="336F7E26" w14:textId="4978C562" w:rsidR="008530D0" w:rsidRDefault="008530D0" w:rsidP="00163E68">
      <w:pPr>
        <w:spacing w:after="0"/>
        <w:jc w:val="center"/>
        <w:rPr>
          <w:b/>
          <w:szCs w:val="24"/>
        </w:rPr>
      </w:pPr>
      <w:r w:rsidRPr="005A60EC">
        <w:rPr>
          <w:noProof/>
        </w:rPr>
        <w:drawing>
          <wp:inline distT="0" distB="0" distL="0" distR="0" wp14:anchorId="06B6DC02" wp14:editId="262D9DBB">
            <wp:extent cx="5586095" cy="3206750"/>
            <wp:effectExtent l="0" t="0" r="14605" b="12700"/>
            <wp:docPr id="159" name="Chart 1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39392980" w14:textId="77777777" w:rsidR="00163E68" w:rsidRPr="00515A32" w:rsidRDefault="00163E68" w:rsidP="00163E68">
      <w:pPr>
        <w:spacing w:after="0"/>
        <w:jc w:val="center"/>
        <w:rPr>
          <w:b/>
          <w:szCs w:val="24"/>
        </w:rPr>
      </w:pPr>
    </w:p>
    <w:p w14:paraId="574745F4" w14:textId="2C1938FF" w:rsidR="008530D0" w:rsidRDefault="008530D0" w:rsidP="008530D0">
      <w:pPr>
        <w:spacing w:after="0" w:line="240" w:lineRule="auto"/>
        <w:jc w:val="both"/>
      </w:pPr>
      <w:r w:rsidRPr="00515A32">
        <w:rPr>
          <w:b/>
          <w:szCs w:val="24"/>
        </w:rPr>
        <w:tab/>
      </w:r>
      <w:r w:rsidRPr="0087598E">
        <w:t xml:space="preserve">Vairāku gadu garumā </w:t>
      </w:r>
      <w:r>
        <w:t xml:space="preserve">Zemgales </w:t>
      </w:r>
      <w:r w:rsidRPr="00B41DBE">
        <w:t>tiesas apgabal</w:t>
      </w:r>
      <w:r>
        <w:t>a prokuratūras darbības teritorijā</w:t>
      </w:r>
      <w:r w:rsidRPr="00B41DBE">
        <w:t xml:space="preserve"> ietilpstoš</w:t>
      </w:r>
      <w:r>
        <w:t>ajām rajona līmeņa</w:t>
      </w:r>
      <w:r w:rsidRPr="00B41DBE">
        <w:t xml:space="preserve"> prokuratūr</w:t>
      </w:r>
      <w:r>
        <w:t>ām</w:t>
      </w:r>
      <w:r w:rsidRPr="0087598E">
        <w:t xml:space="preserve"> tika dots </w:t>
      </w:r>
      <w:r>
        <w:t xml:space="preserve">uzdevums </w:t>
      </w:r>
      <w:r w:rsidRPr="0087598E">
        <w:t xml:space="preserve">samazināt to </w:t>
      </w:r>
      <w:r w:rsidR="00A13315">
        <w:t xml:space="preserve">izmeklēšanā esošo </w:t>
      </w:r>
      <w:r w:rsidRPr="0087598E">
        <w:t>kriminālprocesu, kur</w:t>
      </w:r>
      <w:r w:rsidR="00A13315">
        <w:t>us iespējams apturēt</w:t>
      </w:r>
      <w:r w:rsidR="0032678B">
        <w:t xml:space="preserve">, </w:t>
      </w:r>
      <w:r w:rsidR="0032678B" w:rsidRPr="0087598E">
        <w:t>atlikumu</w:t>
      </w:r>
      <w:r w:rsidRPr="0087598E">
        <w:t>. Arvien biežāk sastopami gadījumi, kad jau kriminālprocesa uzsākšanas dienā vai dažu dienu laikā veiktas visas nepieciešamās izmeklēšanas darbības un pieņemts lēmums par kriminālprocesa apturēšanu izmeklēšanā</w:t>
      </w:r>
      <w:r>
        <w:t>.</w:t>
      </w:r>
      <w:r w:rsidRPr="0087598E">
        <w:t xml:space="preserve"> </w:t>
      </w:r>
    </w:p>
    <w:p w14:paraId="06AEBFC8" w14:textId="79001CD7" w:rsidR="008530D0" w:rsidRDefault="008530D0" w:rsidP="008530D0">
      <w:pPr>
        <w:spacing w:after="0" w:line="240" w:lineRule="auto"/>
        <w:jc w:val="both"/>
      </w:pPr>
    </w:p>
    <w:p w14:paraId="06EE6AF1" w14:textId="458F6213" w:rsidR="008530D0" w:rsidRPr="008530D0" w:rsidRDefault="008530D0" w:rsidP="00E329FC">
      <w:pPr>
        <w:pStyle w:val="ListParagraph"/>
        <w:numPr>
          <w:ilvl w:val="0"/>
          <w:numId w:val="59"/>
        </w:numPr>
        <w:spacing w:after="120" w:line="240" w:lineRule="auto"/>
        <w:ind w:left="714" w:hanging="357"/>
        <w:jc w:val="both"/>
        <w:rPr>
          <w:b/>
          <w:bCs/>
        </w:rPr>
      </w:pPr>
      <w:r>
        <w:rPr>
          <w:b/>
          <w:bCs/>
        </w:rPr>
        <w:t>Prokuroru dotie norādījumi</w:t>
      </w:r>
    </w:p>
    <w:p w14:paraId="03894CBD" w14:textId="4F42A0B0" w:rsidR="008530D0" w:rsidRDefault="008530D0" w:rsidP="00163E68">
      <w:pPr>
        <w:spacing w:after="0"/>
        <w:jc w:val="center"/>
        <w:rPr>
          <w:b/>
          <w:szCs w:val="24"/>
        </w:rPr>
      </w:pPr>
      <w:r w:rsidRPr="005A60EC">
        <w:rPr>
          <w:noProof/>
        </w:rPr>
        <w:drawing>
          <wp:inline distT="0" distB="0" distL="0" distR="0" wp14:anchorId="3022ED1A" wp14:editId="677D151A">
            <wp:extent cx="5565140" cy="3206750"/>
            <wp:effectExtent l="0" t="0" r="16510" b="12700"/>
            <wp:docPr id="155" name="Chart 1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A1B68B0" w14:textId="77777777" w:rsidR="00163E68" w:rsidRPr="00515A32" w:rsidRDefault="00163E68" w:rsidP="00163E68">
      <w:pPr>
        <w:spacing w:after="0"/>
        <w:jc w:val="center"/>
        <w:rPr>
          <w:b/>
          <w:szCs w:val="24"/>
        </w:rPr>
      </w:pPr>
    </w:p>
    <w:p w14:paraId="45519014" w14:textId="753FBAD1" w:rsidR="008530D0" w:rsidRDefault="008530D0" w:rsidP="008530D0">
      <w:pPr>
        <w:spacing w:after="0" w:line="240" w:lineRule="auto"/>
        <w:jc w:val="both"/>
        <w:rPr>
          <w:bCs/>
          <w:szCs w:val="24"/>
        </w:rPr>
      </w:pPr>
      <w:r w:rsidRPr="00515A32">
        <w:rPr>
          <w:bCs/>
          <w:szCs w:val="24"/>
        </w:rPr>
        <w:tab/>
      </w:r>
      <w:r>
        <w:t xml:space="preserve">Zemgales </w:t>
      </w:r>
      <w:r w:rsidRPr="00B41DBE">
        <w:t>tiesas apgabal</w:t>
      </w:r>
      <w:r>
        <w:t>a prokuratūras darbības teritorijā</w:t>
      </w:r>
      <w:r w:rsidRPr="00B41DBE">
        <w:t xml:space="preserve"> ietilpstoš</w:t>
      </w:r>
      <w:r>
        <w:t>o rajona līmeņa</w:t>
      </w:r>
      <w:r w:rsidRPr="00B41DBE">
        <w:t xml:space="preserve"> prokuratūr</w:t>
      </w:r>
      <w:r>
        <w:t>u</w:t>
      </w:r>
      <w:r w:rsidRPr="00E16897">
        <w:rPr>
          <w:bCs/>
          <w:szCs w:val="24"/>
        </w:rPr>
        <w:t xml:space="preserve"> prokurori nemainīgi aktīvi izmanto galveno izmeklēšanas uzraudzības līdzekli – prokurora norādījumus par izmeklēšanas virzienu un izmeklēšanas darbību veikšanu. </w:t>
      </w:r>
    </w:p>
    <w:p w14:paraId="3F7935E5" w14:textId="3AF08D91" w:rsidR="008530D0" w:rsidRDefault="008530D0" w:rsidP="008530D0">
      <w:pPr>
        <w:spacing w:after="0" w:line="240" w:lineRule="auto"/>
        <w:jc w:val="both"/>
        <w:rPr>
          <w:bCs/>
          <w:szCs w:val="24"/>
        </w:rPr>
      </w:pPr>
    </w:p>
    <w:p w14:paraId="5E7401B4" w14:textId="684A56A4" w:rsidR="008530D0" w:rsidRPr="008530D0" w:rsidRDefault="008530D0" w:rsidP="00E329FC">
      <w:pPr>
        <w:pStyle w:val="ListParagraph"/>
        <w:numPr>
          <w:ilvl w:val="0"/>
          <w:numId w:val="59"/>
        </w:numPr>
        <w:spacing w:after="120" w:line="240" w:lineRule="auto"/>
        <w:ind w:left="714" w:hanging="357"/>
        <w:jc w:val="both"/>
        <w:rPr>
          <w:b/>
          <w:szCs w:val="24"/>
        </w:rPr>
      </w:pPr>
      <w:r>
        <w:rPr>
          <w:b/>
          <w:szCs w:val="24"/>
        </w:rPr>
        <w:lastRenderedPageBreak/>
        <w:t>Valsts apsūdzības uzturēšana pirmās instances tiesā (izskatītas krimināllietas), no tām bez pierādījumu pārbaudes</w:t>
      </w:r>
    </w:p>
    <w:p w14:paraId="70AB0257" w14:textId="416DB2B5" w:rsidR="008530D0" w:rsidRDefault="008530D0" w:rsidP="00954CF9">
      <w:pPr>
        <w:spacing w:after="0"/>
        <w:jc w:val="center"/>
        <w:rPr>
          <w:b/>
          <w:szCs w:val="24"/>
        </w:rPr>
      </w:pPr>
      <w:r w:rsidRPr="005A60EC">
        <w:rPr>
          <w:noProof/>
        </w:rPr>
        <w:drawing>
          <wp:inline distT="0" distB="0" distL="0" distR="0" wp14:anchorId="46EED703" wp14:editId="3A6EA1D7">
            <wp:extent cx="5716905" cy="2857500"/>
            <wp:effectExtent l="0" t="0" r="17145" b="0"/>
            <wp:docPr id="154" name="Chart 1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86DA6BE" w14:textId="77777777" w:rsidR="00954CF9" w:rsidRPr="00954CF9" w:rsidRDefault="00954CF9" w:rsidP="00954CF9">
      <w:pPr>
        <w:spacing w:after="0"/>
        <w:jc w:val="both"/>
        <w:rPr>
          <w:bCs/>
          <w:szCs w:val="24"/>
        </w:rPr>
      </w:pPr>
    </w:p>
    <w:p w14:paraId="6B85C6F4" w14:textId="02D30895" w:rsidR="008530D0" w:rsidRDefault="00954CF9" w:rsidP="00954CF9">
      <w:pPr>
        <w:tabs>
          <w:tab w:val="left" w:pos="709"/>
        </w:tabs>
        <w:spacing w:after="100" w:afterAutospacing="1" w:line="240" w:lineRule="auto"/>
        <w:jc w:val="both"/>
      </w:pPr>
      <w:r>
        <w:tab/>
      </w:r>
      <w:r w:rsidR="008530D0">
        <w:t>Zemgales tiesas apgabalā s</w:t>
      </w:r>
      <w:r w:rsidR="008530D0" w:rsidRPr="002351C4">
        <w:t>alīdzinoši liels ir tiesās izskatīto krimināllietu īpatsvars, kurās netiek veikta pierādījumu pārbaude</w:t>
      </w:r>
      <w:r w:rsidR="008530D0">
        <w:t xml:space="preserve"> </w:t>
      </w:r>
      <w:r w:rsidR="008530D0" w:rsidRPr="002351C4">
        <w:t xml:space="preserve">vai </w:t>
      </w:r>
      <w:r w:rsidR="008530D0">
        <w:t xml:space="preserve">kurās tiek </w:t>
      </w:r>
      <w:r w:rsidR="008530D0" w:rsidRPr="002351C4">
        <w:t>apstiprināta pirmstiesas procesā noslēgta vienošanās. Šād</w:t>
      </w:r>
      <w:r w:rsidR="008530D0">
        <w:t>a</w:t>
      </w:r>
      <w:r w:rsidR="008530D0" w:rsidRPr="002351C4">
        <w:t xml:space="preserve"> tendenc</w:t>
      </w:r>
      <w:r w:rsidR="008530D0">
        <w:t>e</w:t>
      </w:r>
      <w:r w:rsidR="008530D0" w:rsidRPr="002351C4">
        <w:t xml:space="preserve"> vērtēj</w:t>
      </w:r>
      <w:r w:rsidR="008530D0">
        <w:t>ama</w:t>
      </w:r>
      <w:r w:rsidR="008530D0" w:rsidRPr="002351C4">
        <w:t xml:space="preserve"> pozitīvi, jo objektīvi tiek samazināts laiks un ieguldāmais darba potenciāls, ko prokurors ir spiests tērēt tiesā juridiski vienkāršu kriminālprocesu iztiesāšanā. Kā jau norādīts iepriekš, </w:t>
      </w:r>
      <w:r w:rsidR="008530D0">
        <w:t xml:space="preserve">Zemgales </w:t>
      </w:r>
      <w:r w:rsidR="008530D0" w:rsidRPr="00B41DBE">
        <w:t>tiesas apgabal</w:t>
      </w:r>
      <w:r w:rsidR="008530D0">
        <w:t>a prokuratūras darbības teritorijā</w:t>
      </w:r>
      <w:r w:rsidR="008530D0" w:rsidRPr="00B41DBE">
        <w:t xml:space="preserve"> ietilpstoš</w:t>
      </w:r>
      <w:r w:rsidR="008530D0">
        <w:t>o rajona līmeņa</w:t>
      </w:r>
      <w:r w:rsidR="008530D0" w:rsidRPr="00B41DBE">
        <w:t xml:space="preserve"> prokuratūr</w:t>
      </w:r>
      <w:r w:rsidR="008530D0">
        <w:t>u</w:t>
      </w:r>
      <w:r w:rsidR="008530D0" w:rsidRPr="002351C4">
        <w:t xml:space="preserve"> virsprokuroriem 2021.</w:t>
      </w:r>
      <w:r w:rsidR="008530D0">
        <w:t> </w:t>
      </w:r>
      <w:r w:rsidR="008530D0" w:rsidRPr="002351C4">
        <w:t xml:space="preserve">gadā uzdots pastiprināti veikt kontroli, lai pakļautībā esošie prokurori izvēlas konkrētiem apstākļiem atbilstošākos un efektīvākos pirmstiesas kriminālprocesa pabeigšanas veidus. </w:t>
      </w:r>
    </w:p>
    <w:p w14:paraId="012F38ED" w14:textId="11AE5BFA" w:rsidR="008530D0" w:rsidRPr="008530D0" w:rsidRDefault="008530D0" w:rsidP="00E329FC">
      <w:pPr>
        <w:pStyle w:val="ListParagraph"/>
        <w:numPr>
          <w:ilvl w:val="0"/>
          <w:numId w:val="59"/>
        </w:numPr>
        <w:tabs>
          <w:tab w:val="left" w:pos="8409"/>
        </w:tabs>
        <w:spacing w:after="120" w:line="240" w:lineRule="auto"/>
        <w:ind w:left="714" w:hanging="357"/>
        <w:jc w:val="both"/>
        <w:rPr>
          <w:b/>
          <w:bCs/>
        </w:rPr>
      </w:pPr>
      <w:r>
        <w:rPr>
          <w:b/>
          <w:bCs/>
        </w:rPr>
        <w:t>Iesniegti protesti, no tiem apmierināti</w:t>
      </w:r>
    </w:p>
    <w:p w14:paraId="0BA7834A" w14:textId="719CC1BB" w:rsidR="008530D0" w:rsidRDefault="008530D0" w:rsidP="00954CF9">
      <w:pPr>
        <w:spacing w:after="0"/>
        <w:jc w:val="center"/>
        <w:rPr>
          <w:bCs/>
          <w:szCs w:val="24"/>
        </w:rPr>
      </w:pPr>
      <w:r w:rsidRPr="005A60EC">
        <w:rPr>
          <w:noProof/>
        </w:rPr>
        <w:drawing>
          <wp:inline distT="0" distB="0" distL="0" distR="0" wp14:anchorId="53BB5C64" wp14:editId="01DD9074">
            <wp:extent cx="5607050" cy="2413000"/>
            <wp:effectExtent l="0" t="0" r="12700" b="6350"/>
            <wp:docPr id="79" name="Chart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5C12370" w14:textId="77777777" w:rsidR="00954CF9" w:rsidRPr="00515A32" w:rsidRDefault="00954CF9" w:rsidP="00954CF9">
      <w:pPr>
        <w:spacing w:after="0"/>
        <w:jc w:val="both"/>
        <w:rPr>
          <w:bCs/>
          <w:szCs w:val="24"/>
        </w:rPr>
      </w:pPr>
    </w:p>
    <w:p w14:paraId="34646149" w14:textId="08B3FA26" w:rsidR="008530D0" w:rsidRDefault="008530D0" w:rsidP="008530D0">
      <w:pPr>
        <w:spacing w:after="0"/>
        <w:jc w:val="both"/>
        <w:rPr>
          <w:bCs/>
          <w:szCs w:val="24"/>
        </w:rPr>
      </w:pPr>
      <w:r w:rsidRPr="00515A32">
        <w:rPr>
          <w:bCs/>
          <w:szCs w:val="24"/>
        </w:rPr>
        <w:tab/>
      </w:r>
      <w:r w:rsidRPr="002351C4">
        <w:rPr>
          <w:bCs/>
          <w:szCs w:val="24"/>
        </w:rPr>
        <w:t xml:space="preserve">Pastāvot Kriminālprocesa likumā noteiktajam pamatam, </w:t>
      </w:r>
      <w:r>
        <w:t xml:space="preserve">Zemgales </w:t>
      </w:r>
      <w:r w:rsidRPr="00B41DBE">
        <w:t>tiesas apgabal</w:t>
      </w:r>
      <w:r>
        <w:t>a prokuratūras darbības teritorijā</w:t>
      </w:r>
      <w:r w:rsidRPr="00B41DBE">
        <w:t xml:space="preserve"> ietilpstoš</w:t>
      </w:r>
      <w:r>
        <w:t>o rajona līmeņa</w:t>
      </w:r>
      <w:r w:rsidRPr="00B41DBE">
        <w:t xml:space="preserve"> prokuratūr</w:t>
      </w:r>
      <w:r>
        <w:t>u</w:t>
      </w:r>
      <w:r w:rsidRPr="002351C4">
        <w:rPr>
          <w:bCs/>
          <w:szCs w:val="24"/>
        </w:rPr>
        <w:t xml:space="preserve"> prokurori par ties</w:t>
      </w:r>
      <w:r>
        <w:rPr>
          <w:bCs/>
          <w:szCs w:val="24"/>
        </w:rPr>
        <w:t xml:space="preserve">as </w:t>
      </w:r>
      <w:r w:rsidRPr="002351C4">
        <w:rPr>
          <w:bCs/>
          <w:szCs w:val="24"/>
        </w:rPr>
        <w:t>spriedumiem iesniedz apelācijas un kasācijas protestus. Prokurori aktīvāk iesniedz protestus par tiesas noteikto sodu krimināllietās par ekonomiskajiem noziegumiem</w:t>
      </w:r>
      <w:r>
        <w:rPr>
          <w:bCs/>
          <w:szCs w:val="24"/>
        </w:rPr>
        <w:t xml:space="preserve"> un </w:t>
      </w:r>
      <w:r w:rsidRPr="002351C4">
        <w:rPr>
          <w:bCs/>
          <w:szCs w:val="24"/>
        </w:rPr>
        <w:t xml:space="preserve">par tiesas pieļautajiem procesuālajiem pārkāpumiem. </w:t>
      </w:r>
    </w:p>
    <w:p w14:paraId="7B902EA9" w14:textId="24136584" w:rsidR="008530D0" w:rsidRDefault="008530D0" w:rsidP="008530D0">
      <w:pPr>
        <w:spacing w:after="0"/>
        <w:jc w:val="both"/>
        <w:rPr>
          <w:bCs/>
          <w:szCs w:val="24"/>
        </w:rPr>
      </w:pPr>
    </w:p>
    <w:p w14:paraId="72F33069" w14:textId="31260EB8" w:rsidR="008530D0" w:rsidRPr="008530D0" w:rsidRDefault="008530D0" w:rsidP="00E329FC">
      <w:pPr>
        <w:pStyle w:val="ListParagraph"/>
        <w:numPr>
          <w:ilvl w:val="0"/>
          <w:numId w:val="59"/>
        </w:numPr>
        <w:spacing w:after="120"/>
        <w:ind w:left="714" w:hanging="357"/>
        <w:jc w:val="both"/>
        <w:rPr>
          <w:b/>
          <w:szCs w:val="24"/>
        </w:rPr>
      </w:pPr>
      <w:r>
        <w:rPr>
          <w:b/>
          <w:szCs w:val="24"/>
        </w:rPr>
        <w:lastRenderedPageBreak/>
        <w:t>Izlemtas sūdzības, no tām apmierinātas</w:t>
      </w:r>
    </w:p>
    <w:p w14:paraId="76950E8F" w14:textId="5EEB8DAE" w:rsidR="008530D0" w:rsidRPr="00515A32" w:rsidRDefault="008530D0" w:rsidP="00954CF9">
      <w:pPr>
        <w:jc w:val="center"/>
        <w:rPr>
          <w:b/>
          <w:szCs w:val="24"/>
        </w:rPr>
      </w:pPr>
      <w:r w:rsidRPr="005A60EC">
        <w:rPr>
          <w:noProof/>
        </w:rPr>
        <w:drawing>
          <wp:inline distT="0" distB="0" distL="0" distR="0" wp14:anchorId="55D43B0C" wp14:editId="57FDD2AF">
            <wp:extent cx="5715578" cy="2366241"/>
            <wp:effectExtent l="0" t="0" r="0" b="15240"/>
            <wp:docPr id="78" name="Char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9C37B2C" w14:textId="0C27A039" w:rsidR="008530D0" w:rsidRDefault="008530D0" w:rsidP="008530D0">
      <w:pPr>
        <w:spacing w:after="0" w:line="240" w:lineRule="auto"/>
        <w:ind w:firstLine="720"/>
        <w:jc w:val="both"/>
        <w:rPr>
          <w:szCs w:val="24"/>
        </w:rPr>
      </w:pPr>
      <w:r w:rsidRPr="00DE3BBF">
        <w:rPr>
          <w:szCs w:val="24"/>
        </w:rPr>
        <w:t xml:space="preserve">Izlemto sūdzību skaits arī </w:t>
      </w:r>
      <w:r>
        <w:t xml:space="preserve">Zemgales </w:t>
      </w:r>
      <w:r w:rsidRPr="00B41DBE">
        <w:t>tiesas apgabal</w:t>
      </w:r>
      <w:r>
        <w:t>a prokuratūras darbības teritorijā</w:t>
      </w:r>
      <w:r w:rsidRPr="00B41DBE">
        <w:t xml:space="preserve"> ietilpstoš</w:t>
      </w:r>
      <w:r>
        <w:t>ajās rajona līmeņa</w:t>
      </w:r>
      <w:r w:rsidRPr="00B41DBE">
        <w:t xml:space="preserve"> prokuratūr</w:t>
      </w:r>
      <w:r>
        <w:t>ās</w:t>
      </w:r>
      <w:r w:rsidRPr="00DE3BBF">
        <w:rPr>
          <w:szCs w:val="24"/>
        </w:rPr>
        <w:t xml:space="preserve"> saglabājies izteikti augsts. </w:t>
      </w:r>
    </w:p>
    <w:p w14:paraId="673A7555" w14:textId="77777777" w:rsidR="008530D0" w:rsidRPr="008530D0" w:rsidRDefault="008530D0" w:rsidP="008530D0">
      <w:pPr>
        <w:spacing w:after="0" w:line="240" w:lineRule="auto"/>
        <w:ind w:firstLine="720"/>
        <w:jc w:val="both"/>
        <w:rPr>
          <w:szCs w:val="24"/>
        </w:rPr>
      </w:pPr>
    </w:p>
    <w:p w14:paraId="0B5937FB" w14:textId="55413A39" w:rsidR="008530D0" w:rsidRPr="00DE3BBF" w:rsidRDefault="008530D0" w:rsidP="00F62B7E">
      <w:pPr>
        <w:spacing w:after="0"/>
        <w:ind w:firstLine="720"/>
        <w:jc w:val="both"/>
      </w:pPr>
      <w:r w:rsidRPr="00DE3BBF">
        <w:t>Kopumā</w:t>
      </w:r>
      <w:r w:rsidR="00F62B7E">
        <w:t xml:space="preserve"> </w:t>
      </w:r>
      <w:r w:rsidRPr="00DE3BBF">
        <w:t>Zemgales tiesas apgabala prokuratūras un tajā ietilpstošo rajona līmeņ</w:t>
      </w:r>
      <w:r w:rsidR="00F62B7E">
        <w:t>a</w:t>
      </w:r>
      <w:r w:rsidRPr="00DE3BBF">
        <w:t xml:space="preserve"> prokuratūr</w:t>
      </w:r>
      <w:r w:rsidR="00F62B7E">
        <w:t>u</w:t>
      </w:r>
      <w:r w:rsidRPr="00DE3BBF">
        <w:t xml:space="preserve"> darb</w:t>
      </w:r>
      <w:r w:rsidR="00F62B7E">
        <w:t>s</w:t>
      </w:r>
      <w:r w:rsidRPr="00DE3BBF">
        <w:t xml:space="preserve"> 2020.gadā</w:t>
      </w:r>
      <w:r w:rsidR="00F62B7E">
        <w:t xml:space="preserve"> vērtējams pozitīvi</w:t>
      </w:r>
      <w:r w:rsidRPr="00DE3BBF">
        <w:t xml:space="preserve">. Turpmāk kā būtiskākās prioritātes izvirzīts darbs kriminālprocesos par ekonomiska rakstura noziedzīgiem nodarījumiem, noziedzīgi iegūtu līdzekļu legalizēšanu, uzraugošo prokuroru izpratnes veicināšana par nekavējošas iesaistīšanās izmeklēšanā nozīmi. </w:t>
      </w:r>
      <w:r w:rsidR="00F62B7E">
        <w:t>Turklāt</w:t>
      </w:r>
      <w:r w:rsidRPr="00DE3BBF">
        <w:t xml:space="preserve"> ar 2021.</w:t>
      </w:r>
      <w:r w:rsidR="00F62B7E">
        <w:t> </w:t>
      </w:r>
      <w:r w:rsidRPr="00DE3BBF">
        <w:t>gada 1.</w:t>
      </w:r>
      <w:r w:rsidR="00F62B7E">
        <w:t> </w:t>
      </w:r>
      <w:r w:rsidRPr="00DE3BBF">
        <w:t>martu paredzēta Zemgales tiesas apgabala prokuratūr</w:t>
      </w:r>
      <w:r w:rsidR="00F62B7E">
        <w:t>as darbības teritorijā</w:t>
      </w:r>
      <w:r w:rsidRPr="00DE3BBF">
        <w:t xml:space="preserve"> ietilpstošo rajona līmeņa prokuratūru reorganizācija, tādējādi īpaša uzmanība tiks pievērsta jaunizveidoto </w:t>
      </w:r>
      <w:r w:rsidR="00F62B7E">
        <w:t xml:space="preserve">prokuratūras </w:t>
      </w:r>
      <w:r w:rsidRPr="00DE3BBF">
        <w:t>struktūrvienību darba turpmākai organizēšanai, tostarp piesaistot atsevišķu funkciju izpildē amatā augstākus prokurorus.</w:t>
      </w:r>
    </w:p>
    <w:p w14:paraId="78C5485C" w14:textId="50EDCC64" w:rsidR="008530D0" w:rsidRPr="00DE3BBF" w:rsidRDefault="008530D0" w:rsidP="00F62B7E">
      <w:pPr>
        <w:spacing w:after="0"/>
        <w:jc w:val="both"/>
        <w:rPr>
          <w:szCs w:val="24"/>
        </w:rPr>
      </w:pPr>
      <w:r w:rsidRPr="00DE3BBF">
        <w:rPr>
          <w:iCs/>
          <w:szCs w:val="24"/>
        </w:rPr>
        <w:tab/>
      </w:r>
      <w:r w:rsidRPr="00DE3BBF">
        <w:rPr>
          <w:szCs w:val="24"/>
        </w:rPr>
        <w:t>Uzskatu, ka arī turpmāk jāturpina darbs pie aktīvākas paātrinātā procesa piemērošanas, kā arī prokuroru izpratnes pilnveidošanai par kriminālprocesu pabeigšanu prokuratūrā</w:t>
      </w:r>
      <w:r w:rsidR="00F62B7E">
        <w:rPr>
          <w:szCs w:val="24"/>
        </w:rPr>
        <w:t>, nenododot krimināllietu tiesai.</w:t>
      </w:r>
      <w:r w:rsidRPr="00DE3BBF">
        <w:rPr>
          <w:szCs w:val="24"/>
        </w:rPr>
        <w:t xml:space="preserve"> </w:t>
      </w:r>
    </w:p>
    <w:p w14:paraId="4375E9C2" w14:textId="44BB5912" w:rsidR="008530D0" w:rsidRPr="00DE3BBF" w:rsidRDefault="008530D0" w:rsidP="00F62B7E">
      <w:pPr>
        <w:spacing w:after="0"/>
        <w:jc w:val="both"/>
        <w:rPr>
          <w:szCs w:val="24"/>
        </w:rPr>
      </w:pPr>
      <w:r w:rsidRPr="00DE3BBF">
        <w:rPr>
          <w:szCs w:val="24"/>
        </w:rPr>
        <w:tab/>
        <w:t>Joprojām turpināms darbs pie aktīvo kriminālprocesu atlikuma samazināšanas. Lai paveiktu šo uzdevumu, nepieciešams pilnveidot un aktivizēt uzraugošā prokurora lomu</w:t>
      </w:r>
      <w:r w:rsidR="00F62B7E">
        <w:rPr>
          <w:szCs w:val="24"/>
        </w:rPr>
        <w:t xml:space="preserve"> </w:t>
      </w:r>
      <w:r w:rsidRPr="00DE3BBF">
        <w:rPr>
          <w:szCs w:val="24"/>
        </w:rPr>
        <w:t>izmeklēšanā, kā arī sadarbības veicināšanā ar procesa virzītājiem. Ta</w:t>
      </w:r>
      <w:r w:rsidR="00F62B7E">
        <w:rPr>
          <w:szCs w:val="24"/>
        </w:rPr>
        <w:t>jā pašā</w:t>
      </w:r>
      <w:r w:rsidRPr="00DE3BBF">
        <w:rPr>
          <w:szCs w:val="24"/>
        </w:rPr>
        <w:t xml:space="preserve"> laikā praksē novērots, ka tieši izmeklētāju kapacitāte un reālā noslodze ir šķērslis šī mērķa ātrai sasniegšanai. </w:t>
      </w:r>
    </w:p>
    <w:p w14:paraId="1D958687" w14:textId="5569DA1E" w:rsidR="008530D0" w:rsidRPr="00DE3BBF" w:rsidRDefault="008530D0" w:rsidP="00F62B7E">
      <w:pPr>
        <w:spacing w:after="0"/>
        <w:ind w:firstLine="720"/>
        <w:jc w:val="both"/>
      </w:pPr>
      <w:r w:rsidRPr="00DE3BBF">
        <w:t>Jau 2018.</w:t>
      </w:r>
      <w:r w:rsidR="00F62B7E">
        <w:t> </w:t>
      </w:r>
      <w:r w:rsidRPr="00DE3BBF">
        <w:t xml:space="preserve">gadā Zemgales tiesas apgabala </w:t>
      </w:r>
      <w:r w:rsidR="00F62B7E">
        <w:t xml:space="preserve">prokuratūras </w:t>
      </w:r>
      <w:r w:rsidRPr="00DE3BBF">
        <w:t>virsprokurors izvirzīja uzstādījumu</w:t>
      </w:r>
      <w:r w:rsidR="00F62B7E">
        <w:t xml:space="preserve"> </w:t>
      </w:r>
      <w:r w:rsidR="009D6C3C">
        <w:t xml:space="preserve">Zemgales tiesas apgabala rajona </w:t>
      </w:r>
      <w:r w:rsidR="00F62B7E">
        <w:t>prokuratū</w:t>
      </w:r>
      <w:r w:rsidR="009D6C3C">
        <w:t xml:space="preserve">ru </w:t>
      </w:r>
      <w:r w:rsidRPr="00DE3BBF">
        <w:t xml:space="preserve">virsprokuroriem pēc savas iniciatīvas veikt izmeklēšanas iestādēs pieņemto lēmumu par atteikšanos uzsākt kriminālprocesu (atteikuma materiālu) kontroli. </w:t>
      </w:r>
      <w:r w:rsidR="00F62B7E">
        <w:t>Šis darbs tiek turpināts</w:t>
      </w:r>
      <w:r w:rsidRPr="00DE3BBF">
        <w:t>, nepieļaujot gadījumus, kad nepamatoti tiek atteikts uzsākt kriminālprocesu</w:t>
      </w:r>
      <w:r w:rsidR="00F62B7E">
        <w:t>, un jāturpina arī turpmāk.</w:t>
      </w:r>
    </w:p>
    <w:p w14:paraId="109AECD0" w14:textId="77777777" w:rsidR="00F62B7E" w:rsidRDefault="008530D0" w:rsidP="00F62B7E">
      <w:pPr>
        <w:spacing w:after="0"/>
        <w:ind w:firstLine="720"/>
        <w:jc w:val="both"/>
        <w:rPr>
          <w:szCs w:val="24"/>
        </w:rPr>
      </w:pPr>
      <w:r w:rsidRPr="00DE3BBF">
        <w:rPr>
          <w:szCs w:val="24"/>
        </w:rPr>
        <w:t xml:space="preserve">Šā gada prioritātes ir </w:t>
      </w:r>
      <w:r w:rsidR="00F62B7E">
        <w:rPr>
          <w:szCs w:val="24"/>
        </w:rPr>
        <w:t xml:space="preserve">vakanto prokurora </w:t>
      </w:r>
      <w:r w:rsidRPr="00DE3BBF">
        <w:rPr>
          <w:szCs w:val="24"/>
        </w:rPr>
        <w:t xml:space="preserve">štata vietu nokomplektēšana un turpmāka prokuroru kvalifikācijas celšana, izvērtējot lietderīgumu iesaistīties apmācībās konkrētiem prokuroriem. Kvalifikācijas celšanā ir vērojami uzlabojumi, jo būtiski palielinājies piedāvāto mācību pasākumu skaits, palielinoties arī mācību pasākumu kvalitātei. </w:t>
      </w:r>
      <w:r w:rsidR="00F62B7E">
        <w:rPr>
          <w:szCs w:val="24"/>
        </w:rPr>
        <w:t>V</w:t>
      </w:r>
      <w:r w:rsidRPr="00DE3BBF">
        <w:rPr>
          <w:szCs w:val="24"/>
        </w:rPr>
        <w:t xml:space="preserve">airāk būtu organizējami tādi mācību pasākumi, kuros prokurori varētu gūt praktiskas zināšanas un prasmes, kas nepieciešamas viņu tiešo darba pienākumu </w:t>
      </w:r>
      <w:r w:rsidR="00F62B7E">
        <w:rPr>
          <w:szCs w:val="24"/>
        </w:rPr>
        <w:t>veikšanai</w:t>
      </w:r>
      <w:r w:rsidRPr="00DE3BBF">
        <w:rPr>
          <w:szCs w:val="24"/>
        </w:rPr>
        <w:t xml:space="preserve">. </w:t>
      </w:r>
    </w:p>
    <w:p w14:paraId="7A6506E6" w14:textId="77777777" w:rsidR="00F62B7E" w:rsidRDefault="00F62B7E" w:rsidP="00F62B7E">
      <w:pPr>
        <w:spacing w:after="0"/>
        <w:jc w:val="both"/>
        <w:rPr>
          <w:szCs w:val="24"/>
        </w:rPr>
      </w:pPr>
    </w:p>
    <w:p w14:paraId="3AEC1A21" w14:textId="77777777" w:rsidR="00F62B7E" w:rsidRDefault="00F62B7E" w:rsidP="00F62B7E">
      <w:pPr>
        <w:spacing w:after="0"/>
        <w:jc w:val="both"/>
        <w:rPr>
          <w:b/>
          <w:bCs/>
          <w:szCs w:val="24"/>
        </w:rPr>
      </w:pPr>
      <w:r>
        <w:rPr>
          <w:b/>
          <w:bCs/>
          <w:szCs w:val="24"/>
        </w:rPr>
        <w:t xml:space="preserve">Zemgales tiesas apgabala prokuratūras virsprokurors A. </w:t>
      </w:r>
      <w:proofErr w:type="spellStart"/>
      <w:r>
        <w:rPr>
          <w:b/>
          <w:bCs/>
          <w:szCs w:val="24"/>
        </w:rPr>
        <w:t>Bičušs</w:t>
      </w:r>
      <w:proofErr w:type="spellEnd"/>
    </w:p>
    <w:p w14:paraId="0C56B4B9" w14:textId="071DC9F4" w:rsidR="00BE3C4E" w:rsidRDefault="00F62B7E" w:rsidP="00F62B7E">
      <w:pPr>
        <w:spacing w:after="0"/>
        <w:jc w:val="both"/>
        <w:rPr>
          <w:b/>
          <w:bCs/>
          <w:szCs w:val="24"/>
        </w:rPr>
      </w:pPr>
      <w:r>
        <w:rPr>
          <w:b/>
          <w:bCs/>
          <w:szCs w:val="24"/>
        </w:rPr>
        <w:t>Jelgavā 2021. gada</w:t>
      </w:r>
      <w:r w:rsidR="008530D0" w:rsidRPr="00DE3BBF">
        <w:rPr>
          <w:szCs w:val="24"/>
        </w:rPr>
        <w:t xml:space="preserve"> </w:t>
      </w:r>
      <w:r>
        <w:rPr>
          <w:b/>
          <w:bCs/>
          <w:szCs w:val="24"/>
        </w:rPr>
        <w:t>23. februārī</w:t>
      </w:r>
    </w:p>
    <w:p w14:paraId="1CD938C9" w14:textId="77777777" w:rsidR="00BE3C4E" w:rsidRDefault="00BE3C4E">
      <w:pPr>
        <w:rPr>
          <w:b/>
          <w:bCs/>
          <w:szCs w:val="24"/>
        </w:rPr>
      </w:pPr>
      <w:r>
        <w:rPr>
          <w:b/>
          <w:bCs/>
          <w:szCs w:val="24"/>
        </w:rPr>
        <w:br w:type="page"/>
      </w:r>
    </w:p>
    <w:p w14:paraId="1687BEEC" w14:textId="121771C2" w:rsidR="001531D5" w:rsidRPr="00577BF3" w:rsidRDefault="001531D5" w:rsidP="00CF4214">
      <w:pPr>
        <w:spacing w:after="0" w:line="240" w:lineRule="auto"/>
        <w:jc w:val="center"/>
        <w:rPr>
          <w:rFonts w:cs="Times New Roman"/>
          <w:b/>
          <w:sz w:val="32"/>
          <w:szCs w:val="32"/>
        </w:rPr>
      </w:pPr>
      <w:bookmarkStart w:id="38" w:name="_Hlk63756735"/>
      <w:bookmarkEnd w:id="24"/>
      <w:r w:rsidRPr="00577BF3">
        <w:rPr>
          <w:rFonts w:cs="Times New Roman"/>
          <w:b/>
          <w:sz w:val="32"/>
          <w:szCs w:val="32"/>
        </w:rPr>
        <w:lastRenderedPageBreak/>
        <w:t xml:space="preserve">Specializētās apgabala prokuratūras </w:t>
      </w:r>
      <w:r w:rsidR="0047478A" w:rsidRPr="00577BF3">
        <w:rPr>
          <w:rFonts w:cs="Times New Roman"/>
          <w:b/>
          <w:sz w:val="32"/>
          <w:szCs w:val="32"/>
        </w:rPr>
        <w:t xml:space="preserve">statusa prokuratūras </w:t>
      </w:r>
      <w:r w:rsidRPr="00577BF3">
        <w:rPr>
          <w:rFonts w:cs="Times New Roman"/>
          <w:b/>
          <w:sz w:val="32"/>
          <w:szCs w:val="32"/>
        </w:rPr>
        <w:t>un specializēto rajona prokuratūr</w:t>
      </w:r>
      <w:r w:rsidR="0047478A" w:rsidRPr="00577BF3">
        <w:rPr>
          <w:rFonts w:cs="Times New Roman"/>
          <w:b/>
          <w:sz w:val="32"/>
          <w:szCs w:val="32"/>
        </w:rPr>
        <w:t>as statusa prokuratūru</w:t>
      </w:r>
      <w:r w:rsidRPr="00577BF3">
        <w:rPr>
          <w:rFonts w:cs="Times New Roman"/>
          <w:b/>
          <w:sz w:val="32"/>
          <w:szCs w:val="32"/>
        </w:rPr>
        <w:t xml:space="preserve"> pārskats par 2020. gada darba rezultātiem</w:t>
      </w:r>
    </w:p>
    <w:p w14:paraId="2873E5B0" w14:textId="77777777" w:rsidR="00F544C2" w:rsidRPr="00F62B7E" w:rsidRDefault="00F544C2" w:rsidP="00CF4214">
      <w:pPr>
        <w:spacing w:after="0" w:line="240" w:lineRule="auto"/>
        <w:jc w:val="center"/>
        <w:rPr>
          <w:rFonts w:cs="Times New Roman"/>
          <w:b/>
          <w:szCs w:val="24"/>
        </w:rPr>
      </w:pPr>
    </w:p>
    <w:p w14:paraId="47670A3D" w14:textId="733F74CB" w:rsidR="001531D5" w:rsidRPr="00577BF3" w:rsidRDefault="00F544C2" w:rsidP="00CF4214">
      <w:pPr>
        <w:pStyle w:val="ListParagraph"/>
        <w:spacing w:after="0" w:line="240" w:lineRule="auto"/>
        <w:ind w:left="1077"/>
        <w:jc w:val="center"/>
        <w:rPr>
          <w:rFonts w:cs="Times New Roman"/>
          <w:b/>
          <w:bCs/>
          <w:sz w:val="28"/>
          <w:szCs w:val="28"/>
        </w:rPr>
      </w:pPr>
      <w:r w:rsidRPr="00577BF3">
        <w:rPr>
          <w:rFonts w:cs="Times New Roman"/>
          <w:b/>
          <w:bCs/>
          <w:sz w:val="28"/>
          <w:szCs w:val="28"/>
        </w:rPr>
        <w:t>I. </w:t>
      </w:r>
      <w:r w:rsidR="001531D5" w:rsidRPr="00577BF3">
        <w:rPr>
          <w:rFonts w:cs="Times New Roman"/>
          <w:b/>
          <w:bCs/>
          <w:sz w:val="28"/>
          <w:szCs w:val="28"/>
        </w:rPr>
        <w:t>Strukturālais modelis un prokuroru personālsastāvs</w:t>
      </w:r>
    </w:p>
    <w:p w14:paraId="08947947" w14:textId="77777777" w:rsidR="00F544C2" w:rsidRPr="00F62B7E" w:rsidRDefault="00F544C2" w:rsidP="00CF4214">
      <w:pPr>
        <w:pStyle w:val="ListParagraph"/>
        <w:spacing w:after="0" w:line="240" w:lineRule="auto"/>
        <w:ind w:left="1077"/>
        <w:jc w:val="center"/>
        <w:rPr>
          <w:rFonts w:cs="Times New Roman"/>
          <w:b/>
          <w:bCs/>
          <w:szCs w:val="24"/>
        </w:rPr>
      </w:pPr>
    </w:p>
    <w:p w14:paraId="57009D4D" w14:textId="56A04540" w:rsidR="001531D5" w:rsidRPr="00577BF3" w:rsidRDefault="001531D5" w:rsidP="00CF4214">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sidR="00022E9A">
        <w:rPr>
          <w:rFonts w:cs="Times New Roman"/>
          <w:szCs w:val="24"/>
        </w:rPr>
        <w:t xml:space="preserve">2020. gada 28. oktobra redakcijā </w:t>
      </w:r>
      <w:r w:rsidRPr="00577BF3">
        <w:rPr>
          <w:rFonts w:cs="Times New Roman"/>
          <w:szCs w:val="24"/>
        </w:rPr>
        <w:t>2020. gadā darbojās 1 </w:t>
      </w:r>
      <w:r w:rsidR="0047478A" w:rsidRPr="00577BF3">
        <w:rPr>
          <w:rFonts w:cs="Times New Roman"/>
          <w:szCs w:val="24"/>
        </w:rPr>
        <w:t xml:space="preserve">tiesas </w:t>
      </w:r>
      <w:r w:rsidRPr="00577BF3">
        <w:rPr>
          <w:rFonts w:cs="Times New Roman"/>
          <w:szCs w:val="24"/>
        </w:rPr>
        <w:t xml:space="preserve">apgabala </w:t>
      </w:r>
      <w:r w:rsidR="0047478A" w:rsidRPr="00577BF3">
        <w:rPr>
          <w:rFonts w:cs="Times New Roman"/>
          <w:szCs w:val="24"/>
        </w:rPr>
        <w:t xml:space="preserve">prokuratūras </w:t>
      </w:r>
      <w:r w:rsidR="007B30F0" w:rsidRPr="00577BF3">
        <w:rPr>
          <w:rFonts w:cs="Times New Roman"/>
          <w:szCs w:val="24"/>
        </w:rPr>
        <w:t xml:space="preserve">statusa specializētā nozares </w:t>
      </w:r>
      <w:r w:rsidRPr="00577BF3">
        <w:rPr>
          <w:rFonts w:cs="Times New Roman"/>
          <w:szCs w:val="24"/>
        </w:rPr>
        <w:t xml:space="preserve">prokuratūra </w:t>
      </w:r>
      <w:r w:rsidR="007B30F0" w:rsidRPr="00577BF3">
        <w:rPr>
          <w:rFonts w:cs="Times New Roman"/>
          <w:szCs w:val="24"/>
        </w:rPr>
        <w:t xml:space="preserve">– Organizētās noziedzības un citu nozaru specializētā prokuratūra – </w:t>
      </w:r>
      <w:r w:rsidRPr="00577BF3">
        <w:rPr>
          <w:rFonts w:cs="Times New Roman"/>
          <w:szCs w:val="24"/>
        </w:rPr>
        <w:t>un</w:t>
      </w:r>
      <w:r w:rsidR="00D217EE" w:rsidRPr="00577BF3">
        <w:rPr>
          <w:rFonts w:cs="Times New Roman"/>
          <w:szCs w:val="24"/>
        </w:rPr>
        <w:t> 4 </w:t>
      </w:r>
      <w:r w:rsidRPr="00577BF3">
        <w:rPr>
          <w:rFonts w:cs="Times New Roman"/>
          <w:szCs w:val="24"/>
        </w:rPr>
        <w:t xml:space="preserve">rajona </w:t>
      </w:r>
      <w:r w:rsidR="00D217EE" w:rsidRPr="00577BF3">
        <w:rPr>
          <w:rFonts w:cs="Times New Roman"/>
          <w:szCs w:val="24"/>
        </w:rPr>
        <w:t xml:space="preserve">prokuratūras </w:t>
      </w:r>
      <w:r w:rsidR="007B30F0" w:rsidRPr="00577BF3">
        <w:rPr>
          <w:rFonts w:cs="Times New Roman"/>
          <w:szCs w:val="24"/>
        </w:rPr>
        <w:t>statusa</w:t>
      </w:r>
      <w:r w:rsidR="00D217EE" w:rsidRPr="00577BF3">
        <w:rPr>
          <w:rFonts w:cs="Times New Roman"/>
          <w:szCs w:val="24"/>
        </w:rPr>
        <w:t xml:space="preserve"> specializētās nozares </w:t>
      </w:r>
      <w:r w:rsidRPr="00577BF3">
        <w:rPr>
          <w:rFonts w:cs="Times New Roman"/>
          <w:szCs w:val="24"/>
        </w:rPr>
        <w:t>prokuratūras</w:t>
      </w:r>
      <w:r w:rsidR="00833016" w:rsidRPr="00577BF3">
        <w:rPr>
          <w:rFonts w:cs="Times New Roman"/>
          <w:szCs w:val="24"/>
        </w:rPr>
        <w:t xml:space="preserve"> struktūrvienības </w:t>
      </w:r>
      <w:r w:rsidR="008C3CBA" w:rsidRPr="00577BF3">
        <w:rPr>
          <w:rFonts w:cs="Times New Roman"/>
          <w:szCs w:val="24"/>
        </w:rPr>
        <w:t xml:space="preserve">pie </w:t>
      </w:r>
      <w:r w:rsidRPr="00577BF3">
        <w:rPr>
          <w:rFonts w:cs="Times New Roman"/>
          <w:szCs w:val="24"/>
        </w:rPr>
        <w:t>šād</w:t>
      </w:r>
      <w:r w:rsidR="008C3CBA" w:rsidRPr="00577BF3">
        <w:rPr>
          <w:rFonts w:cs="Times New Roman"/>
          <w:szCs w:val="24"/>
        </w:rPr>
        <w:t>a</w:t>
      </w:r>
      <w:r w:rsidRPr="00577BF3">
        <w:rPr>
          <w:rFonts w:cs="Times New Roman"/>
          <w:szCs w:val="24"/>
        </w:rPr>
        <w:t xml:space="preserve"> prokuror</w:t>
      </w:r>
      <w:r w:rsidR="00D73C53" w:rsidRPr="00577BF3">
        <w:rPr>
          <w:rFonts w:cs="Times New Roman"/>
          <w:szCs w:val="24"/>
        </w:rPr>
        <w:t>a</w:t>
      </w:r>
      <w:r w:rsidRPr="00577BF3">
        <w:rPr>
          <w:rFonts w:cs="Times New Roman"/>
          <w:szCs w:val="24"/>
        </w:rPr>
        <w:t xml:space="preserve"> </w:t>
      </w:r>
      <w:r w:rsidR="00D73C53" w:rsidRPr="00577BF3">
        <w:rPr>
          <w:rFonts w:cs="Times New Roman"/>
          <w:szCs w:val="24"/>
        </w:rPr>
        <w:t>amata</w:t>
      </w:r>
      <w:r w:rsidRPr="00577BF3">
        <w:rPr>
          <w:rFonts w:cs="Times New Roman"/>
          <w:szCs w:val="24"/>
        </w:rPr>
        <w:t xml:space="preserve"> vietu </w:t>
      </w:r>
      <w:r w:rsidR="002F4C67" w:rsidRPr="00577BF3">
        <w:rPr>
          <w:rFonts w:cs="Times New Roman"/>
          <w:szCs w:val="24"/>
        </w:rPr>
        <w:t>sa</w:t>
      </w:r>
      <w:r w:rsidRPr="00577BF3">
        <w:rPr>
          <w:rFonts w:cs="Times New Roman"/>
          <w:szCs w:val="24"/>
        </w:rPr>
        <w:t>dalījum</w:t>
      </w:r>
      <w:r w:rsidR="008C3CBA" w:rsidRPr="00577BF3">
        <w:rPr>
          <w:rFonts w:cs="Times New Roman"/>
          <w:szCs w:val="24"/>
        </w:rPr>
        <w:t>a</w:t>
      </w:r>
      <w:r w:rsidRPr="00577BF3">
        <w:rPr>
          <w:rFonts w:cs="Times New Roman"/>
          <w:szCs w:val="24"/>
        </w:rPr>
        <w:t>:</w:t>
      </w:r>
    </w:p>
    <w:p w14:paraId="4D9F7654" w14:textId="1C6AE939" w:rsidR="001531D5" w:rsidRPr="00577BF3" w:rsidRDefault="006178B8" w:rsidP="00B16727">
      <w:pPr>
        <w:pStyle w:val="ListParagraph"/>
        <w:numPr>
          <w:ilvl w:val="0"/>
          <w:numId w:val="1"/>
        </w:numPr>
        <w:spacing w:after="0" w:line="240" w:lineRule="auto"/>
        <w:jc w:val="both"/>
        <w:rPr>
          <w:rFonts w:cs="Times New Roman"/>
          <w:szCs w:val="24"/>
        </w:rPr>
      </w:pPr>
      <w:r w:rsidRPr="00577BF3">
        <w:rPr>
          <w:rFonts w:cs="Times New Roman"/>
          <w:szCs w:val="24"/>
        </w:rPr>
        <w:t>Organizētās noziedzības un citu nozaru specializētā prokuratūra</w:t>
      </w:r>
      <w:r w:rsidR="001531D5" w:rsidRPr="00577BF3">
        <w:rPr>
          <w:rFonts w:cs="Times New Roman"/>
          <w:szCs w:val="24"/>
        </w:rPr>
        <w:t xml:space="preserve"> – </w:t>
      </w:r>
      <w:r w:rsidRPr="00577BF3">
        <w:rPr>
          <w:rFonts w:cs="Times New Roman"/>
          <w:szCs w:val="24"/>
        </w:rPr>
        <w:t>27 </w:t>
      </w:r>
      <w:r w:rsidR="001531D5" w:rsidRPr="00577BF3">
        <w:rPr>
          <w:rFonts w:cs="Times New Roman"/>
          <w:szCs w:val="24"/>
        </w:rPr>
        <w:t>prokurora amata vietas (1 virsprokurora</w:t>
      </w:r>
      <w:r w:rsidRPr="00577BF3">
        <w:rPr>
          <w:rFonts w:cs="Times New Roman"/>
          <w:szCs w:val="24"/>
        </w:rPr>
        <w:t>, 2 virsprokurora vietnieka</w:t>
      </w:r>
      <w:r w:rsidR="001531D5" w:rsidRPr="00577BF3">
        <w:rPr>
          <w:rFonts w:cs="Times New Roman"/>
          <w:szCs w:val="24"/>
        </w:rPr>
        <w:t xml:space="preserve"> un</w:t>
      </w:r>
      <w:r w:rsidRPr="00577BF3">
        <w:rPr>
          <w:rFonts w:cs="Times New Roman"/>
          <w:szCs w:val="24"/>
        </w:rPr>
        <w:t xml:space="preserve"> 24 </w:t>
      </w:r>
      <w:r w:rsidR="001531D5" w:rsidRPr="00577BF3">
        <w:rPr>
          <w:rFonts w:cs="Times New Roman"/>
          <w:szCs w:val="24"/>
        </w:rPr>
        <w:t>prokurora štata vietas;</w:t>
      </w:r>
    </w:p>
    <w:p w14:paraId="2FD09082" w14:textId="255CD663" w:rsidR="00013AC7" w:rsidRPr="00577BF3" w:rsidRDefault="00013AC7" w:rsidP="00B16727">
      <w:pPr>
        <w:pStyle w:val="ListParagraph"/>
        <w:numPr>
          <w:ilvl w:val="0"/>
          <w:numId w:val="1"/>
        </w:numPr>
        <w:spacing w:after="0" w:line="240" w:lineRule="auto"/>
        <w:jc w:val="both"/>
        <w:rPr>
          <w:rFonts w:cs="Times New Roman"/>
          <w:szCs w:val="24"/>
        </w:rPr>
      </w:pPr>
      <w:r w:rsidRPr="00577BF3">
        <w:rPr>
          <w:rFonts w:cs="Times New Roman"/>
          <w:szCs w:val="24"/>
        </w:rPr>
        <w:t>Finanšu un ekonomisko noziegumu izmeklēšanas prokuratūra – 16 prokurora amata vietas (1 virsprokurora, 1 virsprokurora vietnieka un 14 prokurora štata vietas);</w:t>
      </w:r>
    </w:p>
    <w:p w14:paraId="263F1F26" w14:textId="1FE93111" w:rsidR="00013AC7" w:rsidRPr="00577BF3" w:rsidRDefault="00013AC7" w:rsidP="00B16727">
      <w:pPr>
        <w:pStyle w:val="ListParagraph"/>
        <w:numPr>
          <w:ilvl w:val="0"/>
          <w:numId w:val="1"/>
        </w:numPr>
        <w:spacing w:after="0" w:line="240" w:lineRule="auto"/>
        <w:jc w:val="both"/>
        <w:rPr>
          <w:rFonts w:cs="Times New Roman"/>
          <w:szCs w:val="24"/>
        </w:rPr>
      </w:pPr>
      <w:r w:rsidRPr="00577BF3">
        <w:rPr>
          <w:rFonts w:cs="Times New Roman"/>
          <w:szCs w:val="24"/>
        </w:rPr>
        <w:t>Narkotiku nelikumīgas aprites noziegumu izmeklēšanas prokuratūra – 23 prokurora amata vietas (1 virsprokurora, 1 virsprokurora vietnieka un 21 prokurora štata vieta);</w:t>
      </w:r>
    </w:p>
    <w:p w14:paraId="500C2C58" w14:textId="140C1302" w:rsidR="00013AC7" w:rsidRPr="00577BF3" w:rsidRDefault="00013AC7" w:rsidP="00B16727">
      <w:pPr>
        <w:pStyle w:val="ListParagraph"/>
        <w:numPr>
          <w:ilvl w:val="0"/>
          <w:numId w:val="1"/>
        </w:numPr>
        <w:spacing w:after="0" w:line="240" w:lineRule="auto"/>
        <w:jc w:val="both"/>
        <w:rPr>
          <w:rFonts w:cs="Times New Roman"/>
          <w:szCs w:val="24"/>
        </w:rPr>
      </w:pPr>
      <w:r w:rsidRPr="00577BF3">
        <w:rPr>
          <w:rFonts w:cs="Times New Roman"/>
          <w:szCs w:val="24"/>
        </w:rPr>
        <w:t>Rīgas Autotransporta prokuratūra – 8 prokurora amata vietas (1 virsprokurora un 7 prokurora štata vietas);</w:t>
      </w:r>
    </w:p>
    <w:p w14:paraId="1314DFA2" w14:textId="20C19B3E" w:rsidR="00865E20" w:rsidRDefault="00833016" w:rsidP="00865E20">
      <w:pPr>
        <w:pStyle w:val="ListParagraph"/>
        <w:numPr>
          <w:ilvl w:val="0"/>
          <w:numId w:val="1"/>
        </w:numPr>
        <w:spacing w:after="0" w:line="240" w:lineRule="auto"/>
        <w:ind w:left="714" w:hanging="357"/>
        <w:jc w:val="both"/>
        <w:rPr>
          <w:rFonts w:cs="Times New Roman"/>
          <w:szCs w:val="24"/>
        </w:rPr>
      </w:pPr>
      <w:r w:rsidRPr="00577BF3">
        <w:rPr>
          <w:rFonts w:cs="Times New Roman"/>
          <w:szCs w:val="24"/>
        </w:rPr>
        <w:t xml:space="preserve">Specializētā vairāku nozaru </w:t>
      </w:r>
      <w:r w:rsidR="001531D5" w:rsidRPr="00577BF3">
        <w:rPr>
          <w:rFonts w:cs="Times New Roman"/>
          <w:szCs w:val="24"/>
        </w:rPr>
        <w:t>prokuratūra – 5 </w:t>
      </w:r>
      <w:r w:rsidR="001531D5" w:rsidRPr="00577BF3">
        <w:rPr>
          <w:rFonts w:cs="Times New Roman"/>
        </w:rPr>
        <w:t>prokurora</w:t>
      </w:r>
      <w:r w:rsidR="001531D5" w:rsidRPr="00577BF3">
        <w:rPr>
          <w:rFonts w:cs="Times New Roman"/>
          <w:szCs w:val="24"/>
        </w:rPr>
        <w:t xml:space="preserve"> amata vietas (1 virsprokurora un </w:t>
      </w:r>
      <w:r w:rsidR="001531D5" w:rsidRPr="00577BF3">
        <w:rPr>
          <w:rFonts w:cs="Times New Roman"/>
        </w:rPr>
        <w:t>4 prokurora</w:t>
      </w:r>
      <w:r w:rsidR="001531D5" w:rsidRPr="00577BF3">
        <w:rPr>
          <w:rFonts w:cs="Times New Roman"/>
          <w:szCs w:val="24"/>
        </w:rPr>
        <w:t xml:space="preserve"> štata vietas)</w:t>
      </w:r>
      <w:r w:rsidR="00013AC7" w:rsidRPr="00577BF3">
        <w:rPr>
          <w:rFonts w:cs="Times New Roman"/>
          <w:szCs w:val="24"/>
        </w:rPr>
        <w:t>.</w:t>
      </w:r>
    </w:p>
    <w:p w14:paraId="3E6D4E80" w14:textId="77777777" w:rsidR="006371CF" w:rsidRPr="006371CF" w:rsidRDefault="006371CF" w:rsidP="006371CF">
      <w:pPr>
        <w:pStyle w:val="ListParagraph"/>
        <w:spacing w:after="0" w:line="240" w:lineRule="auto"/>
        <w:ind w:left="714"/>
        <w:jc w:val="both"/>
        <w:rPr>
          <w:rFonts w:cs="Times New Roman"/>
          <w:szCs w:val="24"/>
        </w:rPr>
      </w:pPr>
    </w:p>
    <w:p w14:paraId="5C83E4DF" w14:textId="3F993254" w:rsidR="00C84F7E" w:rsidRPr="00577BF3" w:rsidRDefault="00CB3120" w:rsidP="005C7F3C">
      <w:pPr>
        <w:spacing w:after="0" w:line="240" w:lineRule="auto"/>
        <w:jc w:val="center"/>
        <w:rPr>
          <w:rFonts w:cs="Times New Roman"/>
          <w:szCs w:val="24"/>
        </w:rPr>
      </w:pPr>
      <w:r w:rsidRPr="00577BF3">
        <w:rPr>
          <w:rFonts w:cs="Times New Roman"/>
          <w:noProof/>
        </w:rPr>
        <w:drawing>
          <wp:inline distT="0" distB="0" distL="0" distR="0" wp14:anchorId="272B3913" wp14:editId="73F9CCB2">
            <wp:extent cx="3981450" cy="1701800"/>
            <wp:effectExtent l="0" t="0" r="0" b="12700"/>
            <wp:docPr id="91" name="Chart 91">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94B55EA" w14:textId="732C89DE" w:rsidR="00A14207" w:rsidRDefault="00A14207" w:rsidP="00A14207">
      <w:pPr>
        <w:spacing w:after="0" w:line="240" w:lineRule="auto"/>
        <w:ind w:firstLine="720"/>
        <w:jc w:val="both"/>
        <w:rPr>
          <w:rFonts w:cs="Times New Roman"/>
          <w:szCs w:val="24"/>
        </w:rPr>
      </w:pPr>
    </w:p>
    <w:p w14:paraId="248C4EA8" w14:textId="5BFCB074" w:rsidR="00632F47" w:rsidRDefault="00632F47" w:rsidP="00632F47">
      <w:pPr>
        <w:spacing w:after="0" w:line="240" w:lineRule="auto"/>
        <w:ind w:firstLine="714"/>
        <w:jc w:val="both"/>
        <w:rPr>
          <w:rFonts w:cs="Times New Roman"/>
          <w:szCs w:val="24"/>
        </w:rPr>
      </w:pPr>
      <w:r>
        <w:rPr>
          <w:rFonts w:cs="Times New Roman"/>
          <w:szCs w:val="24"/>
        </w:rPr>
        <w:tab/>
        <w:t xml:space="preserve">Kopumā specializētajā apgabala </w:t>
      </w:r>
      <w:r w:rsidR="00B37407">
        <w:rPr>
          <w:rFonts w:cs="Times New Roman"/>
          <w:szCs w:val="24"/>
        </w:rPr>
        <w:t xml:space="preserve">prokuratūras </w:t>
      </w:r>
      <w:r>
        <w:rPr>
          <w:rFonts w:cs="Times New Roman"/>
          <w:szCs w:val="24"/>
        </w:rPr>
        <w:t xml:space="preserve">statusa </w:t>
      </w:r>
      <w:r w:rsidR="005A5408">
        <w:rPr>
          <w:rFonts w:cs="Times New Roman"/>
          <w:szCs w:val="24"/>
        </w:rPr>
        <w:t>Organizētās noziedzības un citu nozaru specializētajā prokuratūrā</w:t>
      </w:r>
      <w:r w:rsidR="00B37407">
        <w:rPr>
          <w:rFonts w:cs="Times New Roman"/>
          <w:szCs w:val="24"/>
        </w:rPr>
        <w:t xml:space="preserve"> </w:t>
      </w:r>
      <w:r w:rsidR="004135E5">
        <w:rPr>
          <w:rFonts w:cs="Times New Roman"/>
          <w:szCs w:val="24"/>
        </w:rPr>
        <w:t>un specializētajās rajona prokuratūras statusa prokuratūrās u</w:t>
      </w:r>
      <w:r>
        <w:rPr>
          <w:rFonts w:cs="Times New Roman"/>
          <w:szCs w:val="24"/>
        </w:rPr>
        <w:t xml:space="preserve">z 2020. gada 31. decembri bija noteiktas </w:t>
      </w:r>
      <w:r w:rsidR="009000A7">
        <w:rPr>
          <w:rFonts w:cs="Times New Roman"/>
          <w:szCs w:val="24"/>
        </w:rPr>
        <w:t>79</w:t>
      </w:r>
      <w:r>
        <w:rPr>
          <w:rFonts w:cs="Times New Roman"/>
          <w:szCs w:val="24"/>
        </w:rPr>
        <w:t xml:space="preserve"> prokurora amata vietas, no kurām aizpildītas </w:t>
      </w:r>
      <w:r w:rsidR="009000A7">
        <w:rPr>
          <w:rFonts w:cs="Times New Roman"/>
          <w:szCs w:val="24"/>
        </w:rPr>
        <w:t>72</w:t>
      </w:r>
      <w:r w:rsidR="00F62B7E">
        <w:rPr>
          <w:rFonts w:cs="Times New Roman"/>
          <w:szCs w:val="24"/>
        </w:rPr>
        <w:t> </w:t>
      </w:r>
      <w:r>
        <w:rPr>
          <w:rFonts w:cs="Times New Roman"/>
          <w:szCs w:val="24"/>
        </w:rPr>
        <w:t>(virsprokurora</w:t>
      </w:r>
      <w:r w:rsidR="009000A7">
        <w:rPr>
          <w:rFonts w:cs="Times New Roman"/>
          <w:szCs w:val="24"/>
        </w:rPr>
        <w:t>, virsprokurora vietnieka</w:t>
      </w:r>
      <w:r>
        <w:rPr>
          <w:rFonts w:cs="Times New Roman"/>
          <w:szCs w:val="24"/>
        </w:rPr>
        <w:t xml:space="preserve"> un prokurora štata vietas) jeb </w:t>
      </w:r>
      <w:r w:rsidR="000B60A3">
        <w:rPr>
          <w:rFonts w:cs="Times New Roman"/>
          <w:szCs w:val="24"/>
        </w:rPr>
        <w:t>91</w:t>
      </w:r>
      <w:r>
        <w:rPr>
          <w:rFonts w:cs="Times New Roman"/>
          <w:szCs w:val="24"/>
        </w:rPr>
        <w:t xml:space="preserve"> %, bet reāli strādāja </w:t>
      </w:r>
      <w:r w:rsidR="000B60A3">
        <w:rPr>
          <w:rFonts w:cs="Times New Roman"/>
          <w:szCs w:val="24"/>
        </w:rPr>
        <w:t>69</w:t>
      </w:r>
      <w:r>
        <w:rPr>
          <w:rFonts w:cs="Times New Roman"/>
          <w:szCs w:val="24"/>
        </w:rPr>
        <w:t xml:space="preserve"> jeb 8</w:t>
      </w:r>
      <w:r w:rsidR="00F85493">
        <w:rPr>
          <w:rFonts w:cs="Times New Roman"/>
          <w:szCs w:val="24"/>
        </w:rPr>
        <w:t>7</w:t>
      </w:r>
      <w:r>
        <w:rPr>
          <w:rFonts w:cs="Times New Roman"/>
          <w:szCs w:val="24"/>
        </w:rPr>
        <w:t xml:space="preserve"> %, jo </w:t>
      </w:r>
      <w:r w:rsidR="00F85493">
        <w:rPr>
          <w:rFonts w:cs="Times New Roman"/>
          <w:szCs w:val="24"/>
        </w:rPr>
        <w:t>kopā 3</w:t>
      </w:r>
      <w:r>
        <w:rPr>
          <w:rFonts w:cs="Times New Roman"/>
          <w:szCs w:val="24"/>
        </w:rPr>
        <w:t> prokurori atradās ilgstošā prombūtnē</w:t>
      </w:r>
      <w:r w:rsidR="00600813">
        <w:rPr>
          <w:rFonts w:cs="Times New Roman"/>
          <w:szCs w:val="24"/>
        </w:rPr>
        <w:t xml:space="preserve"> vai stažējās citā prokuratūras struktūrvienībā</w:t>
      </w:r>
      <w:r>
        <w:rPr>
          <w:rFonts w:cs="Times New Roman"/>
          <w:szCs w:val="24"/>
        </w:rPr>
        <w:t>.</w:t>
      </w:r>
    </w:p>
    <w:p w14:paraId="4A4CBD58" w14:textId="49B18226" w:rsidR="00076725" w:rsidRDefault="00076725" w:rsidP="00632F47">
      <w:pPr>
        <w:spacing w:after="0" w:line="240" w:lineRule="auto"/>
        <w:ind w:firstLine="714"/>
        <w:jc w:val="both"/>
        <w:rPr>
          <w:rFonts w:cs="Times New Roman"/>
          <w:szCs w:val="24"/>
        </w:rPr>
      </w:pPr>
      <w:r>
        <w:rPr>
          <w:rFonts w:cs="Times New Roman"/>
          <w:szCs w:val="24"/>
        </w:rPr>
        <w:t>Jāatzīmē</w:t>
      </w:r>
      <w:r w:rsidR="00D32877">
        <w:rPr>
          <w:rFonts w:cs="Times New Roman"/>
          <w:szCs w:val="24"/>
        </w:rPr>
        <w:t xml:space="preserve">, ka Rīgas Autotransporta prokuratūrā un </w:t>
      </w:r>
      <w:r w:rsidR="00D32877" w:rsidRPr="00B02194">
        <w:rPr>
          <w:szCs w:val="24"/>
          <w:lang w:eastAsia="lv-LV"/>
        </w:rPr>
        <w:t>Narkotiku nelikumīgas aprites noziegumu izmeklēšanas prokuratūr</w:t>
      </w:r>
      <w:r w:rsidR="00D32877">
        <w:rPr>
          <w:szCs w:val="24"/>
          <w:lang w:eastAsia="lv-LV"/>
        </w:rPr>
        <w:t xml:space="preserve">ā 2020. gadā prokurora </w:t>
      </w:r>
      <w:r w:rsidR="003363A2">
        <w:rPr>
          <w:szCs w:val="24"/>
          <w:lang w:eastAsia="lv-LV"/>
        </w:rPr>
        <w:t>štata</w:t>
      </w:r>
      <w:r w:rsidR="00D32877">
        <w:rPr>
          <w:szCs w:val="24"/>
          <w:lang w:eastAsia="lv-LV"/>
        </w:rPr>
        <w:t xml:space="preserve"> vietas bija aizpildītas, bet Organizētās noziedzības un citu nozaru specializētā prokuratūra,</w:t>
      </w:r>
      <w:r w:rsidR="00BE6D1C" w:rsidRPr="00BE6D1C">
        <w:rPr>
          <w:szCs w:val="24"/>
          <w:lang w:eastAsia="lv-LV"/>
        </w:rPr>
        <w:t xml:space="preserve"> </w:t>
      </w:r>
      <w:r w:rsidR="00BE6D1C" w:rsidRPr="00B02194">
        <w:rPr>
          <w:szCs w:val="24"/>
          <w:lang w:eastAsia="lv-LV"/>
        </w:rPr>
        <w:t>Finanšu un ekonomisko noziegumu izmeklēšanas prokuratūra un Specializētā vairāku nozaru prokur</w:t>
      </w:r>
      <w:r w:rsidR="00BE6D1C">
        <w:rPr>
          <w:szCs w:val="24"/>
          <w:lang w:eastAsia="lv-LV"/>
        </w:rPr>
        <w:t>atūra strādāja nepilnā prokuroru sastāvā.</w:t>
      </w:r>
      <w:r w:rsidR="00D32877">
        <w:rPr>
          <w:szCs w:val="24"/>
          <w:lang w:eastAsia="lv-LV"/>
        </w:rPr>
        <w:t xml:space="preserve"> </w:t>
      </w:r>
      <w:r w:rsidR="003363A2">
        <w:rPr>
          <w:szCs w:val="24"/>
          <w:lang w:eastAsia="lv-LV"/>
        </w:rPr>
        <w:t>Šī iemesla dēļ īpaši apgrūtināts bija</w:t>
      </w:r>
      <w:r w:rsidR="003363A2" w:rsidRPr="003363A2">
        <w:rPr>
          <w:szCs w:val="24"/>
          <w:lang w:eastAsia="lv-LV"/>
        </w:rPr>
        <w:t xml:space="preserve"> </w:t>
      </w:r>
      <w:r w:rsidR="003363A2" w:rsidRPr="00B02194">
        <w:rPr>
          <w:szCs w:val="24"/>
          <w:lang w:eastAsia="lv-LV"/>
        </w:rPr>
        <w:t>Finanšu un ekonomisko noziegumu izmeklēšanas prokuratūra</w:t>
      </w:r>
      <w:r w:rsidR="003363A2">
        <w:rPr>
          <w:szCs w:val="24"/>
          <w:lang w:eastAsia="lv-LV"/>
        </w:rPr>
        <w:t xml:space="preserve">s darbs, kurā nebija aizpildītas </w:t>
      </w:r>
      <w:r w:rsidR="00DC41BF">
        <w:rPr>
          <w:szCs w:val="24"/>
          <w:lang w:eastAsia="lv-LV"/>
        </w:rPr>
        <w:t>3 prokurora štata vietas un 1 prokurors atradās ilgstošā prombūtnē.</w:t>
      </w:r>
    </w:p>
    <w:p w14:paraId="06F7EFE1" w14:textId="77777777" w:rsidR="00076725" w:rsidRDefault="00076725" w:rsidP="00632F47">
      <w:pPr>
        <w:spacing w:after="0" w:line="240" w:lineRule="auto"/>
        <w:ind w:firstLine="714"/>
        <w:jc w:val="both"/>
        <w:rPr>
          <w:rFonts w:cs="Times New Roman"/>
          <w:szCs w:val="24"/>
        </w:rPr>
      </w:pPr>
    </w:p>
    <w:p w14:paraId="421C8DA1" w14:textId="436FED80" w:rsidR="00C84F7E" w:rsidRDefault="00C84F7E" w:rsidP="00CF4214">
      <w:pPr>
        <w:spacing w:after="0" w:line="240" w:lineRule="auto"/>
        <w:ind w:firstLine="720"/>
        <w:jc w:val="both"/>
        <w:rPr>
          <w:rFonts w:cs="Times New Roman"/>
          <w:szCs w:val="24"/>
        </w:rPr>
      </w:pPr>
      <w:r w:rsidRPr="00577BF3">
        <w:rPr>
          <w:rFonts w:cs="Times New Roman"/>
          <w:szCs w:val="24"/>
        </w:rPr>
        <w:t>Prokuratūrā notiekošā reorganizācija ietver rajona līmeņa prokuratūras struktūrvienību apvienošanu, izveidojot jaunas prokuratūras struktūrvienības, tādējādi samazinot to skaitu.</w:t>
      </w:r>
      <w:r w:rsidR="008A6823" w:rsidRPr="00577BF3">
        <w:rPr>
          <w:rFonts w:cs="Times New Roman"/>
          <w:szCs w:val="24"/>
        </w:rPr>
        <w:t xml:space="preserve"> </w:t>
      </w:r>
      <w:r w:rsidR="003D0B80" w:rsidRPr="00577BF3">
        <w:rPr>
          <w:rFonts w:cs="Times New Roman"/>
          <w:szCs w:val="24"/>
        </w:rPr>
        <w:t>Apvienojot 3 </w:t>
      </w:r>
      <w:bookmarkStart w:id="39" w:name="_Hlk63703130"/>
      <w:r w:rsidR="003D0B80" w:rsidRPr="00577BF3">
        <w:rPr>
          <w:rFonts w:cs="Times New Roman"/>
          <w:szCs w:val="24"/>
        </w:rPr>
        <w:t>rajona prokuratūras statusa specializētās nozares prokuratūras</w:t>
      </w:r>
      <w:r w:rsidR="00996052" w:rsidRPr="00577BF3">
        <w:rPr>
          <w:rFonts w:cs="Times New Roman"/>
          <w:szCs w:val="24"/>
        </w:rPr>
        <w:t xml:space="preserve"> </w:t>
      </w:r>
      <w:bookmarkEnd w:id="39"/>
      <w:r w:rsidR="00996052" w:rsidRPr="00577BF3">
        <w:rPr>
          <w:rFonts w:cs="Times New Roman"/>
          <w:szCs w:val="24"/>
        </w:rPr>
        <w:t xml:space="preserve">– </w:t>
      </w:r>
      <w:r w:rsidR="008045E2" w:rsidRPr="00577BF3">
        <w:rPr>
          <w:rFonts w:cs="Times New Roman"/>
          <w:szCs w:val="24"/>
        </w:rPr>
        <w:t xml:space="preserve">Narkotiku </w:t>
      </w:r>
      <w:r w:rsidR="008045E2" w:rsidRPr="00577BF3">
        <w:rPr>
          <w:rFonts w:cs="Times New Roman"/>
          <w:szCs w:val="24"/>
        </w:rPr>
        <w:lastRenderedPageBreak/>
        <w:t>nelikumīgas aprites noziegumu izmeklēšanas prokuratūru</w:t>
      </w:r>
      <w:r w:rsidR="00013AC7" w:rsidRPr="00577BF3">
        <w:rPr>
          <w:rFonts w:cs="Times New Roman"/>
          <w:szCs w:val="24"/>
        </w:rPr>
        <w:t>, Rīgas Autotransporta prokuratūru un Specializēto vairāku nozaru prokuratūru</w:t>
      </w:r>
      <w:r w:rsidR="00996052" w:rsidRPr="00577BF3">
        <w:rPr>
          <w:rFonts w:cs="Times New Roman"/>
          <w:szCs w:val="24"/>
        </w:rPr>
        <w:t xml:space="preserve"> –, </w:t>
      </w:r>
      <w:r w:rsidR="008045E2" w:rsidRPr="00577BF3">
        <w:rPr>
          <w:rFonts w:cs="Times New Roman"/>
          <w:szCs w:val="24"/>
        </w:rPr>
        <w:t xml:space="preserve">no 2021. gada 1. janvāra izveidota </w:t>
      </w:r>
      <w:r w:rsidR="008045E2" w:rsidRPr="00577BF3">
        <w:rPr>
          <w:rFonts w:cs="Times New Roman"/>
          <w:b/>
          <w:bCs/>
          <w:szCs w:val="24"/>
        </w:rPr>
        <w:t>Daudznozaru specializētā prokuratūra</w:t>
      </w:r>
      <w:r w:rsidR="007306BA" w:rsidRPr="00577BF3">
        <w:rPr>
          <w:rFonts w:cs="Times New Roman"/>
          <w:szCs w:val="24"/>
        </w:rPr>
        <w:t>,</w:t>
      </w:r>
      <w:r w:rsidR="0049342D" w:rsidRPr="00577BF3">
        <w:rPr>
          <w:rFonts w:cs="Times New Roman"/>
          <w:szCs w:val="24"/>
        </w:rPr>
        <w:t xml:space="preserve"> saglabājot esošo prokurora </w:t>
      </w:r>
      <w:r w:rsidR="009A2F50">
        <w:rPr>
          <w:rFonts w:cs="Times New Roman"/>
          <w:szCs w:val="24"/>
        </w:rPr>
        <w:t>amata</w:t>
      </w:r>
      <w:r w:rsidR="0049342D" w:rsidRPr="00577BF3">
        <w:rPr>
          <w:rFonts w:cs="Times New Roman"/>
          <w:szCs w:val="24"/>
        </w:rPr>
        <w:t xml:space="preserve"> vietu skaitu. </w:t>
      </w:r>
      <w:r w:rsidR="00276D03" w:rsidRPr="00577BF3">
        <w:rPr>
          <w:rFonts w:cs="Times New Roman"/>
          <w:szCs w:val="24"/>
        </w:rPr>
        <w:t xml:space="preserve">No 2021. gada 1.janvāra </w:t>
      </w:r>
      <w:r w:rsidR="00996052" w:rsidRPr="00577BF3">
        <w:rPr>
          <w:rFonts w:cs="Times New Roman"/>
          <w:szCs w:val="24"/>
        </w:rPr>
        <w:t>Finanšu un ekonomisko noziegumu izmeklēšana</w:t>
      </w:r>
      <w:r w:rsidR="00034C36">
        <w:rPr>
          <w:rFonts w:cs="Times New Roman"/>
          <w:szCs w:val="24"/>
        </w:rPr>
        <w:t>s</w:t>
      </w:r>
      <w:r w:rsidR="00996052" w:rsidRPr="00577BF3">
        <w:rPr>
          <w:rFonts w:cs="Times New Roman"/>
          <w:szCs w:val="24"/>
        </w:rPr>
        <w:t xml:space="preserve"> prokuratūrai</w:t>
      </w:r>
      <w:r w:rsidR="0049342D" w:rsidRPr="00577BF3">
        <w:rPr>
          <w:rFonts w:cs="Times New Roman"/>
          <w:szCs w:val="24"/>
        </w:rPr>
        <w:t xml:space="preserve">, saglabājot esošo prokurora amata vietu skaitu, </w:t>
      </w:r>
      <w:r w:rsidR="00996052" w:rsidRPr="00577BF3">
        <w:rPr>
          <w:rFonts w:cs="Times New Roman"/>
          <w:szCs w:val="24"/>
        </w:rPr>
        <w:t>mainīts nosaukums</w:t>
      </w:r>
      <w:r w:rsidR="00E07876" w:rsidRPr="00577BF3">
        <w:rPr>
          <w:rFonts w:cs="Times New Roman"/>
          <w:szCs w:val="24"/>
        </w:rPr>
        <w:t xml:space="preserve"> uz </w:t>
      </w:r>
      <w:r w:rsidR="007306BA" w:rsidRPr="00577BF3">
        <w:rPr>
          <w:rFonts w:cs="Times New Roman"/>
          <w:b/>
          <w:bCs/>
          <w:szCs w:val="24"/>
        </w:rPr>
        <w:t>Nodokļu un muitas lietu prokuratūra</w:t>
      </w:r>
      <w:r w:rsidR="00276D03" w:rsidRPr="00577BF3">
        <w:rPr>
          <w:rFonts w:cs="Times New Roman"/>
          <w:szCs w:val="24"/>
        </w:rPr>
        <w:t xml:space="preserve">, </w:t>
      </w:r>
      <w:r w:rsidR="007306BA" w:rsidRPr="00577BF3">
        <w:rPr>
          <w:rFonts w:cs="Times New Roman"/>
          <w:szCs w:val="24"/>
        </w:rPr>
        <w:t>kā arī izveidota jauna rajona prokuratūras statusa specializētā nozares prokuratūra</w:t>
      </w:r>
      <w:r w:rsidR="00276D03" w:rsidRPr="00577BF3">
        <w:rPr>
          <w:rFonts w:cs="Times New Roman"/>
          <w:szCs w:val="24"/>
        </w:rPr>
        <w:t xml:space="preserve"> – </w:t>
      </w:r>
      <w:r w:rsidR="00276D03" w:rsidRPr="00577BF3">
        <w:rPr>
          <w:rFonts w:cs="Times New Roman"/>
          <w:b/>
          <w:bCs/>
          <w:szCs w:val="24"/>
        </w:rPr>
        <w:t>Noziedzīgu nodarījumu valsts institūc</w:t>
      </w:r>
      <w:r w:rsidR="008846BD" w:rsidRPr="00577BF3">
        <w:rPr>
          <w:rFonts w:cs="Times New Roman"/>
          <w:b/>
          <w:bCs/>
          <w:szCs w:val="24"/>
        </w:rPr>
        <w:t>i</w:t>
      </w:r>
      <w:r w:rsidR="00276D03" w:rsidRPr="00577BF3">
        <w:rPr>
          <w:rFonts w:cs="Times New Roman"/>
          <w:b/>
          <w:bCs/>
          <w:szCs w:val="24"/>
        </w:rPr>
        <w:t>ju dienestā izmeklēšanas prokuratūra</w:t>
      </w:r>
      <w:r w:rsidR="008846BD" w:rsidRPr="00577BF3">
        <w:rPr>
          <w:rFonts w:cs="Times New Roman"/>
          <w:szCs w:val="24"/>
        </w:rPr>
        <w:t xml:space="preserve"> –</w:t>
      </w:r>
      <w:r w:rsidR="00276D03" w:rsidRPr="00577BF3">
        <w:rPr>
          <w:rFonts w:cs="Times New Roman"/>
          <w:szCs w:val="24"/>
        </w:rPr>
        <w:t>, ieviešot tajā 10 prokurora amata vietas.</w:t>
      </w:r>
    </w:p>
    <w:p w14:paraId="18E2DC5B" w14:textId="100D5E69" w:rsidR="00DC41BF" w:rsidRDefault="00DC41BF" w:rsidP="00CF4214">
      <w:pPr>
        <w:spacing w:after="0" w:line="240" w:lineRule="auto"/>
        <w:ind w:firstLine="720"/>
        <w:jc w:val="both"/>
        <w:rPr>
          <w:rFonts w:cs="Times New Roman"/>
          <w:sz w:val="28"/>
          <w:szCs w:val="28"/>
        </w:rPr>
      </w:pPr>
      <w:r>
        <w:rPr>
          <w:rFonts w:cs="Times New Roman"/>
          <w:szCs w:val="24"/>
        </w:rPr>
        <w:t xml:space="preserve">2021. gadā kā prioritāte izvirzāma prokurora štata vietu aizpildīšana </w:t>
      </w:r>
      <w:r w:rsidR="00FF1D66">
        <w:rPr>
          <w:rFonts w:cs="Times New Roman"/>
          <w:szCs w:val="24"/>
        </w:rPr>
        <w:t xml:space="preserve">Nodokļu un muitas lietu prokuratūrā un jaunizveidotajā Noziedzīgu nodarījumu valsts institūciju dienestā prokuratūrā, kurā uz 2021. gada 1. februāri vakantas </w:t>
      </w:r>
      <w:r w:rsidR="007D46A5">
        <w:rPr>
          <w:rFonts w:cs="Times New Roman"/>
          <w:szCs w:val="24"/>
        </w:rPr>
        <w:t>b</w:t>
      </w:r>
      <w:r w:rsidR="00FF1D66">
        <w:rPr>
          <w:rFonts w:cs="Times New Roman"/>
          <w:szCs w:val="24"/>
        </w:rPr>
        <w:t>i</w:t>
      </w:r>
      <w:r w:rsidR="007D46A5">
        <w:rPr>
          <w:rFonts w:cs="Times New Roman"/>
          <w:szCs w:val="24"/>
        </w:rPr>
        <w:t>ja</w:t>
      </w:r>
      <w:r w:rsidR="00FF1D66">
        <w:rPr>
          <w:rFonts w:cs="Times New Roman"/>
          <w:szCs w:val="24"/>
        </w:rPr>
        <w:t xml:space="preserve"> 4 prokurora štata vietas.</w:t>
      </w:r>
    </w:p>
    <w:p w14:paraId="084CD810" w14:textId="07098AA0" w:rsidR="00E4359A" w:rsidRPr="00F62B7E" w:rsidRDefault="00E4359A" w:rsidP="00CF4214">
      <w:pPr>
        <w:spacing w:after="0" w:line="240" w:lineRule="auto"/>
        <w:ind w:firstLine="720"/>
        <w:jc w:val="both"/>
        <w:rPr>
          <w:rFonts w:cs="Times New Roman"/>
          <w:szCs w:val="24"/>
        </w:rPr>
      </w:pPr>
    </w:p>
    <w:p w14:paraId="28EDD259" w14:textId="394FF49E" w:rsidR="00E4359A" w:rsidRPr="006F65A6" w:rsidRDefault="00E4359A" w:rsidP="00E4359A">
      <w:pPr>
        <w:spacing w:after="0" w:line="240" w:lineRule="auto"/>
        <w:jc w:val="center"/>
        <w:rPr>
          <w:rFonts w:eastAsia="Times New Roman"/>
          <w:b/>
          <w:bCs/>
          <w:sz w:val="28"/>
          <w:szCs w:val="28"/>
          <w:lang w:eastAsia="lv-LV"/>
        </w:rPr>
      </w:pPr>
      <w:r w:rsidRPr="006F65A6">
        <w:rPr>
          <w:rFonts w:eastAsia="Times New Roman"/>
          <w:b/>
          <w:bCs/>
          <w:sz w:val="28"/>
          <w:szCs w:val="28"/>
          <w:lang w:eastAsia="lv-LV"/>
        </w:rPr>
        <w:t>II</w:t>
      </w:r>
      <w:r>
        <w:rPr>
          <w:rFonts w:eastAsia="Times New Roman"/>
          <w:b/>
          <w:bCs/>
          <w:sz w:val="28"/>
          <w:szCs w:val="28"/>
          <w:lang w:eastAsia="lv-LV"/>
        </w:rPr>
        <w:t>. </w:t>
      </w:r>
      <w:r w:rsidRPr="006F65A6">
        <w:rPr>
          <w:rFonts w:eastAsia="Times New Roman"/>
          <w:b/>
          <w:bCs/>
          <w:sz w:val="28"/>
          <w:szCs w:val="28"/>
          <w:lang w:eastAsia="lv-LV"/>
        </w:rPr>
        <w:t>Tiesas apgabala prokuratūras darba rādītāji</w:t>
      </w:r>
    </w:p>
    <w:p w14:paraId="46AB6BB6" w14:textId="4B682086" w:rsidR="00E4359A" w:rsidRDefault="00E4359A" w:rsidP="00E4359A">
      <w:pPr>
        <w:spacing w:after="0" w:line="240" w:lineRule="auto"/>
        <w:ind w:firstLine="720"/>
        <w:jc w:val="center"/>
        <w:rPr>
          <w:rFonts w:eastAsia="Times New Roman"/>
          <w:b/>
          <w:bCs/>
          <w:sz w:val="28"/>
          <w:szCs w:val="28"/>
          <w:lang w:eastAsia="lv-LV"/>
        </w:rPr>
      </w:pPr>
      <w:r w:rsidRPr="00940E02">
        <w:rPr>
          <w:rFonts w:eastAsia="Times New Roman"/>
          <w:b/>
          <w:bCs/>
          <w:sz w:val="28"/>
          <w:szCs w:val="28"/>
          <w:lang w:eastAsia="lv-LV"/>
        </w:rPr>
        <w:t>(salīdzinājums 3 gadu periodā)</w:t>
      </w:r>
    </w:p>
    <w:p w14:paraId="74B48753" w14:textId="4CB86267" w:rsidR="00E4359A" w:rsidRPr="00F62B7E" w:rsidRDefault="00E4359A" w:rsidP="00E4359A">
      <w:pPr>
        <w:spacing w:after="0" w:line="240" w:lineRule="auto"/>
        <w:rPr>
          <w:rFonts w:eastAsia="Times New Roman"/>
          <w:b/>
          <w:bCs/>
          <w:szCs w:val="24"/>
          <w:lang w:eastAsia="lv-LV"/>
        </w:rPr>
      </w:pPr>
    </w:p>
    <w:p w14:paraId="00979627" w14:textId="104466E2" w:rsidR="0099191B" w:rsidRPr="008442FB" w:rsidRDefault="00E4359A" w:rsidP="00E329FC">
      <w:pPr>
        <w:pStyle w:val="ListParagraph"/>
        <w:numPr>
          <w:ilvl w:val="0"/>
          <w:numId w:val="49"/>
        </w:numPr>
        <w:spacing w:after="120" w:line="240" w:lineRule="auto"/>
        <w:ind w:left="714" w:hanging="357"/>
        <w:contextualSpacing w:val="0"/>
        <w:rPr>
          <w:rFonts w:eastAsia="Times New Roman"/>
          <w:b/>
          <w:bCs/>
          <w:szCs w:val="24"/>
          <w:lang w:eastAsia="lv-LV"/>
        </w:rPr>
      </w:pPr>
      <w:r w:rsidRPr="008442FB">
        <w:rPr>
          <w:rFonts w:eastAsia="Times New Roman"/>
          <w:b/>
          <w:bCs/>
          <w:szCs w:val="24"/>
          <w:lang w:eastAsia="lv-LV"/>
        </w:rPr>
        <w:t>Kriminālvajāšanai saņemti kriminālprocesi</w:t>
      </w:r>
    </w:p>
    <w:p w14:paraId="10C5B1E7" w14:textId="54F05C5D" w:rsidR="0099191B" w:rsidRDefault="0099191B" w:rsidP="005C7F3C">
      <w:pPr>
        <w:pStyle w:val="ListParagraph"/>
        <w:tabs>
          <w:tab w:val="left" w:pos="142"/>
        </w:tabs>
        <w:spacing w:line="240" w:lineRule="auto"/>
        <w:ind w:left="0"/>
        <w:jc w:val="center"/>
        <w:rPr>
          <w:szCs w:val="24"/>
          <w:lang w:eastAsia="lv-LV"/>
        </w:rPr>
      </w:pPr>
      <w:r>
        <w:rPr>
          <w:noProof/>
        </w:rPr>
        <w:drawing>
          <wp:inline distT="0" distB="0" distL="0" distR="0" wp14:anchorId="2C615DBF" wp14:editId="4057FBC1">
            <wp:extent cx="3937000" cy="1718733"/>
            <wp:effectExtent l="0" t="0" r="6350" b="15240"/>
            <wp:docPr id="103" name="Chart 10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30A03AB9" w14:textId="24144968" w:rsidR="005B308B" w:rsidRDefault="005B308B" w:rsidP="005B308B">
      <w:pPr>
        <w:pStyle w:val="ListParagraph"/>
        <w:tabs>
          <w:tab w:val="left" w:pos="142"/>
        </w:tabs>
        <w:spacing w:line="240" w:lineRule="auto"/>
        <w:ind w:left="-142" w:firstLine="567"/>
        <w:rPr>
          <w:szCs w:val="24"/>
          <w:lang w:eastAsia="lv-LV"/>
        </w:rPr>
      </w:pPr>
    </w:p>
    <w:p w14:paraId="3EEC810A" w14:textId="2F184426" w:rsidR="009C2DA3" w:rsidRDefault="005B308B" w:rsidP="00BE3C4E">
      <w:pPr>
        <w:pStyle w:val="ListParagraph"/>
        <w:tabs>
          <w:tab w:val="left" w:pos="709"/>
        </w:tabs>
        <w:spacing w:line="240" w:lineRule="auto"/>
        <w:ind w:left="-142"/>
        <w:jc w:val="both"/>
        <w:rPr>
          <w:szCs w:val="24"/>
          <w:lang w:eastAsia="lv-LV"/>
        </w:rPr>
      </w:pPr>
      <w:r>
        <w:rPr>
          <w:szCs w:val="24"/>
          <w:lang w:eastAsia="lv-LV"/>
        </w:rPr>
        <w:tab/>
      </w:r>
      <w:r w:rsidRPr="005B308B">
        <w:rPr>
          <w:szCs w:val="24"/>
          <w:lang w:eastAsia="lv-LV"/>
        </w:rPr>
        <w:t>Vērtējot statistikas datus</w:t>
      </w:r>
      <w:r>
        <w:rPr>
          <w:szCs w:val="24"/>
          <w:lang w:eastAsia="lv-LV"/>
        </w:rPr>
        <w:t xml:space="preserve"> par periodu 2018.-2020. gads, atzīstams, ka kriminālvajāšanai</w:t>
      </w:r>
      <w:r w:rsidR="00CC2856">
        <w:rPr>
          <w:szCs w:val="24"/>
          <w:lang w:eastAsia="lv-LV"/>
        </w:rPr>
        <w:t xml:space="preserve"> </w:t>
      </w:r>
      <w:r>
        <w:rPr>
          <w:szCs w:val="24"/>
          <w:lang w:eastAsia="lv-LV"/>
        </w:rPr>
        <w:t xml:space="preserve">   </w:t>
      </w:r>
      <w:r w:rsidR="00CC2856" w:rsidRPr="00CC2856">
        <w:rPr>
          <w:szCs w:val="24"/>
          <w:lang w:eastAsia="lv-LV"/>
        </w:rPr>
        <w:t>saņemto kriminālprocesu skaits katru gadu ir vienmērīgs, tomēr ar tendenci šim skaitam pieaugt. Neskatoties uz 2020.</w:t>
      </w:r>
      <w:r w:rsidR="00CC2856">
        <w:rPr>
          <w:szCs w:val="24"/>
          <w:lang w:eastAsia="lv-LV"/>
        </w:rPr>
        <w:t> </w:t>
      </w:r>
      <w:r w:rsidR="00CC2856" w:rsidRPr="00CC2856">
        <w:rPr>
          <w:szCs w:val="24"/>
          <w:lang w:eastAsia="lv-LV"/>
        </w:rPr>
        <w:t xml:space="preserve">gadā sarežģīto epidemioloģisko situāciju, </w:t>
      </w:r>
      <w:r w:rsidR="00E527E3">
        <w:rPr>
          <w:szCs w:val="24"/>
          <w:lang w:eastAsia="lv-LV"/>
        </w:rPr>
        <w:t xml:space="preserve">Organizētās noziedzības un citu nozaru specializētajā prokuratūrā </w:t>
      </w:r>
      <w:r w:rsidR="00CC2856" w:rsidRPr="00CC2856">
        <w:rPr>
          <w:szCs w:val="24"/>
          <w:lang w:eastAsia="lv-LV"/>
        </w:rPr>
        <w:t xml:space="preserve">kriminālvajāšanas uzsākšanai saņemti </w:t>
      </w:r>
      <w:r w:rsidR="00CC2856" w:rsidRPr="00CC2856">
        <w:rPr>
          <w:b/>
          <w:bCs/>
          <w:szCs w:val="24"/>
          <w:lang w:eastAsia="lv-LV"/>
        </w:rPr>
        <w:t>63</w:t>
      </w:r>
      <w:r w:rsidR="00CC2856">
        <w:rPr>
          <w:szCs w:val="24"/>
          <w:lang w:eastAsia="lv-LV"/>
        </w:rPr>
        <w:t> </w:t>
      </w:r>
      <w:r w:rsidR="00CC2856" w:rsidRPr="00CC2856">
        <w:rPr>
          <w:szCs w:val="24"/>
          <w:lang w:eastAsia="lv-LV"/>
        </w:rPr>
        <w:t>kriminālprocesi.</w:t>
      </w:r>
      <w:r w:rsidR="009C2DA3">
        <w:rPr>
          <w:szCs w:val="24"/>
          <w:lang w:eastAsia="lv-LV"/>
        </w:rPr>
        <w:t xml:space="preserve"> </w:t>
      </w:r>
    </w:p>
    <w:p w14:paraId="1766F1B9" w14:textId="6353FCFA" w:rsidR="009C2DA3" w:rsidRDefault="009C2DA3" w:rsidP="009C2DA3">
      <w:pPr>
        <w:pStyle w:val="ListParagraph"/>
        <w:tabs>
          <w:tab w:val="left" w:pos="142"/>
        </w:tabs>
        <w:spacing w:line="240" w:lineRule="auto"/>
        <w:ind w:left="-142"/>
        <w:jc w:val="both"/>
        <w:rPr>
          <w:szCs w:val="24"/>
          <w:lang w:eastAsia="lv-LV"/>
        </w:rPr>
      </w:pPr>
    </w:p>
    <w:p w14:paraId="089D3557" w14:textId="00B5CDC5" w:rsidR="00105D1F" w:rsidRPr="009C2DA3" w:rsidRDefault="00870653" w:rsidP="00E329FC">
      <w:pPr>
        <w:pStyle w:val="ListParagraph"/>
        <w:numPr>
          <w:ilvl w:val="0"/>
          <w:numId w:val="49"/>
        </w:numPr>
        <w:tabs>
          <w:tab w:val="left" w:pos="142"/>
        </w:tabs>
        <w:spacing w:line="240" w:lineRule="auto"/>
        <w:jc w:val="both"/>
        <w:rPr>
          <w:b/>
          <w:bCs/>
          <w:szCs w:val="24"/>
          <w:lang w:eastAsia="lv-LV"/>
        </w:rPr>
      </w:pPr>
      <w:r w:rsidRPr="009C2DA3">
        <w:rPr>
          <w:b/>
          <w:bCs/>
          <w:szCs w:val="24"/>
          <w:lang w:eastAsia="lv-LV"/>
        </w:rPr>
        <w:t>Tiesai nodot</w:t>
      </w:r>
      <w:r w:rsidR="00C65D72" w:rsidRPr="009C2DA3">
        <w:rPr>
          <w:b/>
          <w:bCs/>
          <w:szCs w:val="24"/>
          <w:lang w:eastAsia="lv-LV"/>
        </w:rPr>
        <w:t>a</w:t>
      </w:r>
      <w:r w:rsidRPr="009C2DA3">
        <w:rPr>
          <w:b/>
          <w:bCs/>
          <w:szCs w:val="24"/>
          <w:lang w:eastAsia="lv-LV"/>
        </w:rPr>
        <w:t>s krimināllietas, no tām vienošanās procesa kārtībā</w:t>
      </w:r>
    </w:p>
    <w:p w14:paraId="074D8B06" w14:textId="72B28E23" w:rsidR="0099191B" w:rsidRDefault="0099191B" w:rsidP="005C7F3C">
      <w:pPr>
        <w:spacing w:after="0" w:line="240" w:lineRule="auto"/>
        <w:jc w:val="center"/>
        <w:rPr>
          <w:szCs w:val="24"/>
          <w:lang w:eastAsia="lv-LV"/>
        </w:rPr>
      </w:pPr>
      <w:r>
        <w:rPr>
          <w:noProof/>
        </w:rPr>
        <w:drawing>
          <wp:inline distT="0" distB="0" distL="0" distR="0" wp14:anchorId="3DECC01B" wp14:editId="12F183F6">
            <wp:extent cx="3943350" cy="1968500"/>
            <wp:effectExtent l="0" t="0" r="0" b="12700"/>
            <wp:docPr id="104" name="Chart 10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703BCDD" w14:textId="77777777" w:rsidR="00BE3C4E" w:rsidRPr="007D46A5" w:rsidRDefault="00BE3C4E" w:rsidP="00BE3C4E">
      <w:pPr>
        <w:spacing w:after="0" w:line="240" w:lineRule="auto"/>
        <w:ind w:left="-142" w:firstLine="567"/>
        <w:jc w:val="center"/>
        <w:rPr>
          <w:szCs w:val="24"/>
          <w:lang w:eastAsia="lv-LV"/>
        </w:rPr>
      </w:pPr>
    </w:p>
    <w:p w14:paraId="44DB1E80" w14:textId="08A1BC65" w:rsidR="0099191B" w:rsidRDefault="0099191B" w:rsidP="00347D3B">
      <w:pPr>
        <w:spacing w:after="0" w:line="240" w:lineRule="auto"/>
        <w:jc w:val="both"/>
        <w:rPr>
          <w:rFonts w:eastAsia="Times New Roman" w:cs="Times New Roman"/>
          <w:bCs/>
          <w:szCs w:val="24"/>
          <w:lang w:eastAsia="lv-LV"/>
        </w:rPr>
      </w:pPr>
      <w:r w:rsidRPr="00CF2E3B">
        <w:rPr>
          <w:rFonts w:eastAsia="Times New Roman" w:cs="Times New Roman"/>
          <w:bCs/>
          <w:szCs w:val="24"/>
          <w:lang w:eastAsia="lv-LV"/>
        </w:rPr>
        <w:tab/>
      </w:r>
      <w:r>
        <w:rPr>
          <w:rFonts w:eastAsia="Times New Roman" w:cs="Times New Roman"/>
          <w:bCs/>
          <w:szCs w:val="24"/>
          <w:lang w:eastAsia="lv-LV"/>
        </w:rPr>
        <w:t>Tomēr 2020.</w:t>
      </w:r>
      <w:r w:rsidR="002B3B58">
        <w:rPr>
          <w:rFonts w:eastAsia="Times New Roman" w:cs="Times New Roman"/>
          <w:bCs/>
          <w:szCs w:val="24"/>
          <w:lang w:eastAsia="lv-LV"/>
        </w:rPr>
        <w:t> </w:t>
      </w:r>
      <w:r>
        <w:rPr>
          <w:rFonts w:eastAsia="Times New Roman" w:cs="Times New Roman"/>
          <w:bCs/>
          <w:szCs w:val="24"/>
          <w:lang w:eastAsia="lv-LV"/>
        </w:rPr>
        <w:t xml:space="preserve">gadā vērojams samazinājums tiesai </w:t>
      </w:r>
      <w:r w:rsidRPr="00CF2E3B">
        <w:rPr>
          <w:rFonts w:eastAsia="Times New Roman" w:cs="Times New Roman"/>
          <w:bCs/>
          <w:szCs w:val="24"/>
          <w:lang w:eastAsia="lv-LV"/>
        </w:rPr>
        <w:t>nodoto krimināl</w:t>
      </w:r>
      <w:r w:rsidR="002B3B58">
        <w:rPr>
          <w:rFonts w:eastAsia="Times New Roman" w:cs="Times New Roman"/>
          <w:bCs/>
          <w:szCs w:val="24"/>
          <w:lang w:eastAsia="lv-LV"/>
        </w:rPr>
        <w:t>lietu</w:t>
      </w:r>
      <w:r w:rsidRPr="00CF2E3B">
        <w:rPr>
          <w:rFonts w:eastAsia="Times New Roman" w:cs="Times New Roman"/>
          <w:bCs/>
          <w:szCs w:val="24"/>
          <w:lang w:eastAsia="lv-LV"/>
        </w:rPr>
        <w:t xml:space="preserve"> skaita ziņā</w:t>
      </w:r>
      <w:r>
        <w:rPr>
          <w:rFonts w:eastAsia="Times New Roman" w:cs="Times New Roman"/>
          <w:bCs/>
          <w:szCs w:val="24"/>
          <w:lang w:eastAsia="lv-LV"/>
        </w:rPr>
        <w:t xml:space="preserve">, un </w:t>
      </w:r>
      <w:r w:rsidRPr="00CF2E3B">
        <w:rPr>
          <w:rFonts w:eastAsia="Times New Roman" w:cs="Times New Roman"/>
          <w:bCs/>
          <w:szCs w:val="24"/>
          <w:lang w:eastAsia="lv-LV"/>
        </w:rPr>
        <w:t xml:space="preserve">galvenokārt </w:t>
      </w:r>
      <w:r>
        <w:rPr>
          <w:rFonts w:eastAsia="Times New Roman" w:cs="Times New Roman"/>
          <w:bCs/>
          <w:szCs w:val="24"/>
          <w:lang w:eastAsia="lv-LV"/>
        </w:rPr>
        <w:t xml:space="preserve">tas </w:t>
      </w:r>
      <w:r w:rsidRPr="00CF2E3B">
        <w:rPr>
          <w:rFonts w:eastAsia="Times New Roman" w:cs="Times New Roman"/>
          <w:bCs/>
          <w:szCs w:val="24"/>
          <w:lang w:eastAsia="lv-LV"/>
        </w:rPr>
        <w:t>saistīts ar pirmstiesas procesa ieilgšanu</w:t>
      </w:r>
      <w:r>
        <w:rPr>
          <w:rFonts w:eastAsia="Times New Roman" w:cs="Times New Roman"/>
          <w:bCs/>
          <w:szCs w:val="24"/>
          <w:lang w:eastAsia="lv-LV"/>
        </w:rPr>
        <w:t xml:space="preserve"> saistībā ar</w:t>
      </w:r>
      <w:r w:rsidRPr="00CF2E3B">
        <w:rPr>
          <w:rFonts w:eastAsia="Times New Roman" w:cs="Times New Roman"/>
          <w:bCs/>
          <w:szCs w:val="24"/>
          <w:lang w:eastAsia="lv-LV"/>
        </w:rPr>
        <w:t xml:space="preserve"> </w:t>
      </w:r>
      <w:r w:rsidR="002B3B58">
        <w:rPr>
          <w:rFonts w:eastAsia="Times New Roman" w:cs="Times New Roman"/>
          <w:bCs/>
          <w:szCs w:val="24"/>
          <w:lang w:eastAsia="lv-LV"/>
        </w:rPr>
        <w:t>Covid-</w:t>
      </w:r>
      <w:r>
        <w:rPr>
          <w:rFonts w:eastAsia="Times New Roman" w:cs="Times New Roman"/>
          <w:bCs/>
          <w:szCs w:val="24"/>
          <w:lang w:eastAsia="lv-LV"/>
        </w:rPr>
        <w:t>19 ierobežojumiem. Norādāms, ka visā 2020.</w:t>
      </w:r>
      <w:r w:rsidR="002B3B58">
        <w:rPr>
          <w:rFonts w:eastAsia="Times New Roman" w:cs="Times New Roman"/>
          <w:bCs/>
          <w:szCs w:val="24"/>
          <w:lang w:eastAsia="lv-LV"/>
        </w:rPr>
        <w:t> </w:t>
      </w:r>
      <w:r>
        <w:rPr>
          <w:rFonts w:eastAsia="Times New Roman" w:cs="Times New Roman"/>
          <w:bCs/>
          <w:szCs w:val="24"/>
          <w:lang w:eastAsia="lv-LV"/>
        </w:rPr>
        <w:t>gada periodā lietā iesaistītās personas aktīvi izmantoja radušos situāciju un pie procesa virzītājiem neieradās. Vienlaicīgi atzīstams, ka šajā laikā prokurori – procesa virzītāji</w:t>
      </w:r>
      <w:r w:rsidR="002B3B58">
        <w:rPr>
          <w:rFonts w:eastAsia="Times New Roman" w:cs="Times New Roman"/>
          <w:bCs/>
          <w:szCs w:val="24"/>
          <w:lang w:eastAsia="lv-LV"/>
        </w:rPr>
        <w:t xml:space="preserve"> – </w:t>
      </w:r>
      <w:r>
        <w:rPr>
          <w:rFonts w:eastAsia="Times New Roman" w:cs="Times New Roman"/>
          <w:bCs/>
          <w:szCs w:val="24"/>
          <w:lang w:eastAsia="lv-LV"/>
        </w:rPr>
        <w:t xml:space="preserve">arvien aktīvāk izmantoja attālinātās kriminālprocesu pabeigšanas iespējas. </w:t>
      </w:r>
      <w:r>
        <w:rPr>
          <w:rFonts w:eastAsia="Times New Roman" w:cs="Times New Roman"/>
          <w:bCs/>
          <w:szCs w:val="24"/>
          <w:lang w:eastAsia="lv-LV"/>
        </w:rPr>
        <w:lastRenderedPageBreak/>
        <w:t>Proti</w:t>
      </w:r>
      <w:r w:rsidR="002B3B58">
        <w:rPr>
          <w:rFonts w:eastAsia="Times New Roman" w:cs="Times New Roman"/>
          <w:bCs/>
          <w:szCs w:val="24"/>
          <w:lang w:eastAsia="lv-LV"/>
        </w:rPr>
        <w:t>,</w:t>
      </w:r>
      <w:r>
        <w:rPr>
          <w:rFonts w:eastAsia="Times New Roman" w:cs="Times New Roman"/>
          <w:bCs/>
          <w:szCs w:val="24"/>
          <w:lang w:eastAsia="lv-LV"/>
        </w:rPr>
        <w:t xml:space="preserve"> lietas materiālu kopijas personām tika nosūtītas elektroniskā veidā, kā arī persona </w:t>
      </w:r>
      <w:r w:rsidR="002B3B58">
        <w:rPr>
          <w:rFonts w:eastAsia="Times New Roman" w:cs="Times New Roman"/>
          <w:bCs/>
          <w:szCs w:val="24"/>
          <w:lang w:eastAsia="lv-LV"/>
        </w:rPr>
        <w:t xml:space="preserve">saziņai </w:t>
      </w:r>
      <w:r>
        <w:rPr>
          <w:rFonts w:eastAsia="Times New Roman" w:cs="Times New Roman"/>
          <w:bCs/>
          <w:szCs w:val="24"/>
          <w:lang w:eastAsia="lv-LV"/>
        </w:rPr>
        <w:t>ar procesa virzītāju izmantoja attālinātās saziņas iespējas.</w:t>
      </w:r>
    </w:p>
    <w:p w14:paraId="6DDB3440" w14:textId="7E235D96" w:rsidR="0099191B" w:rsidRDefault="0099191B" w:rsidP="00347D3B">
      <w:pPr>
        <w:spacing w:after="0" w:line="240" w:lineRule="auto"/>
        <w:jc w:val="both"/>
        <w:rPr>
          <w:b/>
          <w:bCs/>
          <w:szCs w:val="24"/>
          <w:lang w:eastAsia="lv-LV"/>
        </w:rPr>
      </w:pPr>
    </w:p>
    <w:p w14:paraId="66F26419" w14:textId="04003DA1" w:rsidR="00347D3B" w:rsidRPr="009C2DA3" w:rsidRDefault="00347D3B" w:rsidP="00E329FC">
      <w:pPr>
        <w:pStyle w:val="ListParagraph"/>
        <w:numPr>
          <w:ilvl w:val="0"/>
          <w:numId w:val="49"/>
        </w:numPr>
        <w:spacing w:after="120" w:line="240" w:lineRule="auto"/>
        <w:ind w:left="714" w:hanging="357"/>
        <w:contextualSpacing w:val="0"/>
        <w:jc w:val="both"/>
        <w:rPr>
          <w:b/>
          <w:bCs/>
          <w:szCs w:val="24"/>
          <w:lang w:eastAsia="lv-LV"/>
        </w:rPr>
      </w:pPr>
      <w:r w:rsidRPr="009C2DA3">
        <w:rPr>
          <w:b/>
          <w:bCs/>
          <w:szCs w:val="24"/>
          <w:lang w:eastAsia="lv-LV"/>
        </w:rPr>
        <w:t>Prokuratūrā pabeigti kriminālprocesi, nenododot krimināllietu tiesai</w:t>
      </w:r>
    </w:p>
    <w:p w14:paraId="0D7066B3" w14:textId="5F7025C7" w:rsidR="0099191B" w:rsidRDefault="00347D3B" w:rsidP="00BE3C4E">
      <w:pPr>
        <w:spacing w:after="0"/>
        <w:jc w:val="center"/>
        <w:rPr>
          <w:szCs w:val="24"/>
          <w:lang w:eastAsia="lv-LV"/>
        </w:rPr>
      </w:pPr>
      <w:r>
        <w:rPr>
          <w:noProof/>
        </w:rPr>
        <w:drawing>
          <wp:inline distT="0" distB="0" distL="0" distR="0" wp14:anchorId="19A7B177" wp14:editId="6E7D7EA3">
            <wp:extent cx="3968750" cy="1816100"/>
            <wp:effectExtent l="0" t="0" r="12700" b="12700"/>
            <wp:docPr id="105" name="Chart 105">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6C663927" w14:textId="77777777" w:rsidR="00BE3C4E" w:rsidRPr="00CC1E8D" w:rsidRDefault="00BE3C4E" w:rsidP="00BE3C4E">
      <w:pPr>
        <w:spacing w:after="0"/>
        <w:jc w:val="center"/>
        <w:rPr>
          <w:szCs w:val="24"/>
          <w:lang w:eastAsia="lv-LV"/>
        </w:rPr>
      </w:pPr>
    </w:p>
    <w:p w14:paraId="26EB14D7" w14:textId="1944B3E2" w:rsidR="00D76B90" w:rsidRDefault="00175A5F" w:rsidP="00D76B90">
      <w:pPr>
        <w:spacing w:after="0" w:line="240" w:lineRule="auto"/>
        <w:jc w:val="both"/>
        <w:rPr>
          <w:szCs w:val="24"/>
          <w:lang w:eastAsia="lv-LV"/>
        </w:rPr>
      </w:pPr>
      <w:r>
        <w:rPr>
          <w:szCs w:val="24"/>
          <w:lang w:eastAsia="lv-LV"/>
        </w:rPr>
        <w:tab/>
        <w:t xml:space="preserve">Prokuratūrā pabeigto kriminālprocesu, nenododot krimināllietu tiesai, skaits </w:t>
      </w:r>
      <w:r w:rsidR="00D76B90">
        <w:rPr>
          <w:szCs w:val="24"/>
          <w:lang w:eastAsia="lv-LV"/>
        </w:rPr>
        <w:t xml:space="preserve">3 gadu periodā </w:t>
      </w:r>
      <w:r>
        <w:rPr>
          <w:szCs w:val="24"/>
          <w:lang w:eastAsia="lv-LV"/>
        </w:rPr>
        <w:t>ir bez būtiskām izmaiņām. Ievērojot Organizētās noziedzības un citu nozaru specializētās prokuratūras kompetenci un to, ka faktiski izmeklējamie noziedzīgie nodarījumi ir klasificējami kā smagi vai sevišķi smagi, tad</w:t>
      </w:r>
      <w:r w:rsidR="00D76B90">
        <w:rPr>
          <w:szCs w:val="24"/>
          <w:lang w:eastAsia="lv-LV"/>
        </w:rPr>
        <w:t xml:space="preserve"> prokuratūrā pabeigto kriminālprocesu skaits ir optimāls.</w:t>
      </w:r>
    </w:p>
    <w:p w14:paraId="04E1363A" w14:textId="4EE9FF10" w:rsidR="00D76B90" w:rsidRDefault="00D76B90" w:rsidP="00D76B90">
      <w:pPr>
        <w:spacing w:after="0" w:line="240" w:lineRule="auto"/>
        <w:jc w:val="both"/>
        <w:rPr>
          <w:szCs w:val="24"/>
          <w:lang w:eastAsia="lv-LV"/>
        </w:rPr>
      </w:pPr>
    </w:p>
    <w:p w14:paraId="7E7856B9" w14:textId="21AE4376" w:rsidR="0099191B" w:rsidRDefault="00D76B90" w:rsidP="00E329FC">
      <w:pPr>
        <w:pStyle w:val="ListParagraph"/>
        <w:numPr>
          <w:ilvl w:val="0"/>
          <w:numId w:val="49"/>
        </w:numPr>
        <w:spacing w:after="120" w:line="240" w:lineRule="auto"/>
        <w:ind w:left="714" w:hanging="357"/>
        <w:jc w:val="both"/>
        <w:rPr>
          <w:b/>
          <w:bCs/>
          <w:szCs w:val="24"/>
          <w:lang w:eastAsia="lv-LV"/>
        </w:rPr>
      </w:pPr>
      <w:r>
        <w:rPr>
          <w:b/>
          <w:bCs/>
          <w:szCs w:val="24"/>
          <w:lang w:eastAsia="lv-LV"/>
        </w:rPr>
        <w:t>Pabeigti kriminālprocesi par atsevišķiem noziedzīgiem nodarījumiem (īpaši aktuāli pēc apdraudējuma objekta)</w:t>
      </w:r>
    </w:p>
    <w:p w14:paraId="29F4E265" w14:textId="4C597828" w:rsidR="00160B0C" w:rsidRDefault="0099191B" w:rsidP="00BE3C4E">
      <w:pPr>
        <w:spacing w:after="0" w:line="240" w:lineRule="auto"/>
        <w:ind w:left="360" w:firstLine="65"/>
        <w:jc w:val="center"/>
        <w:rPr>
          <w:szCs w:val="24"/>
          <w:lang w:eastAsia="lv-LV"/>
        </w:rPr>
      </w:pPr>
      <w:r>
        <w:rPr>
          <w:noProof/>
        </w:rPr>
        <w:drawing>
          <wp:inline distT="0" distB="0" distL="0" distR="0" wp14:anchorId="7EE31121" wp14:editId="069D0C1D">
            <wp:extent cx="5353050" cy="2980266"/>
            <wp:effectExtent l="0" t="0" r="0" b="10795"/>
            <wp:docPr id="106" name="Chart 106">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E9AD24E" w14:textId="77777777" w:rsidR="00160B0C" w:rsidRDefault="00160B0C" w:rsidP="00160B0C">
      <w:pPr>
        <w:spacing w:after="0" w:line="240" w:lineRule="auto"/>
        <w:jc w:val="both"/>
        <w:rPr>
          <w:szCs w:val="24"/>
          <w:lang w:eastAsia="lv-LV"/>
        </w:rPr>
      </w:pPr>
    </w:p>
    <w:p w14:paraId="3C3022E0" w14:textId="3D12FDCB" w:rsidR="00E70B72" w:rsidRDefault="00160B0C" w:rsidP="00D31B5B">
      <w:pPr>
        <w:spacing w:after="0" w:line="240" w:lineRule="auto"/>
        <w:ind w:firstLine="720"/>
        <w:jc w:val="both"/>
        <w:rPr>
          <w:szCs w:val="24"/>
          <w:lang w:eastAsia="lv-LV"/>
        </w:rPr>
      </w:pPr>
      <w:r>
        <w:rPr>
          <w:szCs w:val="24"/>
          <w:lang w:eastAsia="lv-LV"/>
        </w:rPr>
        <w:t xml:space="preserve">Kā prioritāti Organizētās noziedzības un citu nozaru specializētā prokuratūra izvirzījusi noziedzīgu nodarījumu izmeklēšanu un kriminālvajāšanu </w:t>
      </w:r>
      <w:r w:rsidR="00523CE5">
        <w:rPr>
          <w:szCs w:val="24"/>
          <w:lang w:eastAsia="lv-LV"/>
        </w:rPr>
        <w:t>par noziedzīgi iegūtu līdzekļu legalizēšanu. Tā trīs gadu</w:t>
      </w:r>
      <w:r w:rsidR="00523CE5" w:rsidRPr="00523CE5">
        <w:rPr>
          <w:szCs w:val="24"/>
          <w:lang w:eastAsia="lv-LV"/>
        </w:rPr>
        <w:t xml:space="preserve"> </w:t>
      </w:r>
      <w:r w:rsidR="00523CE5">
        <w:rPr>
          <w:szCs w:val="24"/>
          <w:lang w:eastAsia="lv-LV"/>
        </w:rPr>
        <w:t xml:space="preserve">periodā tiesai nodotas 27 krimināllietas par noziedzīgi iegūtu līdzekļu legalizēšanu tostarp pieaudzis to tiesai nodoto krimināllietu skaits, kurā persona saukta pie kriminālatbildības tikai pēc Krimināllikuma 195. panta, proti, izmantota </w:t>
      </w:r>
      <w:proofErr w:type="spellStart"/>
      <w:r w:rsidR="00523CE5" w:rsidRPr="00E70B72">
        <w:rPr>
          <w:i/>
          <w:iCs/>
          <w:szCs w:val="24"/>
          <w:lang w:eastAsia="lv-LV"/>
        </w:rPr>
        <w:t>stand</w:t>
      </w:r>
      <w:r w:rsidR="007011E9" w:rsidRPr="00E70B72">
        <w:rPr>
          <w:i/>
          <w:iCs/>
          <w:szCs w:val="24"/>
          <w:lang w:eastAsia="lv-LV"/>
        </w:rPr>
        <w:t>-</w:t>
      </w:r>
      <w:r w:rsidR="00523CE5" w:rsidRPr="00E70B72">
        <w:rPr>
          <w:i/>
          <w:iCs/>
          <w:szCs w:val="24"/>
          <w:lang w:eastAsia="lv-LV"/>
        </w:rPr>
        <w:t>alone</w:t>
      </w:r>
      <w:proofErr w:type="spellEnd"/>
      <w:r w:rsidR="00523CE5">
        <w:rPr>
          <w:szCs w:val="24"/>
          <w:lang w:eastAsia="lv-LV"/>
        </w:rPr>
        <w:t xml:space="preserve"> pierādīšanas metodika. Savukārt noziedzīgie nodarījumi narkotiku nelikumīgas aprites jomā pārsvarā saistīt</w:t>
      </w:r>
      <w:r w:rsidR="00B22BF5">
        <w:rPr>
          <w:szCs w:val="24"/>
          <w:lang w:eastAsia="lv-LV"/>
        </w:rPr>
        <w:t>i</w:t>
      </w:r>
      <w:r w:rsidR="00523CE5">
        <w:rPr>
          <w:szCs w:val="24"/>
          <w:lang w:eastAsia="lv-LV"/>
        </w:rPr>
        <w:t xml:space="preserve"> ar vielu pārvietošanu pāri valsts robežai</w:t>
      </w:r>
      <w:r w:rsidR="00B22BF5">
        <w:rPr>
          <w:szCs w:val="24"/>
          <w:lang w:eastAsia="lv-LV"/>
        </w:rPr>
        <w:t xml:space="preserve"> </w:t>
      </w:r>
      <w:r w:rsidR="00CB3277">
        <w:rPr>
          <w:szCs w:val="24"/>
          <w:lang w:eastAsia="lv-LV"/>
        </w:rPr>
        <w:t>un</w:t>
      </w:r>
      <w:r w:rsidR="00523CE5">
        <w:rPr>
          <w:szCs w:val="24"/>
          <w:lang w:eastAsia="lv-LV"/>
        </w:rPr>
        <w:t xml:space="preserve"> marihuānas</w:t>
      </w:r>
      <w:r w:rsidR="00CB3277">
        <w:rPr>
          <w:szCs w:val="24"/>
          <w:lang w:eastAsia="lv-LV"/>
        </w:rPr>
        <w:t xml:space="preserve"> audzēšanu lielās platībās.</w:t>
      </w:r>
    </w:p>
    <w:p w14:paraId="7102EE40" w14:textId="77777777" w:rsidR="00F62B7E" w:rsidRDefault="00F62B7E" w:rsidP="00CB3277">
      <w:pPr>
        <w:spacing w:after="0" w:line="240" w:lineRule="auto"/>
        <w:jc w:val="both"/>
        <w:rPr>
          <w:szCs w:val="24"/>
          <w:lang w:eastAsia="lv-LV"/>
        </w:rPr>
      </w:pPr>
    </w:p>
    <w:p w14:paraId="59719C6C" w14:textId="3A56F35A" w:rsidR="0099191B" w:rsidRPr="00EC0B41" w:rsidRDefault="00B27416" w:rsidP="00E329FC">
      <w:pPr>
        <w:pStyle w:val="ListParagraph"/>
        <w:numPr>
          <w:ilvl w:val="0"/>
          <w:numId w:val="49"/>
        </w:numPr>
        <w:spacing w:after="120" w:line="240" w:lineRule="auto"/>
        <w:ind w:left="714" w:hanging="357"/>
        <w:jc w:val="both"/>
        <w:rPr>
          <w:b/>
          <w:bCs/>
          <w:szCs w:val="24"/>
          <w:lang w:eastAsia="lv-LV"/>
        </w:rPr>
      </w:pPr>
      <w:r w:rsidRPr="00EC0B41">
        <w:rPr>
          <w:b/>
          <w:bCs/>
          <w:szCs w:val="24"/>
          <w:lang w:eastAsia="lv-LV"/>
        </w:rPr>
        <w:lastRenderedPageBreak/>
        <w:t xml:space="preserve"> </w:t>
      </w:r>
      <w:r w:rsidR="00E70B72" w:rsidRPr="00EC0B41">
        <w:rPr>
          <w:b/>
          <w:bCs/>
          <w:szCs w:val="24"/>
          <w:lang w:eastAsia="lv-LV"/>
        </w:rPr>
        <w:t>Prokuroru u</w:t>
      </w:r>
      <w:r w:rsidR="00CB3277" w:rsidRPr="00EC0B41">
        <w:rPr>
          <w:b/>
          <w:bCs/>
          <w:szCs w:val="24"/>
          <w:lang w:eastAsia="lv-LV"/>
        </w:rPr>
        <w:t>zraudzībā pieņemti kriminālproces</w:t>
      </w:r>
      <w:r w:rsidR="00E70B72" w:rsidRPr="00EC0B41">
        <w:rPr>
          <w:b/>
          <w:bCs/>
          <w:szCs w:val="24"/>
          <w:lang w:eastAsia="lv-LV"/>
        </w:rPr>
        <w:t>i</w:t>
      </w:r>
    </w:p>
    <w:p w14:paraId="768AB153" w14:textId="3F20FEE4" w:rsidR="0099191B" w:rsidRDefault="0099191B" w:rsidP="00004F26">
      <w:pPr>
        <w:spacing w:after="0" w:line="240" w:lineRule="auto"/>
        <w:jc w:val="center"/>
        <w:rPr>
          <w:szCs w:val="24"/>
          <w:lang w:eastAsia="lv-LV"/>
        </w:rPr>
      </w:pPr>
      <w:r>
        <w:rPr>
          <w:noProof/>
        </w:rPr>
        <w:drawing>
          <wp:inline distT="0" distB="0" distL="0" distR="0" wp14:anchorId="0CDBF23E" wp14:editId="1FC74ABE">
            <wp:extent cx="3975100" cy="1648691"/>
            <wp:effectExtent l="0" t="0" r="6350" b="8890"/>
            <wp:docPr id="108" name="Chart 108">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6FDF4545" w14:textId="77777777" w:rsidR="00D31B5B" w:rsidRDefault="00D31B5B" w:rsidP="00D31B5B">
      <w:pPr>
        <w:spacing w:after="0" w:line="240" w:lineRule="auto"/>
        <w:ind w:left="-142" w:firstLine="567"/>
        <w:jc w:val="center"/>
        <w:rPr>
          <w:szCs w:val="24"/>
          <w:lang w:eastAsia="lv-LV"/>
        </w:rPr>
      </w:pPr>
    </w:p>
    <w:p w14:paraId="03D9E1F8" w14:textId="0F4A909D" w:rsidR="003E6A36" w:rsidRDefault="0099191B" w:rsidP="003D3545">
      <w:pPr>
        <w:pStyle w:val="NoSpacing"/>
        <w:ind w:firstLine="720"/>
        <w:jc w:val="both"/>
      </w:pPr>
      <w:r>
        <w:t>O</w:t>
      </w:r>
      <w:r w:rsidR="00483B99">
        <w:t>rganizētās noziedzības un citu nozaru specializēt</w:t>
      </w:r>
      <w:r w:rsidR="003B32A0">
        <w:t>ās</w:t>
      </w:r>
      <w:r w:rsidR="00483B99">
        <w:t xml:space="preserve"> prokuratūr</w:t>
      </w:r>
      <w:r w:rsidR="003B32A0">
        <w:t>as prokuroru uzraudzībā pieņemto kriminālprocesu skaits</w:t>
      </w:r>
      <w:r>
        <w:t xml:space="preserve"> 2020.</w:t>
      </w:r>
      <w:r w:rsidR="00483B99">
        <w:t> </w:t>
      </w:r>
      <w:r>
        <w:t>gadā samazināj</w:t>
      </w:r>
      <w:r w:rsidR="00B650A6">
        <w:t>ies</w:t>
      </w:r>
      <w:r>
        <w:t xml:space="preserve"> par 40 kriminālprocesiem, kas saistīts ar slodzes izmaiņām V</w:t>
      </w:r>
      <w:r w:rsidR="00483B99">
        <w:t>alsts policijas Ekonomisko noziegumu apkarošanas pārvaldē</w:t>
      </w:r>
      <w:r>
        <w:t>, nosūtot reģionālajām izmeklēšanas iestādēm Finanšu izlūkošanas dienesta ziņojumu un atzinumu būtisku apjomu. Šī brīža tendence par 2021.</w:t>
      </w:r>
      <w:r w:rsidR="00483B99">
        <w:t> </w:t>
      </w:r>
      <w:r>
        <w:t xml:space="preserve">gadu liecina, ka </w:t>
      </w:r>
      <w:r w:rsidR="00483B99">
        <w:t xml:space="preserve">prokuroru </w:t>
      </w:r>
      <w:r>
        <w:t xml:space="preserve">uzraudzībā pieņemto kriminālprocesu skaits atkal palielināsies. </w:t>
      </w:r>
      <w:r w:rsidR="002405EB">
        <w:t xml:space="preserve">Jāatzīmē, ka </w:t>
      </w:r>
      <w:r w:rsidR="00230C41">
        <w:t>Organizētās noziedzības un citu nozaru specializētās prokuratūras</w:t>
      </w:r>
      <w:r>
        <w:t xml:space="preserve"> prokuroru uzraudzībā esošo aktīvo kriminālprocesu skaits jau ilgstoši pārsniedz maksimāli pieļaujamo slodzes apjomu.</w:t>
      </w:r>
    </w:p>
    <w:p w14:paraId="4410F2E8" w14:textId="4CA053C5" w:rsidR="00845252" w:rsidRDefault="00774E91" w:rsidP="003D3545">
      <w:pPr>
        <w:pStyle w:val="NoSpacing"/>
        <w:ind w:firstLine="720"/>
        <w:jc w:val="both"/>
        <w:rPr>
          <w:lang w:eastAsia="lv-LV"/>
        </w:rPr>
      </w:pPr>
      <w:r>
        <w:rPr>
          <w:lang w:eastAsia="lv-LV"/>
        </w:rPr>
        <w:t>Organizētās noziedzības un citu nozaru specializētās prokuratūras</w:t>
      </w:r>
      <w:r w:rsidR="0099191B" w:rsidRPr="00B02194">
        <w:rPr>
          <w:lang w:eastAsia="lv-LV"/>
        </w:rPr>
        <w:t xml:space="preserve"> prokurori pārsvarā realizē uzraudzību kriminālprocesus, kuri uzsākti Valsts policijas Ekonomisko noziegumu </w:t>
      </w:r>
      <w:r w:rsidR="00034C36">
        <w:rPr>
          <w:lang w:eastAsia="lv-LV"/>
        </w:rPr>
        <w:t>apkarošanas</w:t>
      </w:r>
      <w:r w:rsidR="0099191B" w:rsidRPr="00B02194">
        <w:rPr>
          <w:lang w:eastAsia="lv-LV"/>
        </w:rPr>
        <w:t xml:space="preserve"> pārvaldē</w:t>
      </w:r>
      <w:r w:rsidR="00230C41">
        <w:rPr>
          <w:lang w:eastAsia="lv-LV"/>
        </w:rPr>
        <w:t>,</w:t>
      </w:r>
      <w:r w:rsidR="0099191B" w:rsidRPr="00B02194">
        <w:rPr>
          <w:lang w:eastAsia="lv-LV"/>
        </w:rPr>
        <w:t xml:space="preserve"> Organizētās noziedzības apkarošanas pārvaldē un Nodokļu un muitas policijas pārvaldē</w:t>
      </w:r>
      <w:r w:rsidR="0099191B">
        <w:rPr>
          <w:lang w:eastAsia="lv-LV"/>
        </w:rPr>
        <w:t xml:space="preserve">. </w:t>
      </w:r>
      <w:r w:rsidR="0099191B" w:rsidRPr="00B02194">
        <w:rPr>
          <w:lang w:eastAsia="lv-LV"/>
        </w:rPr>
        <w:t xml:space="preserve">Analizējot prokuroru darba rādītājus, norādāms, ka vidēji </w:t>
      </w:r>
      <w:r w:rsidR="00435C10">
        <w:rPr>
          <w:lang w:eastAsia="lv-LV"/>
        </w:rPr>
        <w:t>Organizētās noziedzības un citu nozaru specializētās prokuratūras</w:t>
      </w:r>
      <w:r w:rsidR="00435C10" w:rsidRPr="00B02194">
        <w:rPr>
          <w:lang w:eastAsia="lv-LV"/>
        </w:rPr>
        <w:t xml:space="preserve"> </w:t>
      </w:r>
      <w:r w:rsidR="0099191B" w:rsidRPr="00B02194">
        <w:rPr>
          <w:lang w:eastAsia="lv-LV"/>
        </w:rPr>
        <w:t>prokurora uzraudzībā atrodas 20-50 kriminālprocesi, kuros aktīvi tiek realizēta izmeklēšanas uzraudzība. Pārsvarā kriminālprocesos kvalifikācija noteikta pēc Krimināllikuma 154</w:t>
      </w:r>
      <w:r w:rsidR="00435C10">
        <w:rPr>
          <w:lang w:eastAsia="lv-LV"/>
        </w:rPr>
        <w:t>.</w:t>
      </w:r>
      <w:r w:rsidR="00435C10">
        <w:rPr>
          <w:vertAlign w:val="superscript"/>
          <w:lang w:eastAsia="lv-LV"/>
        </w:rPr>
        <w:t>.1</w:t>
      </w:r>
      <w:r w:rsidR="00435C10">
        <w:rPr>
          <w:lang w:eastAsia="lv-LV"/>
        </w:rPr>
        <w:t>,</w:t>
      </w:r>
      <w:r w:rsidR="0099191B" w:rsidRPr="00B02194">
        <w:rPr>
          <w:lang w:eastAsia="lv-LV"/>
        </w:rPr>
        <w:t xml:space="preserve"> 165.</w:t>
      </w:r>
      <w:r w:rsidR="00435C10" w:rsidRPr="00435C10">
        <w:rPr>
          <w:vertAlign w:val="superscript"/>
          <w:lang w:eastAsia="lv-LV"/>
        </w:rPr>
        <w:t>1</w:t>
      </w:r>
      <w:r w:rsidR="00435C10">
        <w:rPr>
          <w:lang w:eastAsia="lv-LV"/>
        </w:rPr>
        <w:t>,</w:t>
      </w:r>
      <w:r w:rsidR="0099191B" w:rsidRPr="00B02194">
        <w:rPr>
          <w:lang w:eastAsia="lv-LV"/>
        </w:rPr>
        <w:t xml:space="preserve"> 177.</w:t>
      </w:r>
      <w:r w:rsidR="004F7313">
        <w:rPr>
          <w:lang w:eastAsia="lv-LV"/>
        </w:rPr>
        <w:t>,</w:t>
      </w:r>
      <w:r w:rsidR="0099191B" w:rsidRPr="00B02194">
        <w:rPr>
          <w:lang w:eastAsia="lv-LV"/>
        </w:rPr>
        <w:t xml:space="preserve"> 190.</w:t>
      </w:r>
      <w:r w:rsidR="004F7313">
        <w:rPr>
          <w:lang w:eastAsia="lv-LV"/>
        </w:rPr>
        <w:t>,</w:t>
      </w:r>
      <w:r w:rsidR="0099191B" w:rsidRPr="00B02194">
        <w:rPr>
          <w:lang w:eastAsia="lv-LV"/>
        </w:rPr>
        <w:t xml:space="preserve"> 190.</w:t>
      </w:r>
      <w:r w:rsidR="004F7313" w:rsidRPr="004F7313">
        <w:rPr>
          <w:vertAlign w:val="superscript"/>
          <w:lang w:eastAsia="lv-LV"/>
        </w:rPr>
        <w:t>1</w:t>
      </w:r>
      <w:r w:rsidR="004F7313">
        <w:rPr>
          <w:lang w:eastAsia="lv-LV"/>
        </w:rPr>
        <w:t>,</w:t>
      </w:r>
      <w:r w:rsidR="0099191B" w:rsidRPr="00B02194">
        <w:rPr>
          <w:lang w:eastAsia="lv-LV"/>
        </w:rPr>
        <w:t xml:space="preserve"> 195.</w:t>
      </w:r>
      <w:r w:rsidR="004F7313">
        <w:rPr>
          <w:lang w:eastAsia="lv-LV"/>
        </w:rPr>
        <w:t>,</w:t>
      </w:r>
      <w:r w:rsidR="0099191B" w:rsidRPr="00B02194">
        <w:rPr>
          <w:lang w:eastAsia="lv-LV"/>
        </w:rPr>
        <w:t xml:space="preserve"> 218.</w:t>
      </w:r>
      <w:r w:rsidR="004F7313">
        <w:rPr>
          <w:lang w:eastAsia="lv-LV"/>
        </w:rPr>
        <w:t> panta.</w:t>
      </w:r>
      <w:r w:rsidR="0099191B" w:rsidRPr="00B02194">
        <w:rPr>
          <w:lang w:eastAsia="lv-LV"/>
        </w:rPr>
        <w:t xml:space="preserve"> </w:t>
      </w:r>
      <w:r w:rsidR="0099191B">
        <w:rPr>
          <w:lang w:eastAsia="lv-LV"/>
        </w:rPr>
        <w:t>Īpaši norādāms</w:t>
      </w:r>
      <w:r w:rsidR="00F62B7E">
        <w:rPr>
          <w:lang w:eastAsia="lv-LV"/>
        </w:rPr>
        <w:t>,</w:t>
      </w:r>
      <w:r w:rsidR="0099191B">
        <w:rPr>
          <w:lang w:eastAsia="lv-LV"/>
        </w:rPr>
        <w:t xml:space="preserve"> ka </w:t>
      </w:r>
      <w:r w:rsidR="004F7313">
        <w:rPr>
          <w:lang w:eastAsia="lv-LV"/>
        </w:rPr>
        <w:t>Organizētās noziedzības un citu nozaru specializētās prokuratūras</w:t>
      </w:r>
      <w:r w:rsidR="0099191B">
        <w:rPr>
          <w:lang w:eastAsia="lv-LV"/>
        </w:rPr>
        <w:t xml:space="preserve"> prokurori realizē uzraudzību 480 kriminālprocesos, kuros kvalifikācija noteikta pēc Krimināllikuma</w:t>
      </w:r>
      <w:r w:rsidR="004F7313">
        <w:rPr>
          <w:lang w:eastAsia="lv-LV"/>
        </w:rPr>
        <w:t xml:space="preserve"> </w:t>
      </w:r>
      <w:r w:rsidR="0099191B">
        <w:rPr>
          <w:lang w:eastAsia="lv-LV"/>
        </w:rPr>
        <w:t>195.</w:t>
      </w:r>
      <w:r w:rsidR="004F7313">
        <w:rPr>
          <w:lang w:eastAsia="lv-LV"/>
        </w:rPr>
        <w:t> </w:t>
      </w:r>
      <w:r w:rsidR="0099191B">
        <w:rPr>
          <w:lang w:eastAsia="lv-LV"/>
        </w:rPr>
        <w:t xml:space="preserve">panta. </w:t>
      </w:r>
      <w:r w:rsidR="0099191B" w:rsidRPr="00B02194">
        <w:rPr>
          <w:lang w:eastAsia="lv-LV"/>
        </w:rPr>
        <w:t xml:space="preserve">Ievērojot uzraudzībā esošo kriminālprocesu aktualitāti un to, ka jau kriminālprocesa uzsākšanas stadijā </w:t>
      </w:r>
      <w:r w:rsidR="00E64091">
        <w:rPr>
          <w:lang w:eastAsia="lv-LV"/>
        </w:rPr>
        <w:t xml:space="preserve">sākas arī </w:t>
      </w:r>
      <w:r w:rsidR="0099191B" w:rsidRPr="00B02194">
        <w:rPr>
          <w:lang w:eastAsia="lv-LV"/>
        </w:rPr>
        <w:t>procesuāl</w:t>
      </w:r>
      <w:r w:rsidR="00E64091">
        <w:rPr>
          <w:lang w:eastAsia="lv-LV"/>
        </w:rPr>
        <w:t>o</w:t>
      </w:r>
      <w:r w:rsidR="0099191B" w:rsidRPr="00B02194">
        <w:rPr>
          <w:lang w:eastAsia="lv-LV"/>
        </w:rPr>
        <w:t xml:space="preserve"> termiņ</w:t>
      </w:r>
      <w:r w:rsidR="00E64091">
        <w:rPr>
          <w:lang w:eastAsia="lv-LV"/>
        </w:rPr>
        <w:t>u tecējums</w:t>
      </w:r>
      <w:r w:rsidR="0099191B" w:rsidRPr="00B02194">
        <w:rPr>
          <w:lang w:eastAsia="lv-LV"/>
        </w:rPr>
        <w:t xml:space="preserve"> (pieņemts lēmums par aresta uzlikšanu mantai; procesā iesaistītas personas</w:t>
      </w:r>
      <w:r w:rsidR="004F7313">
        <w:rPr>
          <w:lang w:eastAsia="lv-LV"/>
        </w:rPr>
        <w:t xml:space="preserve">, kurām ir </w:t>
      </w:r>
      <w:r w:rsidR="0099191B" w:rsidRPr="00B02194">
        <w:rPr>
          <w:lang w:eastAsia="lv-LV"/>
        </w:rPr>
        <w:t xml:space="preserve"> tiesīb</w:t>
      </w:r>
      <w:r w:rsidR="004F7313">
        <w:rPr>
          <w:lang w:eastAsia="lv-LV"/>
        </w:rPr>
        <w:t>as</w:t>
      </w:r>
      <w:r w:rsidR="0099191B" w:rsidRPr="00B02194">
        <w:rPr>
          <w:lang w:eastAsia="lv-LV"/>
        </w:rPr>
        <w:t xml:space="preserve"> uz aizstāvību), tad šo procesu uzraudzībā prokurori iegulda lielus laika resursus. Turklāt šo lietu apspriede</w:t>
      </w:r>
      <w:r w:rsidR="004F7313">
        <w:rPr>
          <w:lang w:eastAsia="lv-LV"/>
        </w:rPr>
        <w:t>s</w:t>
      </w:r>
      <w:r w:rsidR="0099191B" w:rsidRPr="00B02194">
        <w:rPr>
          <w:lang w:eastAsia="lv-LV"/>
        </w:rPr>
        <w:t xml:space="preserve"> regulāri notiek gan pie virsprokurora, gan pie amatā augstāka prokurora.</w:t>
      </w:r>
      <w:r w:rsidR="0099191B">
        <w:rPr>
          <w:lang w:eastAsia="lv-LV"/>
        </w:rPr>
        <w:t xml:space="preserve"> Nepieciešamības gadījumā ar virsprokurora rīkojumu izveidota prokuroru grupa optimālai izmeklēšanas uzraudzībai.</w:t>
      </w:r>
    </w:p>
    <w:p w14:paraId="0184E248" w14:textId="4FBC895F" w:rsidR="00845252" w:rsidRDefault="00845252" w:rsidP="00845252">
      <w:pPr>
        <w:tabs>
          <w:tab w:val="left" w:pos="909"/>
        </w:tabs>
        <w:spacing w:after="0" w:line="240" w:lineRule="auto"/>
        <w:jc w:val="both"/>
        <w:rPr>
          <w:szCs w:val="24"/>
          <w:lang w:eastAsia="lv-LV"/>
        </w:rPr>
      </w:pPr>
    </w:p>
    <w:p w14:paraId="3ED81142" w14:textId="1D9F9F69" w:rsidR="0099191B" w:rsidRPr="009C2DA3" w:rsidRDefault="00740B31" w:rsidP="00E329FC">
      <w:pPr>
        <w:pStyle w:val="ListParagraph"/>
        <w:numPr>
          <w:ilvl w:val="0"/>
          <w:numId w:val="60"/>
        </w:numPr>
        <w:tabs>
          <w:tab w:val="left" w:pos="909"/>
        </w:tabs>
        <w:spacing w:after="120" w:line="240" w:lineRule="auto"/>
        <w:ind w:left="714" w:hanging="357"/>
        <w:jc w:val="both"/>
        <w:rPr>
          <w:b/>
          <w:bCs/>
          <w:szCs w:val="24"/>
          <w:lang w:eastAsia="lv-LV"/>
        </w:rPr>
      </w:pPr>
      <w:r w:rsidRPr="009C2DA3">
        <w:rPr>
          <w:b/>
          <w:bCs/>
          <w:szCs w:val="24"/>
          <w:lang w:eastAsia="lv-LV"/>
        </w:rPr>
        <w:t>Prokuroru dotie norādījumi</w:t>
      </w:r>
    </w:p>
    <w:p w14:paraId="5EE2B7C2" w14:textId="330E0F5C" w:rsidR="0099191B" w:rsidRDefault="0099191B" w:rsidP="00004F26">
      <w:pPr>
        <w:spacing w:after="0" w:line="240" w:lineRule="auto"/>
        <w:jc w:val="center"/>
        <w:rPr>
          <w:szCs w:val="24"/>
          <w:lang w:eastAsia="lv-LV"/>
        </w:rPr>
      </w:pPr>
      <w:r>
        <w:rPr>
          <w:noProof/>
        </w:rPr>
        <w:drawing>
          <wp:inline distT="0" distB="0" distL="0" distR="0" wp14:anchorId="3D80C087" wp14:editId="562A5FD4">
            <wp:extent cx="3956050" cy="1841500"/>
            <wp:effectExtent l="0" t="0" r="6350" b="6350"/>
            <wp:docPr id="109" name="Chart 109">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3D701C41" w14:textId="77777777" w:rsidR="00EC0B41" w:rsidRDefault="00EC0B41" w:rsidP="00EC0B41">
      <w:pPr>
        <w:spacing w:after="0" w:line="240" w:lineRule="auto"/>
        <w:ind w:left="-142" w:firstLine="567"/>
        <w:jc w:val="center"/>
        <w:rPr>
          <w:szCs w:val="24"/>
          <w:lang w:eastAsia="lv-LV"/>
        </w:rPr>
      </w:pPr>
    </w:p>
    <w:p w14:paraId="3AB07A47" w14:textId="4F2F7365" w:rsidR="0099191B" w:rsidRDefault="0099191B" w:rsidP="003E6A36">
      <w:pPr>
        <w:spacing w:after="0" w:line="240" w:lineRule="auto"/>
        <w:ind w:firstLine="720"/>
        <w:jc w:val="both"/>
        <w:rPr>
          <w:rFonts w:eastAsia="Times New Roman" w:cs="Times New Roman"/>
          <w:bCs/>
          <w:szCs w:val="24"/>
          <w:lang w:eastAsia="lv-LV"/>
        </w:rPr>
      </w:pPr>
      <w:r w:rsidRPr="005D59F8">
        <w:rPr>
          <w:rFonts w:eastAsia="Times New Roman" w:cs="Times New Roman"/>
          <w:bCs/>
          <w:szCs w:val="24"/>
          <w:lang w:eastAsia="lv-LV"/>
        </w:rPr>
        <w:t xml:space="preserve">Prokuroru doto norādījumu skaits ik gadu </w:t>
      </w:r>
      <w:r>
        <w:rPr>
          <w:rFonts w:eastAsia="Times New Roman" w:cs="Times New Roman"/>
          <w:bCs/>
          <w:szCs w:val="24"/>
          <w:lang w:eastAsia="lv-LV"/>
        </w:rPr>
        <w:t>palielinās. Tas saistāms gan ar izmeklētāju</w:t>
      </w:r>
      <w:r w:rsidR="00A83BED">
        <w:rPr>
          <w:rFonts w:eastAsia="Times New Roman" w:cs="Times New Roman"/>
          <w:bCs/>
          <w:szCs w:val="24"/>
          <w:lang w:eastAsia="lv-LV"/>
        </w:rPr>
        <w:t xml:space="preserve"> maiņu</w:t>
      </w:r>
      <w:r w:rsidR="0045735D">
        <w:rPr>
          <w:rFonts w:eastAsia="Times New Roman" w:cs="Times New Roman"/>
          <w:bCs/>
          <w:szCs w:val="24"/>
          <w:lang w:eastAsia="lv-LV"/>
        </w:rPr>
        <w:t>,</w:t>
      </w:r>
      <w:r>
        <w:rPr>
          <w:rFonts w:eastAsia="Times New Roman" w:cs="Times New Roman"/>
          <w:bCs/>
          <w:szCs w:val="24"/>
          <w:lang w:eastAsia="lv-LV"/>
        </w:rPr>
        <w:t xml:space="preserve"> gan </w:t>
      </w:r>
      <w:r w:rsidR="00A83BED">
        <w:rPr>
          <w:rFonts w:eastAsia="Times New Roman" w:cs="Times New Roman"/>
          <w:bCs/>
          <w:szCs w:val="24"/>
          <w:lang w:eastAsia="lv-LV"/>
        </w:rPr>
        <w:t xml:space="preserve">arī ar </w:t>
      </w:r>
      <w:r>
        <w:rPr>
          <w:rFonts w:eastAsia="Times New Roman" w:cs="Times New Roman"/>
          <w:bCs/>
          <w:szCs w:val="24"/>
          <w:lang w:eastAsia="lv-LV"/>
        </w:rPr>
        <w:t xml:space="preserve">uzraugošo prokuroru maiņu, kas </w:t>
      </w:r>
      <w:r w:rsidR="0045735D">
        <w:rPr>
          <w:szCs w:val="24"/>
          <w:lang w:eastAsia="lv-LV"/>
        </w:rPr>
        <w:t>Organizētās noziedzības un citu nozaru specializētajā prokuratūrā</w:t>
      </w:r>
      <w:r w:rsidR="0045735D" w:rsidRPr="00B02194">
        <w:rPr>
          <w:szCs w:val="24"/>
          <w:lang w:eastAsia="lv-LV"/>
        </w:rPr>
        <w:t xml:space="preserve"> </w:t>
      </w:r>
      <w:r>
        <w:rPr>
          <w:rFonts w:eastAsia="Times New Roman" w:cs="Times New Roman"/>
          <w:bCs/>
          <w:szCs w:val="24"/>
          <w:lang w:eastAsia="lv-LV"/>
        </w:rPr>
        <w:t xml:space="preserve">ir samērā bieža. Atzīstams, ka apjomīgu norādījumu gadījumā </w:t>
      </w:r>
      <w:r>
        <w:rPr>
          <w:rFonts w:eastAsia="Times New Roman" w:cs="Times New Roman"/>
          <w:bCs/>
          <w:szCs w:val="24"/>
          <w:lang w:eastAsia="lv-LV"/>
        </w:rPr>
        <w:lastRenderedPageBreak/>
        <w:t xml:space="preserve">prokurori praktizē izskaidrot savu doto norādījumu nepieciešamību gan izmeklētājam, gan </w:t>
      </w:r>
      <w:r w:rsidR="00A83BED">
        <w:rPr>
          <w:rFonts w:eastAsia="Times New Roman" w:cs="Times New Roman"/>
          <w:bCs/>
          <w:szCs w:val="24"/>
          <w:lang w:eastAsia="lv-LV"/>
        </w:rPr>
        <w:t xml:space="preserve">viņa </w:t>
      </w:r>
      <w:r>
        <w:rPr>
          <w:rFonts w:eastAsia="Times New Roman" w:cs="Times New Roman"/>
          <w:bCs/>
          <w:szCs w:val="24"/>
          <w:lang w:eastAsia="lv-LV"/>
        </w:rPr>
        <w:t xml:space="preserve">tiešajiem priekšniekiem. Turklāt prokurori regulāri izmanto iespēju pašiem piedalīties izmeklēšanas darbībās, kas būtiski ietekmē </w:t>
      </w:r>
      <w:r w:rsidR="00A83BED">
        <w:rPr>
          <w:rFonts w:eastAsia="Times New Roman" w:cs="Times New Roman"/>
          <w:bCs/>
          <w:szCs w:val="24"/>
          <w:lang w:eastAsia="lv-LV"/>
        </w:rPr>
        <w:t>kriminālprocesa</w:t>
      </w:r>
      <w:r>
        <w:rPr>
          <w:rFonts w:eastAsia="Times New Roman" w:cs="Times New Roman"/>
          <w:bCs/>
          <w:szCs w:val="24"/>
          <w:lang w:eastAsia="lv-LV"/>
        </w:rPr>
        <w:t xml:space="preserve"> pareizu virzību.</w:t>
      </w:r>
    </w:p>
    <w:p w14:paraId="6A6ACDCB" w14:textId="1E65D85D" w:rsidR="00A83BED" w:rsidRDefault="00A83BED" w:rsidP="00A83BED">
      <w:pPr>
        <w:spacing w:after="0" w:line="240" w:lineRule="auto"/>
        <w:jc w:val="both"/>
        <w:rPr>
          <w:rFonts w:eastAsia="Times New Roman" w:cs="Times New Roman"/>
          <w:bCs/>
          <w:szCs w:val="24"/>
          <w:lang w:eastAsia="lv-LV"/>
        </w:rPr>
      </w:pPr>
    </w:p>
    <w:p w14:paraId="1F4FB662" w14:textId="5611A3A8" w:rsidR="0099191B" w:rsidRPr="009C2DA3" w:rsidRDefault="00106BEA" w:rsidP="00E329FC">
      <w:pPr>
        <w:pStyle w:val="ListParagraph"/>
        <w:numPr>
          <w:ilvl w:val="0"/>
          <w:numId w:val="60"/>
        </w:numPr>
        <w:spacing w:after="120" w:line="240" w:lineRule="auto"/>
        <w:ind w:left="714" w:hanging="357"/>
        <w:jc w:val="both"/>
        <w:rPr>
          <w:rFonts w:eastAsia="Times New Roman" w:cs="Times New Roman"/>
          <w:b/>
          <w:szCs w:val="24"/>
          <w:lang w:eastAsia="lv-LV"/>
        </w:rPr>
      </w:pPr>
      <w:r w:rsidRPr="009C2DA3">
        <w:rPr>
          <w:rFonts w:eastAsia="Times New Roman" w:cs="Times New Roman"/>
          <w:b/>
          <w:szCs w:val="24"/>
          <w:lang w:eastAsia="lv-LV"/>
        </w:rPr>
        <w:t xml:space="preserve">Valsts apsūdzības uzturēšana pirmās instances tiesā (izskatītas </w:t>
      </w:r>
      <w:r w:rsidR="00F62B7E">
        <w:rPr>
          <w:rFonts w:eastAsia="Times New Roman" w:cs="Times New Roman"/>
          <w:b/>
          <w:szCs w:val="24"/>
          <w:lang w:eastAsia="lv-LV"/>
        </w:rPr>
        <w:t>krimināl</w:t>
      </w:r>
      <w:r w:rsidRPr="009C2DA3">
        <w:rPr>
          <w:rFonts w:eastAsia="Times New Roman" w:cs="Times New Roman"/>
          <w:b/>
          <w:szCs w:val="24"/>
          <w:lang w:eastAsia="lv-LV"/>
        </w:rPr>
        <w:t>lietas), no tām ar pierādījumu pārbaudi</w:t>
      </w:r>
    </w:p>
    <w:p w14:paraId="5014971B" w14:textId="7A29A3A0" w:rsidR="0099191B" w:rsidRDefault="0099191B" w:rsidP="00004F26">
      <w:pPr>
        <w:spacing w:line="240" w:lineRule="auto"/>
        <w:jc w:val="center"/>
        <w:rPr>
          <w:szCs w:val="24"/>
          <w:lang w:eastAsia="lv-LV"/>
        </w:rPr>
      </w:pPr>
      <w:r>
        <w:rPr>
          <w:noProof/>
        </w:rPr>
        <w:drawing>
          <wp:inline distT="0" distB="0" distL="0" distR="0" wp14:anchorId="753008B9" wp14:editId="266B6AC7">
            <wp:extent cx="3968750" cy="1885950"/>
            <wp:effectExtent l="0" t="0" r="12700" b="0"/>
            <wp:docPr id="110" name="Chart 110">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1DA1B9D3" w14:textId="071EB1E3" w:rsidR="00FF5736" w:rsidRDefault="008F5BD1" w:rsidP="003E6A36">
      <w:pPr>
        <w:spacing w:after="0" w:line="240" w:lineRule="auto"/>
        <w:ind w:firstLine="720"/>
        <w:jc w:val="both"/>
        <w:rPr>
          <w:bCs/>
          <w:szCs w:val="24"/>
        </w:rPr>
      </w:pPr>
      <w:r>
        <w:rPr>
          <w:bCs/>
          <w:szCs w:val="24"/>
        </w:rPr>
        <w:t>Valstī noteiktie pasākumi pandēmijas izplatības ierobežošanai atstājuši vistiešāko ietekmi uz pirmās instances tiesā iztiesāto</w:t>
      </w:r>
      <w:r w:rsidR="00FF5736">
        <w:rPr>
          <w:bCs/>
          <w:szCs w:val="24"/>
        </w:rPr>
        <w:t xml:space="preserve"> krimināllietu skaitu. Samazinājums salīdzinājumā ar 2019. gadu vērtējams kā būtisks un raksturo iztiesāšanā esošo </w:t>
      </w:r>
      <w:r w:rsidR="00F62B7E">
        <w:rPr>
          <w:bCs/>
          <w:szCs w:val="24"/>
        </w:rPr>
        <w:t>krimināl</w:t>
      </w:r>
      <w:r w:rsidR="00FF5736">
        <w:rPr>
          <w:bCs/>
          <w:szCs w:val="24"/>
        </w:rPr>
        <w:t xml:space="preserve">lietu uzkrājumu uz turpmākajiem periodiem. Valsts apsūdzības uzturēšana pirmās instances tiesā prasa lielu prokurora darba laika resursu. Šajā sakarā Organizētās noziedzības un citu nozaru specializētajā prokuratūrā ir veiktas pārrunas ar valsts apsūdzības uzturētājiem un dotas norādes izvērtēt un nepieciešamības gadījumā apsvērt iespēju atteikties no to liecinieku uzaicināšanas uz tiesas sēdi, kuru liecības nav izšķirošas </w:t>
      </w:r>
      <w:r w:rsidR="00F62B7E">
        <w:rPr>
          <w:bCs/>
          <w:szCs w:val="24"/>
        </w:rPr>
        <w:t>krimināl</w:t>
      </w:r>
      <w:r w:rsidR="00FF5736">
        <w:rPr>
          <w:bCs/>
          <w:szCs w:val="24"/>
        </w:rPr>
        <w:t>lietas iznākumā. Īpaši tas attiecas uz krimināllietām, kas tiek iztiesātas par finanšu noziegumiem, kā arī nodarījumiem, kas saistīti ar sutenerismu.</w:t>
      </w:r>
    </w:p>
    <w:p w14:paraId="51783929" w14:textId="6062906B" w:rsidR="008F5BD1" w:rsidRDefault="008F5BD1" w:rsidP="008F5BD1">
      <w:pPr>
        <w:spacing w:after="0" w:line="240" w:lineRule="auto"/>
        <w:jc w:val="both"/>
        <w:rPr>
          <w:bCs/>
          <w:szCs w:val="24"/>
        </w:rPr>
      </w:pPr>
    </w:p>
    <w:p w14:paraId="3003456F" w14:textId="0FB41216" w:rsidR="0099191B" w:rsidRDefault="00FF5736" w:rsidP="00E329FC">
      <w:pPr>
        <w:pStyle w:val="ListParagraph"/>
        <w:numPr>
          <w:ilvl w:val="0"/>
          <w:numId w:val="60"/>
        </w:numPr>
        <w:spacing w:after="120" w:line="240" w:lineRule="auto"/>
        <w:jc w:val="both"/>
        <w:rPr>
          <w:b/>
          <w:szCs w:val="24"/>
        </w:rPr>
      </w:pPr>
      <w:r w:rsidRPr="00004F26">
        <w:rPr>
          <w:b/>
          <w:szCs w:val="24"/>
        </w:rPr>
        <w:t xml:space="preserve">Valsts apsūdzības uzturēšana apelācijas instances tiesā (izskatītas </w:t>
      </w:r>
      <w:r w:rsidR="00F62B7E" w:rsidRPr="00004F26">
        <w:rPr>
          <w:b/>
          <w:szCs w:val="24"/>
        </w:rPr>
        <w:t>krimināl</w:t>
      </w:r>
      <w:r w:rsidRPr="00004F26">
        <w:rPr>
          <w:b/>
          <w:szCs w:val="24"/>
        </w:rPr>
        <w:t>lietas), no tām mutvārdu/rakstveida</w:t>
      </w:r>
    </w:p>
    <w:p w14:paraId="088B7C9C" w14:textId="6945BE81" w:rsidR="0099191B" w:rsidRDefault="0099191B" w:rsidP="00004F26">
      <w:pPr>
        <w:spacing w:after="0" w:line="240" w:lineRule="auto"/>
        <w:jc w:val="center"/>
        <w:rPr>
          <w:szCs w:val="24"/>
          <w:lang w:eastAsia="lv-LV"/>
        </w:rPr>
      </w:pPr>
      <w:r>
        <w:rPr>
          <w:noProof/>
        </w:rPr>
        <w:drawing>
          <wp:inline distT="0" distB="0" distL="0" distR="0" wp14:anchorId="717B333D" wp14:editId="098CFFAC">
            <wp:extent cx="3968750" cy="1735667"/>
            <wp:effectExtent l="0" t="0" r="12700" b="17145"/>
            <wp:docPr id="111" name="Chart 111">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4E9EDD77" w14:textId="5E3C62A3" w:rsidR="00D23FB8" w:rsidRDefault="00D23FB8" w:rsidP="00D23FB8">
      <w:pPr>
        <w:spacing w:after="0" w:line="240" w:lineRule="auto"/>
        <w:ind w:left="-142" w:firstLine="567"/>
        <w:jc w:val="both"/>
        <w:rPr>
          <w:szCs w:val="24"/>
          <w:lang w:eastAsia="lv-LV"/>
        </w:rPr>
      </w:pPr>
    </w:p>
    <w:p w14:paraId="6CC5E72F" w14:textId="09B52E11" w:rsidR="00D23FB8" w:rsidRPr="00004F26" w:rsidRDefault="00D23FB8" w:rsidP="00E329FC">
      <w:pPr>
        <w:pStyle w:val="ListParagraph"/>
        <w:numPr>
          <w:ilvl w:val="0"/>
          <w:numId w:val="60"/>
        </w:numPr>
        <w:spacing w:after="120" w:line="240" w:lineRule="auto"/>
        <w:jc w:val="both"/>
        <w:rPr>
          <w:b/>
          <w:szCs w:val="24"/>
        </w:rPr>
      </w:pPr>
      <w:r w:rsidRPr="00004F26">
        <w:rPr>
          <w:b/>
          <w:bCs/>
          <w:szCs w:val="24"/>
          <w:lang w:eastAsia="lv-LV"/>
        </w:rPr>
        <w:t>Iesniegti protesti, no tiem apmierināti</w:t>
      </w:r>
    </w:p>
    <w:p w14:paraId="6A381282" w14:textId="057FC63C" w:rsidR="0099191B" w:rsidRDefault="0099191B" w:rsidP="00004F26">
      <w:pPr>
        <w:spacing w:after="0" w:line="240" w:lineRule="auto"/>
        <w:jc w:val="center"/>
        <w:rPr>
          <w:szCs w:val="24"/>
          <w:lang w:eastAsia="lv-LV"/>
        </w:rPr>
      </w:pPr>
      <w:r>
        <w:rPr>
          <w:noProof/>
        </w:rPr>
        <w:drawing>
          <wp:inline distT="0" distB="0" distL="0" distR="0" wp14:anchorId="5511156D" wp14:editId="4B7C138C">
            <wp:extent cx="3956050" cy="1591734"/>
            <wp:effectExtent l="0" t="0" r="6350" b="8890"/>
            <wp:docPr id="112" name="Chart 112">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14AD18DD" w14:textId="3B01886D" w:rsidR="00A407CB" w:rsidRDefault="00A407CB" w:rsidP="00A407CB">
      <w:pPr>
        <w:spacing w:after="0" w:line="240" w:lineRule="auto"/>
        <w:jc w:val="both"/>
        <w:rPr>
          <w:szCs w:val="24"/>
          <w:lang w:eastAsia="lv-LV"/>
        </w:rPr>
      </w:pPr>
    </w:p>
    <w:p w14:paraId="44DB7F7F" w14:textId="4BF1BDF4" w:rsidR="00A407CB" w:rsidRPr="00004F26" w:rsidRDefault="00F23E62" w:rsidP="00E329FC">
      <w:pPr>
        <w:pStyle w:val="ListParagraph"/>
        <w:numPr>
          <w:ilvl w:val="0"/>
          <w:numId w:val="60"/>
        </w:numPr>
        <w:spacing w:after="120" w:line="240" w:lineRule="auto"/>
        <w:jc w:val="both"/>
        <w:rPr>
          <w:b/>
          <w:szCs w:val="24"/>
        </w:rPr>
      </w:pPr>
      <w:r w:rsidRPr="00004F26">
        <w:rPr>
          <w:b/>
          <w:bCs/>
          <w:szCs w:val="24"/>
          <w:lang w:eastAsia="lv-LV"/>
        </w:rPr>
        <w:t xml:space="preserve">Tiesā attaisnoto </w:t>
      </w:r>
      <w:r w:rsidR="00F62B7E" w:rsidRPr="00004F26">
        <w:rPr>
          <w:b/>
          <w:bCs/>
          <w:szCs w:val="24"/>
          <w:lang w:eastAsia="lv-LV"/>
        </w:rPr>
        <w:t>apsūdzēto</w:t>
      </w:r>
      <w:r w:rsidRPr="00004F26">
        <w:rPr>
          <w:b/>
          <w:bCs/>
          <w:szCs w:val="24"/>
          <w:lang w:eastAsia="lv-LV"/>
        </w:rPr>
        <w:t xml:space="preserve"> skaits</w:t>
      </w:r>
    </w:p>
    <w:p w14:paraId="7FEC909B" w14:textId="7A315826" w:rsidR="0099191B" w:rsidRDefault="0099191B" w:rsidP="00004F26">
      <w:pPr>
        <w:spacing w:after="0" w:line="240" w:lineRule="auto"/>
        <w:jc w:val="center"/>
        <w:rPr>
          <w:szCs w:val="24"/>
          <w:lang w:eastAsia="lv-LV"/>
        </w:rPr>
      </w:pPr>
      <w:r>
        <w:rPr>
          <w:noProof/>
        </w:rPr>
        <w:drawing>
          <wp:inline distT="0" distB="0" distL="0" distR="0" wp14:anchorId="5F539F8D" wp14:editId="251DF762">
            <wp:extent cx="4025323" cy="1517073"/>
            <wp:effectExtent l="0" t="0" r="13335" b="6985"/>
            <wp:docPr id="113" name="Chart 113">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4D63EB59" w14:textId="77777777" w:rsidR="00DC3B4A" w:rsidRDefault="00DC3B4A" w:rsidP="00DC3B4A">
      <w:pPr>
        <w:spacing w:after="0" w:line="240" w:lineRule="auto"/>
        <w:jc w:val="both"/>
        <w:rPr>
          <w:szCs w:val="24"/>
          <w:lang w:eastAsia="lv-LV"/>
        </w:rPr>
      </w:pPr>
    </w:p>
    <w:p w14:paraId="45189E30" w14:textId="4F890FFA" w:rsidR="00DC3B4A" w:rsidRDefault="00DC3B4A" w:rsidP="00B27416">
      <w:pPr>
        <w:spacing w:after="0" w:line="240" w:lineRule="auto"/>
        <w:ind w:firstLine="720"/>
        <w:jc w:val="both"/>
        <w:rPr>
          <w:bCs/>
          <w:szCs w:val="24"/>
        </w:rPr>
      </w:pPr>
      <w:r>
        <w:rPr>
          <w:szCs w:val="24"/>
          <w:lang w:eastAsia="lv-LV"/>
        </w:rPr>
        <w:t xml:space="preserve">Tiesā attaisnoto </w:t>
      </w:r>
      <w:r w:rsidR="00F62B7E">
        <w:rPr>
          <w:szCs w:val="24"/>
          <w:lang w:eastAsia="lv-LV"/>
        </w:rPr>
        <w:t>apsūdzēto</w:t>
      </w:r>
      <w:r>
        <w:rPr>
          <w:szCs w:val="24"/>
          <w:lang w:eastAsia="lv-LV"/>
        </w:rPr>
        <w:t xml:space="preserve"> skaits vērtējams kā zems. </w:t>
      </w:r>
      <w:r w:rsidR="00F62B7E">
        <w:rPr>
          <w:szCs w:val="24"/>
          <w:lang w:eastAsia="lv-LV"/>
        </w:rPr>
        <w:t xml:space="preserve">2020. gadā, vērtējot 1 apsūdzētā </w:t>
      </w:r>
      <w:r>
        <w:rPr>
          <w:szCs w:val="24"/>
          <w:lang w:eastAsia="lv-LV"/>
        </w:rPr>
        <w:t>attaisnošanas</w:t>
      </w:r>
      <w:r w:rsidRPr="00DC3B4A">
        <w:rPr>
          <w:bCs/>
          <w:szCs w:val="24"/>
        </w:rPr>
        <w:t xml:space="preserve"> </w:t>
      </w:r>
      <w:r>
        <w:rPr>
          <w:bCs/>
          <w:szCs w:val="24"/>
        </w:rPr>
        <w:t>iemeslu</w:t>
      </w:r>
      <w:r w:rsidR="00F62B7E">
        <w:rPr>
          <w:bCs/>
          <w:szCs w:val="24"/>
        </w:rPr>
        <w:t>s</w:t>
      </w:r>
      <w:r>
        <w:rPr>
          <w:bCs/>
          <w:szCs w:val="24"/>
        </w:rPr>
        <w:t xml:space="preserve"> krimināllietā, kurā spriedums stājies spēkā, prokuror</w:t>
      </w:r>
      <w:r w:rsidR="00F62B7E">
        <w:rPr>
          <w:bCs/>
          <w:szCs w:val="24"/>
        </w:rPr>
        <w:t>a</w:t>
      </w:r>
      <w:r>
        <w:rPr>
          <w:bCs/>
          <w:szCs w:val="24"/>
        </w:rPr>
        <w:t xml:space="preserve"> darbā n</w:t>
      </w:r>
      <w:r w:rsidR="00F62B7E">
        <w:rPr>
          <w:bCs/>
          <w:szCs w:val="24"/>
        </w:rPr>
        <w:t>etika</w:t>
      </w:r>
      <w:r>
        <w:rPr>
          <w:bCs/>
          <w:szCs w:val="24"/>
        </w:rPr>
        <w:t xml:space="preserve"> konstatēti tādi pārkāpumi, kas noveduši pie </w:t>
      </w:r>
      <w:r w:rsidR="00F62B7E">
        <w:rPr>
          <w:bCs/>
          <w:szCs w:val="24"/>
        </w:rPr>
        <w:t>apsūdzētā</w:t>
      </w:r>
      <w:r>
        <w:rPr>
          <w:bCs/>
          <w:szCs w:val="24"/>
        </w:rPr>
        <w:t xml:space="preserve"> attaisnošanas, bet gan saistāmi ar pieļaujamu pierādījumu iegūšanu izmeklēšanas stadijā.   </w:t>
      </w:r>
    </w:p>
    <w:p w14:paraId="1F3F516D" w14:textId="5B2387FB" w:rsidR="00B27416" w:rsidRDefault="00B27416" w:rsidP="00B27416">
      <w:pPr>
        <w:spacing w:after="0" w:line="240" w:lineRule="auto"/>
        <w:jc w:val="both"/>
        <w:rPr>
          <w:bCs/>
          <w:szCs w:val="24"/>
        </w:rPr>
      </w:pPr>
    </w:p>
    <w:p w14:paraId="31748771" w14:textId="7B44C739" w:rsidR="0099191B" w:rsidRPr="00004F26" w:rsidRDefault="00B27416" w:rsidP="00E329FC">
      <w:pPr>
        <w:pStyle w:val="ListParagraph"/>
        <w:numPr>
          <w:ilvl w:val="0"/>
          <w:numId w:val="60"/>
        </w:numPr>
        <w:spacing w:after="120" w:line="240" w:lineRule="auto"/>
        <w:jc w:val="both"/>
        <w:rPr>
          <w:b/>
          <w:szCs w:val="24"/>
        </w:rPr>
      </w:pPr>
      <w:r w:rsidRPr="00004F26">
        <w:rPr>
          <w:b/>
          <w:szCs w:val="24"/>
          <w:lang w:eastAsia="lv-LV"/>
        </w:rPr>
        <w:t>Izlemtas sūdzības, no tām apmierinātas</w:t>
      </w:r>
      <w:r w:rsidR="0099191B" w:rsidRPr="00004F26">
        <w:rPr>
          <w:bCs/>
          <w:szCs w:val="24"/>
        </w:rPr>
        <w:t xml:space="preserve"> </w:t>
      </w:r>
    </w:p>
    <w:p w14:paraId="5E7CBAB6" w14:textId="0FE3C790" w:rsidR="0099191B" w:rsidRDefault="0099191B" w:rsidP="002E32D5">
      <w:pPr>
        <w:spacing w:after="0" w:line="240" w:lineRule="auto"/>
        <w:jc w:val="center"/>
        <w:rPr>
          <w:szCs w:val="24"/>
          <w:lang w:eastAsia="lv-LV"/>
        </w:rPr>
      </w:pPr>
      <w:r>
        <w:rPr>
          <w:noProof/>
        </w:rPr>
        <w:drawing>
          <wp:inline distT="0" distB="0" distL="0" distR="0" wp14:anchorId="3A2F80E7" wp14:editId="4C151427">
            <wp:extent cx="3962400" cy="1593272"/>
            <wp:effectExtent l="0" t="0" r="0" b="6985"/>
            <wp:docPr id="114" name="Chart 114">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306B99FC" w14:textId="77777777" w:rsidR="002E32D5" w:rsidRDefault="002E32D5" w:rsidP="002E32D5">
      <w:pPr>
        <w:spacing w:after="0" w:line="240" w:lineRule="auto"/>
        <w:jc w:val="center"/>
        <w:rPr>
          <w:szCs w:val="24"/>
          <w:lang w:eastAsia="lv-LV"/>
        </w:rPr>
      </w:pPr>
    </w:p>
    <w:p w14:paraId="7CF743A0" w14:textId="201E9EB8" w:rsidR="0099191B" w:rsidRDefault="0099191B" w:rsidP="002567D0">
      <w:pPr>
        <w:spacing w:after="0" w:line="240" w:lineRule="auto"/>
        <w:ind w:firstLine="720"/>
        <w:jc w:val="both"/>
        <w:rPr>
          <w:bCs/>
          <w:szCs w:val="24"/>
        </w:rPr>
      </w:pPr>
      <w:r>
        <w:rPr>
          <w:bCs/>
          <w:szCs w:val="24"/>
        </w:rPr>
        <w:t>Prokuratūrā izlemto sūdzību skaits ik gadu ir nemainīgi augsts. O</w:t>
      </w:r>
      <w:r w:rsidR="00FD473A">
        <w:rPr>
          <w:bCs/>
          <w:szCs w:val="24"/>
        </w:rPr>
        <w:t>rganizētās noziedzības un citu nozaru specializēt</w:t>
      </w:r>
      <w:r w:rsidR="00F62B7E">
        <w:rPr>
          <w:bCs/>
          <w:szCs w:val="24"/>
        </w:rPr>
        <w:t>ajā</w:t>
      </w:r>
      <w:r w:rsidR="00FD473A">
        <w:rPr>
          <w:bCs/>
          <w:szCs w:val="24"/>
        </w:rPr>
        <w:t xml:space="preserve"> prokuratūr</w:t>
      </w:r>
      <w:r w:rsidR="002F4CE7">
        <w:rPr>
          <w:bCs/>
          <w:szCs w:val="24"/>
        </w:rPr>
        <w:t>ā</w:t>
      </w:r>
      <w:r>
        <w:rPr>
          <w:bCs/>
          <w:szCs w:val="24"/>
        </w:rPr>
        <w:t xml:space="preserve"> </w:t>
      </w:r>
      <w:r w:rsidR="002F4CE7">
        <w:rPr>
          <w:bCs/>
          <w:szCs w:val="24"/>
        </w:rPr>
        <w:t>ievērojama</w:t>
      </w:r>
      <w:r>
        <w:rPr>
          <w:bCs/>
          <w:szCs w:val="24"/>
        </w:rPr>
        <w:t xml:space="preserve"> sūdzību </w:t>
      </w:r>
      <w:r w:rsidR="002F4CE7">
        <w:rPr>
          <w:bCs/>
          <w:szCs w:val="24"/>
        </w:rPr>
        <w:t xml:space="preserve">daļa </w:t>
      </w:r>
      <w:r>
        <w:rPr>
          <w:bCs/>
          <w:szCs w:val="24"/>
        </w:rPr>
        <w:t>izlemšana</w:t>
      </w:r>
      <w:r w:rsidR="002F4CE7">
        <w:rPr>
          <w:bCs/>
          <w:szCs w:val="24"/>
        </w:rPr>
        <w:t>i</w:t>
      </w:r>
      <w:r>
        <w:rPr>
          <w:bCs/>
          <w:szCs w:val="24"/>
        </w:rPr>
        <w:t xml:space="preserve"> ti</w:t>
      </w:r>
      <w:r w:rsidR="002F4CE7">
        <w:rPr>
          <w:bCs/>
          <w:szCs w:val="24"/>
        </w:rPr>
        <w:t>ek</w:t>
      </w:r>
      <w:r>
        <w:rPr>
          <w:bCs/>
          <w:szCs w:val="24"/>
        </w:rPr>
        <w:t xml:space="preserve"> sadalīta starp virsprokuroru un diviem </w:t>
      </w:r>
      <w:r w:rsidR="002F4CE7">
        <w:rPr>
          <w:bCs/>
          <w:szCs w:val="24"/>
        </w:rPr>
        <w:t xml:space="preserve">virsprokurora </w:t>
      </w:r>
      <w:r>
        <w:rPr>
          <w:bCs/>
          <w:szCs w:val="24"/>
        </w:rPr>
        <w:t>vietniekiem, kas īpaši 2020.</w:t>
      </w:r>
      <w:r w:rsidR="002F4CE7">
        <w:rPr>
          <w:bCs/>
          <w:szCs w:val="24"/>
        </w:rPr>
        <w:t> </w:t>
      </w:r>
      <w:r>
        <w:rPr>
          <w:bCs/>
          <w:szCs w:val="24"/>
        </w:rPr>
        <w:t xml:space="preserve">gadā prasīja </w:t>
      </w:r>
      <w:r w:rsidR="006234AF">
        <w:rPr>
          <w:bCs/>
          <w:szCs w:val="24"/>
        </w:rPr>
        <w:t>būtisku</w:t>
      </w:r>
      <w:r>
        <w:rPr>
          <w:bCs/>
          <w:szCs w:val="24"/>
        </w:rPr>
        <w:t xml:space="preserve"> darba laika</w:t>
      </w:r>
      <w:r w:rsidR="006234AF">
        <w:rPr>
          <w:bCs/>
          <w:szCs w:val="24"/>
        </w:rPr>
        <w:t xml:space="preserve"> patēriņu</w:t>
      </w:r>
      <w:r>
        <w:rPr>
          <w:bCs/>
          <w:szCs w:val="24"/>
        </w:rPr>
        <w:t xml:space="preserve">. Ievērojot </w:t>
      </w:r>
      <w:r w:rsidR="002F4CE7">
        <w:rPr>
          <w:bCs/>
          <w:szCs w:val="24"/>
        </w:rPr>
        <w:t>Organizētās noziedzības un citu nozaru specializētās prokuratūras</w:t>
      </w:r>
      <w:r>
        <w:rPr>
          <w:bCs/>
          <w:szCs w:val="24"/>
        </w:rPr>
        <w:t xml:space="preserve"> prokuroru uzraudzībā esošo lietu specifiku, lietās iesaistītās personas aktīvi izmantoja likumdevēja atvēlēto pārsūdzības kārtību. </w:t>
      </w:r>
      <w:r w:rsidR="00E64091">
        <w:rPr>
          <w:bCs/>
          <w:szCs w:val="24"/>
        </w:rPr>
        <w:t>P</w:t>
      </w:r>
      <w:r>
        <w:rPr>
          <w:bCs/>
          <w:szCs w:val="24"/>
        </w:rPr>
        <w:t>ozitīvi vērtējami grozījumi Kriminālprocesa likumā, kas stājās spēkā ar 2021.</w:t>
      </w:r>
      <w:r w:rsidR="002F4CE7">
        <w:rPr>
          <w:bCs/>
          <w:szCs w:val="24"/>
        </w:rPr>
        <w:t> </w:t>
      </w:r>
      <w:r>
        <w:rPr>
          <w:bCs/>
          <w:szCs w:val="24"/>
        </w:rPr>
        <w:t>gada 1.</w:t>
      </w:r>
      <w:r w:rsidR="002F4CE7">
        <w:rPr>
          <w:bCs/>
          <w:szCs w:val="24"/>
        </w:rPr>
        <w:t> </w:t>
      </w:r>
      <w:r>
        <w:rPr>
          <w:bCs/>
          <w:szCs w:val="24"/>
        </w:rPr>
        <w:t>janvāri un no</w:t>
      </w:r>
      <w:r w:rsidR="002F4CE7">
        <w:rPr>
          <w:bCs/>
          <w:szCs w:val="24"/>
        </w:rPr>
        <w:t>saka</w:t>
      </w:r>
      <w:r>
        <w:rPr>
          <w:bCs/>
          <w:szCs w:val="24"/>
        </w:rPr>
        <w:t xml:space="preserve"> ierobežotu amatpersonu nolēmumu un rīcību pārsūdzības </w:t>
      </w:r>
      <w:r w:rsidR="00F62B7E">
        <w:rPr>
          <w:bCs/>
          <w:szCs w:val="24"/>
        </w:rPr>
        <w:t>iespēju</w:t>
      </w:r>
      <w:r>
        <w:rPr>
          <w:bCs/>
          <w:szCs w:val="24"/>
        </w:rPr>
        <w:t xml:space="preserve">, tādējādi virsprokurors un </w:t>
      </w:r>
      <w:r w:rsidR="00307733">
        <w:rPr>
          <w:bCs/>
          <w:szCs w:val="24"/>
        </w:rPr>
        <w:t xml:space="preserve">virsprokurora </w:t>
      </w:r>
      <w:r>
        <w:rPr>
          <w:bCs/>
          <w:szCs w:val="24"/>
        </w:rPr>
        <w:t>vietnieki varēs vairāk laika veltīt savu tiešo pamatfunkciju izpildei.</w:t>
      </w:r>
    </w:p>
    <w:p w14:paraId="0ADC5DBD" w14:textId="4304E23E" w:rsidR="000B54DC" w:rsidRDefault="000B54DC" w:rsidP="00F62B7E">
      <w:pPr>
        <w:spacing w:after="0" w:line="240" w:lineRule="auto"/>
        <w:jc w:val="both"/>
        <w:rPr>
          <w:bCs/>
          <w:szCs w:val="24"/>
        </w:rPr>
      </w:pPr>
    </w:p>
    <w:p w14:paraId="3B94118D" w14:textId="57326460" w:rsidR="000B54DC" w:rsidRPr="00B02194" w:rsidRDefault="000B54DC" w:rsidP="000B54DC">
      <w:pPr>
        <w:pStyle w:val="NoSpacing"/>
        <w:ind w:firstLine="720"/>
        <w:jc w:val="both"/>
        <w:rPr>
          <w:lang w:eastAsia="lv-LV"/>
        </w:rPr>
      </w:pPr>
      <w:r>
        <w:rPr>
          <w:lang w:eastAsia="lv-LV"/>
        </w:rPr>
        <w:t xml:space="preserve">Atzīstams, ka prokuratūru, tostarp Organizētās noziedzības un citu nozaru specializētās prokuratūras, darba rādītājus 2020. gadā būtiski ietekmēja epidemioloģiskā situācijā valstī saistībā ar Covid-19 izplatības ierobežošanu. Tas atstāja negatīvu ietekmi gan uz izmeklētāju, gan prokuroru, gan arī tiesnešu darbu. </w:t>
      </w:r>
    </w:p>
    <w:p w14:paraId="3A721A0D" w14:textId="77777777" w:rsidR="000B54DC" w:rsidRDefault="000B54DC" w:rsidP="000B54DC">
      <w:pPr>
        <w:pStyle w:val="NoSpacing"/>
        <w:ind w:firstLine="720"/>
        <w:jc w:val="both"/>
        <w:rPr>
          <w:lang w:eastAsia="lv-LV"/>
        </w:rPr>
      </w:pPr>
      <w:r w:rsidRPr="00BB3913">
        <w:rPr>
          <w:lang w:eastAsia="lv-LV"/>
        </w:rPr>
        <w:t>Tomēr</w:t>
      </w:r>
      <w:r>
        <w:rPr>
          <w:lang w:eastAsia="lv-LV"/>
        </w:rPr>
        <w:t xml:space="preserve"> jāatzīmē, ka 2020. gada sākumā Organizētās noziedzības un citu nozaru specializētās prokuratūras prokurors, realizējot procesa virzītāja pienākumus, veica plašas sākotnējās un neatliekamās izmeklēšanas darbības kriminālprocesā saistībā ar noziedzīgi iegūtu līdzekļu legalizēšanu 50 miljonu eiro apmērā, kurā iesaistīta starptautiska personu grupa, izmantojot Latvijā likvidējamās kredītiestādes struktūru, kā rezultātā tika aizturētas personas, atzītas par aizdomās turētajiem. Atzīmējams, ka izmeklēšanas darbību komplekss tika izstrādāts un realizēts prokurora vadībā un šajās darbībās tika iesaistītas vismaz triju tiesībaizsardzības iestāžu amatpersonas. Par minētajiem pasākumiem prokurors informēja sabiedrību, uzstājoties preses brīfingā.</w:t>
      </w:r>
    </w:p>
    <w:p w14:paraId="465E37AB" w14:textId="6D77C604" w:rsidR="000B54DC" w:rsidRPr="00FC2883" w:rsidRDefault="000B54DC" w:rsidP="000B54DC">
      <w:pPr>
        <w:pStyle w:val="NoSpacing"/>
        <w:ind w:firstLine="720"/>
        <w:jc w:val="both"/>
        <w:rPr>
          <w:lang w:eastAsia="lv-LV"/>
        </w:rPr>
      </w:pPr>
      <w:r>
        <w:rPr>
          <w:lang w:eastAsia="lv-LV"/>
        </w:rPr>
        <w:lastRenderedPageBreak/>
        <w:t>2020. gada nogalē divas Organizētās noziedzības un citu nozaru specializētās prokuratūras prokurores atsevišķās lietās pieņēma lēmumus par person</w:t>
      </w:r>
      <w:r w:rsidR="00307733">
        <w:rPr>
          <w:lang w:eastAsia="lv-LV"/>
        </w:rPr>
        <w:t>as</w:t>
      </w:r>
      <w:r>
        <w:rPr>
          <w:lang w:eastAsia="lv-LV"/>
        </w:rPr>
        <w:t xml:space="preserve"> saukšanu pie kriminālatbildības t. s. “būvnieku lietā”, no kurām vienā pieņemts </w:t>
      </w:r>
      <w:r w:rsidR="00F62B7E">
        <w:rPr>
          <w:lang w:eastAsia="lv-LV"/>
        </w:rPr>
        <w:t xml:space="preserve">arī </w:t>
      </w:r>
      <w:r>
        <w:rPr>
          <w:lang w:eastAsia="lv-LV"/>
        </w:rPr>
        <w:t xml:space="preserve">lēmums par procesa uzsākšanu pret juridisku personu par piespiedu ietekmēšanas līdzekļa piemērošanu. </w:t>
      </w:r>
      <w:r>
        <w:rPr>
          <w:szCs w:val="24"/>
          <w:lang w:eastAsia="lv-LV"/>
        </w:rPr>
        <w:t>Tāpat 2020. gadā uzsākta kriminālvajāšana pret piecām personām t. s. “kokaīna lietā”, kurā tika konstatēts lielākais ievestais kokaīna daudzums Latvijas vēsturē. Pirmstiesas procesa laikā</w:t>
      </w:r>
      <w:r w:rsidR="00307733">
        <w:rPr>
          <w:szCs w:val="24"/>
          <w:lang w:eastAsia="lv-LV"/>
        </w:rPr>
        <w:t xml:space="preserve"> </w:t>
      </w:r>
      <w:r>
        <w:rPr>
          <w:szCs w:val="24"/>
          <w:lang w:eastAsia="lv-LV"/>
        </w:rPr>
        <w:t>veikta plaša starptautiskā sadarbība. Iepriekš minētajās lietās 2021. gadā plānots pirmstiesas procesu pabeigt.</w:t>
      </w:r>
    </w:p>
    <w:p w14:paraId="542025F9" w14:textId="77777777" w:rsidR="006234AF" w:rsidRDefault="006234AF" w:rsidP="000B54DC">
      <w:pPr>
        <w:spacing w:after="0" w:line="240" w:lineRule="auto"/>
        <w:jc w:val="both"/>
        <w:rPr>
          <w:bCs/>
          <w:szCs w:val="24"/>
        </w:rPr>
      </w:pPr>
    </w:p>
    <w:p w14:paraId="718DF346" w14:textId="7269F893" w:rsidR="00F62B7E" w:rsidRDefault="0099191B" w:rsidP="00F62B7E">
      <w:pPr>
        <w:spacing w:after="0" w:line="240" w:lineRule="auto"/>
        <w:ind w:left="-142" w:firstLine="142"/>
        <w:jc w:val="center"/>
        <w:rPr>
          <w:b/>
          <w:sz w:val="28"/>
          <w:szCs w:val="28"/>
        </w:rPr>
      </w:pPr>
      <w:r w:rsidRPr="006234AF">
        <w:rPr>
          <w:b/>
          <w:sz w:val="28"/>
          <w:szCs w:val="28"/>
        </w:rPr>
        <w:t>II. Rajona prokuratūru darba rādītāji (veidojot salīdzinājumu ar 2019.gadu)</w:t>
      </w:r>
    </w:p>
    <w:p w14:paraId="66720920" w14:textId="77777777" w:rsidR="00F62B7E" w:rsidRPr="00F62B7E" w:rsidRDefault="00F62B7E" w:rsidP="00F62B7E">
      <w:pPr>
        <w:spacing w:after="0" w:line="240" w:lineRule="auto"/>
        <w:ind w:left="-142" w:firstLine="142"/>
        <w:jc w:val="center"/>
        <w:rPr>
          <w:b/>
          <w:szCs w:val="24"/>
        </w:rPr>
      </w:pPr>
    </w:p>
    <w:p w14:paraId="53910847" w14:textId="367DDB07" w:rsidR="0099191B" w:rsidRPr="000F3E68" w:rsidRDefault="006234AF" w:rsidP="00E329FC">
      <w:pPr>
        <w:pStyle w:val="ListParagraph"/>
        <w:numPr>
          <w:ilvl w:val="0"/>
          <w:numId w:val="52"/>
        </w:numPr>
        <w:spacing w:after="120" w:line="240" w:lineRule="auto"/>
        <w:ind w:left="714" w:hanging="357"/>
        <w:jc w:val="both"/>
        <w:rPr>
          <w:b/>
          <w:szCs w:val="24"/>
        </w:rPr>
      </w:pPr>
      <w:r w:rsidRPr="000F3E68">
        <w:rPr>
          <w:b/>
          <w:szCs w:val="24"/>
        </w:rPr>
        <w:t>Kriminālvajāšanai saņemti kriminālprocesi</w:t>
      </w:r>
    </w:p>
    <w:p w14:paraId="7DF77FB4" w14:textId="0DC8F8C2" w:rsidR="0099191B" w:rsidRDefault="0099191B" w:rsidP="000A5BF1">
      <w:pPr>
        <w:spacing w:after="0" w:line="240" w:lineRule="auto"/>
        <w:jc w:val="center"/>
        <w:rPr>
          <w:szCs w:val="24"/>
          <w:lang w:eastAsia="lv-LV"/>
        </w:rPr>
      </w:pPr>
      <w:r>
        <w:rPr>
          <w:noProof/>
        </w:rPr>
        <w:drawing>
          <wp:inline distT="0" distB="0" distL="0" distR="0" wp14:anchorId="494AAEB9" wp14:editId="6DA22D0B">
            <wp:extent cx="5410200" cy="1684867"/>
            <wp:effectExtent l="0" t="0" r="0" b="10795"/>
            <wp:docPr id="115" name="Chart 115">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71FBDAF4" w14:textId="77777777" w:rsidR="000A5BF1" w:rsidRDefault="000A5BF1" w:rsidP="000A5BF1">
      <w:pPr>
        <w:spacing w:after="0" w:line="240" w:lineRule="auto"/>
        <w:jc w:val="center"/>
        <w:rPr>
          <w:szCs w:val="24"/>
          <w:lang w:eastAsia="lv-LV"/>
        </w:rPr>
      </w:pPr>
    </w:p>
    <w:p w14:paraId="48B1E52B" w14:textId="71259222" w:rsidR="0099191B" w:rsidRDefault="00335A04" w:rsidP="003D3545">
      <w:pPr>
        <w:pStyle w:val="NoSpacing"/>
        <w:ind w:firstLine="720"/>
        <w:jc w:val="both"/>
        <w:rPr>
          <w:lang w:eastAsia="lv-LV"/>
        </w:rPr>
      </w:pPr>
      <w:r>
        <w:rPr>
          <w:lang w:eastAsia="lv-LV"/>
        </w:rPr>
        <w:t xml:space="preserve">Vērtējot kriminālvajāšanai saņemto kriminālprocesu skaitu, atzīstams, ka pieaugums vērojams </w:t>
      </w:r>
      <w:r w:rsidR="002567D0">
        <w:rPr>
          <w:lang w:eastAsia="lv-LV"/>
        </w:rPr>
        <w:t xml:space="preserve">noziedzīgiem </w:t>
      </w:r>
      <w:r>
        <w:rPr>
          <w:lang w:eastAsia="lv-LV"/>
        </w:rPr>
        <w:t>nodarījumiem</w:t>
      </w:r>
      <w:r w:rsidR="002567D0">
        <w:rPr>
          <w:lang w:eastAsia="lv-LV"/>
        </w:rPr>
        <w:t>,</w:t>
      </w:r>
      <w:r w:rsidR="009C2DA3" w:rsidRPr="009C2DA3">
        <w:rPr>
          <w:lang w:eastAsia="lv-LV"/>
        </w:rPr>
        <w:t xml:space="preserve"> </w:t>
      </w:r>
      <w:r w:rsidR="009C2DA3">
        <w:rPr>
          <w:lang w:eastAsia="lv-LV"/>
        </w:rPr>
        <w:t>kuru izmeklēšanu uzraudzīja Rīgas Autotransporta prokuratūra. Tas saistāms ar 2020.</w:t>
      </w:r>
      <w:r w:rsidR="002567D0">
        <w:rPr>
          <w:lang w:eastAsia="lv-LV"/>
        </w:rPr>
        <w:t> </w:t>
      </w:r>
      <w:r w:rsidR="009C2DA3">
        <w:rPr>
          <w:lang w:eastAsia="lv-LV"/>
        </w:rPr>
        <w:t>gadā veikto reformu, saskaņā ar kuru no 2020.</w:t>
      </w:r>
      <w:r w:rsidR="002567D0">
        <w:rPr>
          <w:lang w:eastAsia="lv-LV"/>
        </w:rPr>
        <w:t> </w:t>
      </w:r>
      <w:r w:rsidR="009C2DA3">
        <w:rPr>
          <w:lang w:eastAsia="lv-LV"/>
        </w:rPr>
        <w:t>gada 1.</w:t>
      </w:r>
      <w:r w:rsidR="002567D0">
        <w:rPr>
          <w:lang w:eastAsia="lv-LV"/>
        </w:rPr>
        <w:t> </w:t>
      </w:r>
      <w:r w:rsidR="009C2DA3">
        <w:rPr>
          <w:lang w:eastAsia="lv-LV"/>
        </w:rPr>
        <w:t xml:space="preserve">janvāra Rīgas rajona prokuratūras apkalpojamā teritorija tika pievienota Rīgas </w:t>
      </w:r>
      <w:r w:rsidR="002567D0">
        <w:rPr>
          <w:lang w:eastAsia="lv-LV"/>
        </w:rPr>
        <w:t>A</w:t>
      </w:r>
      <w:r w:rsidR="009C2DA3">
        <w:rPr>
          <w:lang w:eastAsia="lv-LV"/>
        </w:rPr>
        <w:t>utotransporta prokuratūrai</w:t>
      </w:r>
      <w:r w:rsidR="00D5604A">
        <w:rPr>
          <w:lang w:eastAsia="lv-LV"/>
        </w:rPr>
        <w:t xml:space="preserve">. </w:t>
      </w:r>
      <w:r w:rsidR="0099191B">
        <w:rPr>
          <w:lang w:eastAsia="lv-LV"/>
        </w:rPr>
        <w:t>Savukārt pozitīva tendence bija vērojama Specializētās vairāku nozaru prokuratūras darba statistisko radītāju izaugsmē, īpaši attiecībā uz kriminālvajāšana</w:t>
      </w:r>
      <w:r w:rsidR="00D5604A">
        <w:rPr>
          <w:lang w:eastAsia="lv-LV"/>
        </w:rPr>
        <w:t>i</w:t>
      </w:r>
      <w:r w:rsidR="0099191B">
        <w:rPr>
          <w:lang w:eastAsia="lv-LV"/>
        </w:rPr>
        <w:t xml:space="preserve"> saņemtaj</w:t>
      </w:r>
      <w:r w:rsidR="002A3C17">
        <w:rPr>
          <w:lang w:eastAsia="lv-LV"/>
        </w:rPr>
        <w:t>iem kriminālprocesiem</w:t>
      </w:r>
      <w:r w:rsidR="0099191B">
        <w:rPr>
          <w:lang w:eastAsia="lv-LV"/>
        </w:rPr>
        <w:t>, kas saistīt</w:t>
      </w:r>
      <w:r w:rsidR="002A3C17">
        <w:rPr>
          <w:lang w:eastAsia="lv-LV"/>
        </w:rPr>
        <w:t>i</w:t>
      </w:r>
      <w:r w:rsidR="0099191B">
        <w:rPr>
          <w:lang w:eastAsia="lv-LV"/>
        </w:rPr>
        <w:t xml:space="preserve"> ar Militārās policijas kompetencē izmeklētajiem </w:t>
      </w:r>
      <w:r w:rsidR="002A3C17">
        <w:rPr>
          <w:lang w:eastAsia="lv-LV"/>
        </w:rPr>
        <w:t xml:space="preserve">noziedzīgajiem </w:t>
      </w:r>
      <w:r w:rsidR="0099191B">
        <w:rPr>
          <w:lang w:eastAsia="lv-LV"/>
        </w:rPr>
        <w:t xml:space="preserve">nodarījumiem, kā arī </w:t>
      </w:r>
      <w:r w:rsidR="002A3C17">
        <w:rPr>
          <w:lang w:eastAsia="lv-LV"/>
        </w:rPr>
        <w:t xml:space="preserve">par noziedzīgajiem </w:t>
      </w:r>
      <w:r w:rsidR="0099191B">
        <w:rPr>
          <w:lang w:eastAsia="lv-LV"/>
        </w:rPr>
        <w:t>nodarījumi</w:t>
      </w:r>
      <w:r w:rsidR="002A3C17">
        <w:rPr>
          <w:lang w:eastAsia="lv-LV"/>
        </w:rPr>
        <w:t>em</w:t>
      </w:r>
      <w:r w:rsidR="0099191B">
        <w:rPr>
          <w:lang w:eastAsia="lv-LV"/>
        </w:rPr>
        <w:t xml:space="preserve"> pret dabas vidi.</w:t>
      </w:r>
    </w:p>
    <w:p w14:paraId="6BB18E11" w14:textId="40625CEA" w:rsidR="0099191B" w:rsidRDefault="0099191B" w:rsidP="003D3545">
      <w:pPr>
        <w:pStyle w:val="NoSpacing"/>
        <w:ind w:firstLine="720"/>
        <w:jc w:val="both"/>
        <w:rPr>
          <w:lang w:eastAsia="lv-LV"/>
        </w:rPr>
      </w:pPr>
      <w:r>
        <w:rPr>
          <w:lang w:eastAsia="lv-LV"/>
        </w:rPr>
        <w:t>N</w:t>
      </w:r>
      <w:r w:rsidR="002A3C17">
        <w:rPr>
          <w:lang w:eastAsia="lv-LV"/>
        </w:rPr>
        <w:t>arkotiku nelikumīgas aprites noziegumu izmeklēšanas prokuratūr</w:t>
      </w:r>
      <w:r w:rsidR="00F62B7E">
        <w:rPr>
          <w:lang w:eastAsia="lv-LV"/>
        </w:rPr>
        <w:t>ā</w:t>
      </w:r>
      <w:r>
        <w:rPr>
          <w:lang w:eastAsia="lv-LV"/>
        </w:rPr>
        <w:t xml:space="preserve"> </w:t>
      </w:r>
      <w:r w:rsidR="00F62B7E">
        <w:rPr>
          <w:lang w:eastAsia="lv-LV"/>
        </w:rPr>
        <w:t xml:space="preserve">kriminālvajāšanai saņemto kriminālprocesu skaita samazinājums 2020. gadā </w:t>
      </w:r>
      <w:r>
        <w:rPr>
          <w:lang w:eastAsia="lv-LV"/>
        </w:rPr>
        <w:t xml:space="preserve">izskaidrojams ar Administratīvās atbildības likuma </w:t>
      </w:r>
      <w:r w:rsidR="006D6B53">
        <w:rPr>
          <w:lang w:eastAsia="lv-LV"/>
        </w:rPr>
        <w:t>pieņemšanu</w:t>
      </w:r>
      <w:r>
        <w:rPr>
          <w:lang w:eastAsia="lv-LV"/>
        </w:rPr>
        <w:t>, kas stājās spēkā 2020.</w:t>
      </w:r>
      <w:r w:rsidR="002A3C17">
        <w:rPr>
          <w:lang w:eastAsia="lv-LV"/>
        </w:rPr>
        <w:t> </w:t>
      </w:r>
      <w:r>
        <w:rPr>
          <w:lang w:eastAsia="lv-LV"/>
        </w:rPr>
        <w:t>gada 1.</w:t>
      </w:r>
      <w:r w:rsidR="002A3C17">
        <w:rPr>
          <w:lang w:eastAsia="lv-LV"/>
        </w:rPr>
        <w:t> </w:t>
      </w:r>
      <w:r>
        <w:rPr>
          <w:lang w:eastAsia="lv-LV"/>
        </w:rPr>
        <w:t xml:space="preserve">jūlijā un būtiski ietekmēja (samazināja) </w:t>
      </w:r>
      <w:r w:rsidR="004A5F8B">
        <w:rPr>
          <w:lang w:eastAsia="lv-LV"/>
        </w:rPr>
        <w:t>kriminālprocesu</w:t>
      </w:r>
      <w:r>
        <w:rPr>
          <w:lang w:eastAsia="lv-LV"/>
        </w:rPr>
        <w:t xml:space="preserve"> skaitu par narkotisko/psihotropo vielu neatļautu lietošanu, ko izdarījusi persona, k</w:t>
      </w:r>
      <w:r w:rsidR="006D6B53">
        <w:rPr>
          <w:lang w:eastAsia="lv-LV"/>
        </w:rPr>
        <w:t>ura</w:t>
      </w:r>
      <w:r>
        <w:rPr>
          <w:lang w:eastAsia="lv-LV"/>
        </w:rPr>
        <w:t xml:space="preserve"> brīdināta par kriminālatbildību</w:t>
      </w:r>
      <w:r w:rsidR="004A5F8B">
        <w:rPr>
          <w:lang w:eastAsia="lv-LV"/>
        </w:rPr>
        <w:t xml:space="preserve"> (</w:t>
      </w:r>
      <w:r>
        <w:rPr>
          <w:lang w:eastAsia="lv-LV"/>
        </w:rPr>
        <w:t>K</w:t>
      </w:r>
      <w:r w:rsidR="004A5F8B">
        <w:rPr>
          <w:lang w:eastAsia="lv-LV"/>
        </w:rPr>
        <w:t>rimināllikuma</w:t>
      </w:r>
      <w:r>
        <w:rPr>
          <w:lang w:eastAsia="lv-LV"/>
        </w:rPr>
        <w:t xml:space="preserve"> 25</w:t>
      </w:r>
      <w:r w:rsidR="004A5F8B">
        <w:rPr>
          <w:lang w:eastAsia="lv-LV"/>
        </w:rPr>
        <w:t>3.</w:t>
      </w:r>
      <w:r w:rsidR="004A5F8B" w:rsidRPr="004A5F8B">
        <w:rPr>
          <w:vertAlign w:val="superscript"/>
          <w:lang w:eastAsia="lv-LV"/>
        </w:rPr>
        <w:t>2</w:t>
      </w:r>
      <w:r w:rsidR="004A5F8B">
        <w:rPr>
          <w:lang w:eastAsia="lv-LV"/>
        </w:rPr>
        <w:t> </w:t>
      </w:r>
      <w:r>
        <w:rPr>
          <w:lang w:eastAsia="lv-LV"/>
        </w:rPr>
        <w:t>panta pirm</w:t>
      </w:r>
      <w:r w:rsidR="004A5F8B">
        <w:rPr>
          <w:lang w:eastAsia="lv-LV"/>
        </w:rPr>
        <w:t>ā</w:t>
      </w:r>
      <w:r>
        <w:rPr>
          <w:lang w:eastAsia="lv-LV"/>
        </w:rPr>
        <w:t xml:space="preserve"> daļa</w:t>
      </w:r>
      <w:r w:rsidR="004A5F8B">
        <w:rPr>
          <w:lang w:eastAsia="lv-LV"/>
        </w:rPr>
        <w:t>)</w:t>
      </w:r>
      <w:r>
        <w:rPr>
          <w:lang w:eastAsia="lv-LV"/>
        </w:rPr>
        <w:t>.</w:t>
      </w:r>
    </w:p>
    <w:p w14:paraId="03899DA3" w14:textId="77777777" w:rsidR="000A5BF1" w:rsidRDefault="000A5BF1" w:rsidP="000F3E68">
      <w:pPr>
        <w:spacing w:after="0" w:line="240" w:lineRule="auto"/>
        <w:jc w:val="both"/>
        <w:rPr>
          <w:szCs w:val="24"/>
          <w:lang w:eastAsia="lv-LV"/>
        </w:rPr>
      </w:pPr>
    </w:p>
    <w:p w14:paraId="76E46A76" w14:textId="4D9DD046" w:rsidR="000A5BF1" w:rsidRPr="000A5BF1" w:rsidRDefault="00BA76B0" w:rsidP="00E329FC">
      <w:pPr>
        <w:pStyle w:val="NoSpacing"/>
        <w:numPr>
          <w:ilvl w:val="0"/>
          <w:numId w:val="52"/>
        </w:numPr>
        <w:spacing w:after="120"/>
        <w:ind w:left="714" w:hanging="357"/>
        <w:jc w:val="both"/>
        <w:rPr>
          <w:b/>
          <w:bCs/>
          <w:lang w:eastAsia="lv-LV"/>
        </w:rPr>
      </w:pPr>
      <w:r w:rsidRPr="000F3E68">
        <w:rPr>
          <w:b/>
          <w:bCs/>
          <w:lang w:eastAsia="lv-LV"/>
        </w:rPr>
        <w:t>Paātrinātā procesa kārtībā kriminālvajāšanai saņemti kriminālprocesi, no</w:t>
      </w:r>
      <w:r w:rsidR="008B3FD2" w:rsidRPr="000F3E68">
        <w:rPr>
          <w:b/>
          <w:bCs/>
          <w:lang w:eastAsia="lv-LV"/>
        </w:rPr>
        <w:t xml:space="preserve"> </w:t>
      </w:r>
      <w:r w:rsidRPr="000F3E68">
        <w:rPr>
          <w:b/>
          <w:bCs/>
          <w:lang w:eastAsia="lv-LV"/>
        </w:rPr>
        <w:t>tiem šī</w:t>
      </w:r>
      <w:r w:rsidR="000F3E68">
        <w:rPr>
          <w:b/>
          <w:bCs/>
          <w:lang w:eastAsia="lv-LV"/>
        </w:rPr>
        <w:t xml:space="preserve"> </w:t>
      </w:r>
      <w:r w:rsidRPr="000F3E68">
        <w:rPr>
          <w:b/>
          <w:bCs/>
          <w:lang w:eastAsia="lv-LV"/>
        </w:rPr>
        <w:t xml:space="preserve">procesa kārtībā tiesai nodotas </w:t>
      </w:r>
      <w:r w:rsidR="006D6B53" w:rsidRPr="000F3E68">
        <w:rPr>
          <w:b/>
          <w:bCs/>
          <w:lang w:eastAsia="lv-LV"/>
        </w:rPr>
        <w:t>krim</w:t>
      </w:r>
      <w:r w:rsidR="00B54F8E" w:rsidRPr="000F3E68">
        <w:rPr>
          <w:b/>
          <w:bCs/>
          <w:lang w:eastAsia="lv-LV"/>
        </w:rPr>
        <w:t>i</w:t>
      </w:r>
      <w:r w:rsidR="006D6B53" w:rsidRPr="000F3E68">
        <w:rPr>
          <w:b/>
          <w:bCs/>
          <w:lang w:eastAsia="lv-LV"/>
        </w:rPr>
        <w:t>nāl</w:t>
      </w:r>
      <w:r w:rsidRPr="000F3E68">
        <w:rPr>
          <w:b/>
          <w:bCs/>
          <w:lang w:eastAsia="lv-LV"/>
        </w:rPr>
        <w:t>lietas</w:t>
      </w:r>
    </w:p>
    <w:p w14:paraId="15A40E26" w14:textId="6E198437" w:rsidR="0099191B" w:rsidRDefault="0099191B" w:rsidP="008B3FD2">
      <w:pPr>
        <w:spacing w:after="0" w:line="240" w:lineRule="auto"/>
        <w:ind w:left="-142" w:firstLine="567"/>
        <w:jc w:val="both"/>
        <w:rPr>
          <w:szCs w:val="24"/>
          <w:lang w:eastAsia="lv-LV"/>
        </w:rPr>
      </w:pPr>
      <w:r>
        <w:rPr>
          <w:noProof/>
        </w:rPr>
        <w:drawing>
          <wp:inline distT="0" distB="0" distL="0" distR="0" wp14:anchorId="00B36C25" wp14:editId="194236CB">
            <wp:extent cx="5361305" cy="1441450"/>
            <wp:effectExtent l="0" t="0" r="10795" b="6350"/>
            <wp:docPr id="116" name="Chart 116">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26AAE65A" w14:textId="77777777" w:rsidR="008B3FD2" w:rsidRDefault="008B3FD2" w:rsidP="008B3FD2">
      <w:pPr>
        <w:spacing w:after="0" w:line="240" w:lineRule="auto"/>
        <w:ind w:left="-142" w:firstLine="567"/>
        <w:jc w:val="both"/>
        <w:rPr>
          <w:szCs w:val="24"/>
          <w:lang w:eastAsia="lv-LV"/>
        </w:rPr>
      </w:pPr>
    </w:p>
    <w:p w14:paraId="5D83882E" w14:textId="1DDE8220" w:rsidR="00CC3645" w:rsidRDefault="0099191B" w:rsidP="00F62B7E">
      <w:pPr>
        <w:pStyle w:val="NoSpacing"/>
        <w:ind w:firstLine="720"/>
        <w:jc w:val="both"/>
        <w:rPr>
          <w:lang w:eastAsia="lv-LV"/>
        </w:rPr>
      </w:pPr>
      <w:r>
        <w:rPr>
          <w:lang w:eastAsia="lv-LV"/>
        </w:rPr>
        <w:lastRenderedPageBreak/>
        <w:t xml:space="preserve">Vērtējot specializēto </w:t>
      </w:r>
      <w:r w:rsidR="00F62B7E">
        <w:rPr>
          <w:lang w:eastAsia="lv-LV"/>
        </w:rPr>
        <w:t xml:space="preserve">rajona statusa </w:t>
      </w:r>
      <w:r>
        <w:rPr>
          <w:lang w:eastAsia="lv-LV"/>
        </w:rPr>
        <w:t xml:space="preserve">prokuratūru darbu ar saņemtajiem kriminālprocesiem paātrinātā procesa kārtībā, atzīstams, ka šo izmeklēšanas pabeigšanas veidu  praktizēja </w:t>
      </w:r>
      <w:r w:rsidR="008B3FD2">
        <w:rPr>
          <w:lang w:eastAsia="lv-LV"/>
        </w:rPr>
        <w:t xml:space="preserve">Valsts ieņēmumu dienests un </w:t>
      </w:r>
      <w:r>
        <w:rPr>
          <w:lang w:eastAsia="lv-LV"/>
        </w:rPr>
        <w:t xml:space="preserve">Valsts policija, izmeklējot </w:t>
      </w:r>
      <w:r w:rsidR="008B3FD2">
        <w:rPr>
          <w:lang w:eastAsia="lv-LV"/>
        </w:rPr>
        <w:t xml:space="preserve">noziedzīgus </w:t>
      </w:r>
      <w:r>
        <w:rPr>
          <w:lang w:eastAsia="lv-LV"/>
        </w:rPr>
        <w:t xml:space="preserve">nodarījumus par apritē aizliegtu vielu pārvietošanu pāri valsts robežai un transportlīdzekļa vadīšanu alkohola ietekmē bez </w:t>
      </w:r>
      <w:r w:rsidR="008B3FD2">
        <w:rPr>
          <w:lang w:eastAsia="lv-LV"/>
        </w:rPr>
        <w:t xml:space="preserve">transportlīdzekļa </w:t>
      </w:r>
      <w:r>
        <w:rPr>
          <w:lang w:eastAsia="lv-LV"/>
        </w:rPr>
        <w:t>vadīšanas tiesīb</w:t>
      </w:r>
      <w:r w:rsidR="00607E63">
        <w:rPr>
          <w:lang w:eastAsia="lv-LV"/>
        </w:rPr>
        <w:t>ām</w:t>
      </w:r>
      <w:r>
        <w:rPr>
          <w:lang w:eastAsia="lv-LV"/>
        </w:rPr>
        <w:t>. Turklāt īpaši uzteicams R</w:t>
      </w:r>
      <w:r w:rsidR="00F62B7E">
        <w:rPr>
          <w:lang w:eastAsia="lv-LV"/>
        </w:rPr>
        <w:t xml:space="preserve">īgas Autotransporta prokuratūras prokuroru </w:t>
      </w:r>
      <w:r>
        <w:rPr>
          <w:lang w:eastAsia="lv-LV"/>
        </w:rPr>
        <w:t>darbs, kuri 2020.</w:t>
      </w:r>
      <w:r w:rsidR="00F62B7E">
        <w:rPr>
          <w:lang w:eastAsia="lv-LV"/>
        </w:rPr>
        <w:t> </w:t>
      </w:r>
      <w:r>
        <w:rPr>
          <w:lang w:eastAsia="lv-LV"/>
        </w:rPr>
        <w:t>gadā būtiski kāpināja statistiskos r</w:t>
      </w:r>
      <w:r w:rsidR="00F62B7E">
        <w:rPr>
          <w:lang w:eastAsia="lv-LV"/>
        </w:rPr>
        <w:t>ādītājus</w:t>
      </w:r>
      <w:r>
        <w:rPr>
          <w:lang w:eastAsia="lv-LV"/>
        </w:rPr>
        <w:t xml:space="preserve"> attiecībā uz pirmstiesas procesa pabeigšanu 48 stundu laikā</w:t>
      </w:r>
      <w:r w:rsidR="00F62B7E">
        <w:rPr>
          <w:lang w:eastAsia="lv-LV"/>
        </w:rPr>
        <w:t xml:space="preserve"> no kriminālprocesa uzsākšanas brīža.</w:t>
      </w:r>
    </w:p>
    <w:p w14:paraId="62549CAE" w14:textId="77777777" w:rsidR="00CC3645" w:rsidRDefault="00CC3645" w:rsidP="00CC3645">
      <w:pPr>
        <w:spacing w:after="0" w:line="240" w:lineRule="auto"/>
        <w:jc w:val="both"/>
        <w:rPr>
          <w:szCs w:val="24"/>
          <w:lang w:eastAsia="lv-LV"/>
        </w:rPr>
      </w:pPr>
    </w:p>
    <w:p w14:paraId="51BF97E7" w14:textId="5A5F4DC2" w:rsidR="0099191B" w:rsidRPr="00635478" w:rsidRDefault="006D6B53" w:rsidP="00E329FC">
      <w:pPr>
        <w:pStyle w:val="NoSpacing"/>
        <w:numPr>
          <w:ilvl w:val="0"/>
          <w:numId w:val="52"/>
        </w:numPr>
        <w:spacing w:after="120"/>
        <w:ind w:left="714" w:hanging="357"/>
        <w:jc w:val="both"/>
        <w:rPr>
          <w:b/>
          <w:bCs/>
          <w:lang w:eastAsia="lv-LV"/>
        </w:rPr>
      </w:pPr>
      <w:r w:rsidRPr="00635478">
        <w:rPr>
          <w:b/>
          <w:bCs/>
          <w:lang w:eastAsia="lv-LV"/>
        </w:rPr>
        <w:t>Tiesai nodotas krimināllietas, no tām vienošanās procesa kārtībā</w:t>
      </w:r>
      <w:r w:rsidR="0099191B" w:rsidRPr="00635478">
        <w:rPr>
          <w:b/>
          <w:bCs/>
          <w:lang w:eastAsia="lv-LV"/>
        </w:rPr>
        <w:t xml:space="preserve"> </w:t>
      </w:r>
    </w:p>
    <w:p w14:paraId="1A9822FD" w14:textId="1C5700C2" w:rsidR="00B54F8E" w:rsidRDefault="0099191B" w:rsidP="008A47EC">
      <w:pPr>
        <w:spacing w:after="0" w:line="240" w:lineRule="auto"/>
        <w:jc w:val="center"/>
        <w:rPr>
          <w:szCs w:val="24"/>
          <w:lang w:eastAsia="lv-LV"/>
        </w:rPr>
      </w:pPr>
      <w:r>
        <w:rPr>
          <w:noProof/>
        </w:rPr>
        <w:drawing>
          <wp:inline distT="0" distB="0" distL="0" distR="0" wp14:anchorId="3D7AFCBA" wp14:editId="33AA9BDA">
            <wp:extent cx="5397500" cy="2768600"/>
            <wp:effectExtent l="0" t="0" r="12700" b="12700"/>
            <wp:docPr id="117" name="Chart 117">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116A765B" w14:textId="77777777" w:rsidR="00B54F8E" w:rsidRDefault="00B54F8E" w:rsidP="006D6B53">
      <w:pPr>
        <w:spacing w:after="0" w:line="240" w:lineRule="auto"/>
        <w:jc w:val="both"/>
        <w:rPr>
          <w:szCs w:val="24"/>
          <w:lang w:eastAsia="lv-LV"/>
        </w:rPr>
      </w:pPr>
    </w:p>
    <w:p w14:paraId="0B2F9664" w14:textId="3103312C" w:rsidR="006D6B53" w:rsidRPr="00635478" w:rsidRDefault="00A04BE7" w:rsidP="00E329FC">
      <w:pPr>
        <w:pStyle w:val="NoSpacing"/>
        <w:numPr>
          <w:ilvl w:val="0"/>
          <w:numId w:val="52"/>
        </w:numPr>
        <w:spacing w:after="120"/>
        <w:ind w:left="0" w:firstLine="0"/>
        <w:jc w:val="both"/>
        <w:rPr>
          <w:b/>
          <w:bCs/>
          <w:lang w:eastAsia="lv-LV"/>
        </w:rPr>
      </w:pPr>
      <w:r w:rsidRPr="00635478">
        <w:rPr>
          <w:b/>
          <w:bCs/>
          <w:lang w:eastAsia="lv-LV"/>
        </w:rPr>
        <w:t>Prokuratūrā pabeigti kriminālprocesi ar prokurora priekšrakstu par sodu</w:t>
      </w:r>
    </w:p>
    <w:p w14:paraId="52FA82A3" w14:textId="12BD38EA" w:rsidR="0099191B" w:rsidRDefault="0099191B" w:rsidP="008A47EC">
      <w:pPr>
        <w:spacing w:after="100" w:afterAutospacing="1" w:line="240" w:lineRule="auto"/>
        <w:jc w:val="center"/>
        <w:rPr>
          <w:szCs w:val="24"/>
          <w:lang w:eastAsia="lv-LV"/>
        </w:rPr>
      </w:pPr>
      <w:r>
        <w:rPr>
          <w:noProof/>
        </w:rPr>
        <w:drawing>
          <wp:inline distT="0" distB="0" distL="0" distR="0" wp14:anchorId="182DB383" wp14:editId="2D825BF4">
            <wp:extent cx="5397500" cy="2590800"/>
            <wp:effectExtent l="0" t="0" r="12700" b="0"/>
            <wp:docPr id="118" name="Chart 118">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F729176" w14:textId="726489A2" w:rsidR="0099191B" w:rsidRDefault="0099191B" w:rsidP="006C26A7">
      <w:pPr>
        <w:pStyle w:val="NoSpacing"/>
        <w:ind w:firstLine="714"/>
        <w:jc w:val="both"/>
        <w:rPr>
          <w:lang w:eastAsia="lv-LV"/>
        </w:rPr>
      </w:pPr>
      <w:r>
        <w:rPr>
          <w:lang w:eastAsia="lv-LV"/>
        </w:rPr>
        <w:t>2020.</w:t>
      </w:r>
      <w:r w:rsidR="00B54F8E">
        <w:rPr>
          <w:lang w:eastAsia="lv-LV"/>
        </w:rPr>
        <w:t> </w:t>
      </w:r>
      <w:r>
        <w:rPr>
          <w:lang w:eastAsia="lv-LV"/>
        </w:rPr>
        <w:t xml:space="preserve">gadā </w:t>
      </w:r>
      <w:r w:rsidR="00F62B7E">
        <w:rPr>
          <w:lang w:eastAsia="lv-LV"/>
        </w:rPr>
        <w:t xml:space="preserve">pozitīvi </w:t>
      </w:r>
      <w:r>
        <w:rPr>
          <w:lang w:eastAsia="lv-LV"/>
        </w:rPr>
        <w:t>vērtē</w:t>
      </w:r>
      <w:r w:rsidR="003D3545">
        <w:rPr>
          <w:lang w:eastAsia="lv-LV"/>
        </w:rPr>
        <w:t>jams</w:t>
      </w:r>
      <w:r>
        <w:rPr>
          <w:lang w:eastAsia="lv-LV"/>
        </w:rPr>
        <w:t xml:space="preserve"> </w:t>
      </w:r>
      <w:r w:rsidR="00B54F8E">
        <w:rPr>
          <w:lang w:eastAsia="lv-LV"/>
        </w:rPr>
        <w:t>Narkotiku nelikumīgas aprites noziegumu izmeklēšanas prokuratūras</w:t>
      </w:r>
      <w:r w:rsidR="00F62B7E">
        <w:rPr>
          <w:lang w:eastAsia="lv-LV"/>
        </w:rPr>
        <w:t xml:space="preserve"> un </w:t>
      </w:r>
      <w:r>
        <w:rPr>
          <w:lang w:eastAsia="lv-LV"/>
        </w:rPr>
        <w:t>R</w:t>
      </w:r>
      <w:r w:rsidR="00B54F8E">
        <w:rPr>
          <w:lang w:eastAsia="lv-LV"/>
        </w:rPr>
        <w:t>īgas Autotransporta prokuratūras</w:t>
      </w:r>
      <w:r>
        <w:rPr>
          <w:lang w:eastAsia="lv-LV"/>
        </w:rPr>
        <w:t xml:space="preserve"> darbs saistībā ar </w:t>
      </w:r>
      <w:r w:rsidR="00B54F8E">
        <w:rPr>
          <w:lang w:eastAsia="lv-LV"/>
        </w:rPr>
        <w:t xml:space="preserve">prokuroru </w:t>
      </w:r>
      <w:r>
        <w:rPr>
          <w:lang w:eastAsia="lv-LV"/>
        </w:rPr>
        <w:t>pieņemtajiem priekšrakstiem par sodu, tād</w:t>
      </w:r>
      <w:r w:rsidR="00B54F8E">
        <w:rPr>
          <w:lang w:eastAsia="lv-LV"/>
        </w:rPr>
        <w:t>ē</w:t>
      </w:r>
      <w:r>
        <w:rPr>
          <w:lang w:eastAsia="lv-LV"/>
        </w:rPr>
        <w:t>jādi atslogojot ties</w:t>
      </w:r>
      <w:r w:rsidR="00F62B7E">
        <w:rPr>
          <w:lang w:eastAsia="lv-LV"/>
        </w:rPr>
        <w:t>u</w:t>
      </w:r>
      <w:r w:rsidR="00B54F8E">
        <w:rPr>
          <w:lang w:eastAsia="lv-LV"/>
        </w:rPr>
        <w:t xml:space="preserve"> un </w:t>
      </w:r>
      <w:r>
        <w:rPr>
          <w:lang w:eastAsia="lv-LV"/>
        </w:rPr>
        <w:t>panākot taisnīgu krimināltiesisko attiecību noregulējumu prokuratūr</w:t>
      </w:r>
      <w:r w:rsidR="00B54F8E">
        <w:rPr>
          <w:lang w:eastAsia="lv-LV"/>
        </w:rPr>
        <w:t xml:space="preserve">ā. </w:t>
      </w:r>
      <w:r>
        <w:rPr>
          <w:lang w:eastAsia="lv-LV"/>
        </w:rPr>
        <w:t xml:space="preserve">Savukārt </w:t>
      </w:r>
      <w:r w:rsidR="00B54F8E">
        <w:rPr>
          <w:lang w:eastAsia="lv-LV"/>
        </w:rPr>
        <w:t xml:space="preserve"> Finanšu un ekonomisko noziegum</w:t>
      </w:r>
      <w:r w:rsidR="001438FE">
        <w:rPr>
          <w:lang w:eastAsia="lv-LV"/>
        </w:rPr>
        <w:t xml:space="preserve">u izmeklēšanas prokuratūras un </w:t>
      </w:r>
      <w:r w:rsidR="001438FE" w:rsidRPr="00577BF3">
        <w:rPr>
          <w:rFonts w:cs="Times New Roman"/>
        </w:rPr>
        <w:t>Specializētā</w:t>
      </w:r>
      <w:r w:rsidR="00B73539">
        <w:rPr>
          <w:rFonts w:cs="Times New Roman"/>
        </w:rPr>
        <w:t>s</w:t>
      </w:r>
      <w:r w:rsidR="001438FE" w:rsidRPr="00577BF3">
        <w:rPr>
          <w:rFonts w:cs="Times New Roman"/>
        </w:rPr>
        <w:t xml:space="preserve"> vairāku nozaru prokuratūra</w:t>
      </w:r>
      <w:r w:rsidR="00B73539">
        <w:rPr>
          <w:rFonts w:cs="Times New Roman"/>
        </w:rPr>
        <w:t>s</w:t>
      </w:r>
      <w:r w:rsidR="001438FE">
        <w:rPr>
          <w:lang w:eastAsia="lv-LV"/>
        </w:rPr>
        <w:t xml:space="preserve"> </w:t>
      </w:r>
      <w:r>
        <w:rPr>
          <w:lang w:eastAsia="lv-LV"/>
        </w:rPr>
        <w:t>darbs atbilstoši viņu kompetencei attiecībā uz vienkāršoto kriminālprocesu izmantošanu</w:t>
      </w:r>
      <w:r w:rsidR="00B73539">
        <w:rPr>
          <w:lang w:eastAsia="lv-LV"/>
        </w:rPr>
        <w:t xml:space="preserve"> </w:t>
      </w:r>
      <w:r>
        <w:rPr>
          <w:lang w:eastAsia="lv-LV"/>
        </w:rPr>
        <w:t>ir optimāls</w:t>
      </w:r>
      <w:r w:rsidRPr="00776332">
        <w:rPr>
          <w:lang w:eastAsia="lv-LV"/>
        </w:rPr>
        <w:t xml:space="preserve"> </w:t>
      </w:r>
      <w:r>
        <w:rPr>
          <w:lang w:eastAsia="lv-LV"/>
        </w:rPr>
        <w:t>un iespēju robež</w:t>
      </w:r>
      <w:r w:rsidR="00B73539">
        <w:rPr>
          <w:lang w:eastAsia="lv-LV"/>
        </w:rPr>
        <w:t>ās</w:t>
      </w:r>
      <w:r w:rsidR="00ED59ED">
        <w:rPr>
          <w:lang w:eastAsia="lv-LV"/>
        </w:rPr>
        <w:t xml:space="preserve"> tas ticis izmantots.</w:t>
      </w:r>
    </w:p>
    <w:p w14:paraId="499FF429" w14:textId="77777777" w:rsidR="006C26A7" w:rsidRDefault="006C26A7" w:rsidP="006C26A7">
      <w:pPr>
        <w:pStyle w:val="NoSpacing"/>
        <w:ind w:firstLine="714"/>
        <w:jc w:val="both"/>
        <w:rPr>
          <w:lang w:eastAsia="lv-LV"/>
        </w:rPr>
      </w:pPr>
    </w:p>
    <w:p w14:paraId="19434B70" w14:textId="0AA6CD9E" w:rsidR="0099191B" w:rsidRPr="00AE1A91" w:rsidRDefault="00B73539" w:rsidP="00E329FC">
      <w:pPr>
        <w:pStyle w:val="ListParagraph"/>
        <w:numPr>
          <w:ilvl w:val="0"/>
          <w:numId w:val="60"/>
        </w:numPr>
        <w:spacing w:after="120" w:line="240" w:lineRule="auto"/>
        <w:ind w:left="714" w:hanging="357"/>
        <w:rPr>
          <w:b/>
          <w:bCs/>
          <w:szCs w:val="24"/>
          <w:lang w:eastAsia="lv-LV"/>
        </w:rPr>
      </w:pPr>
      <w:r>
        <w:rPr>
          <w:b/>
          <w:bCs/>
          <w:szCs w:val="24"/>
          <w:lang w:eastAsia="lv-LV"/>
        </w:rPr>
        <w:lastRenderedPageBreak/>
        <w:t xml:space="preserve">Pēc Krimināllikuma </w:t>
      </w:r>
      <w:r w:rsidR="00B93DB2">
        <w:rPr>
          <w:b/>
          <w:bCs/>
          <w:szCs w:val="24"/>
          <w:lang w:eastAsia="lv-LV"/>
        </w:rPr>
        <w:t>253.</w:t>
      </w:r>
      <w:r w:rsidR="00B93DB2" w:rsidRPr="00AE1A91">
        <w:rPr>
          <w:b/>
          <w:bCs/>
          <w:szCs w:val="24"/>
          <w:vertAlign w:val="superscript"/>
          <w:lang w:eastAsia="lv-LV"/>
        </w:rPr>
        <w:t>2</w:t>
      </w:r>
      <w:r w:rsidR="00B93DB2">
        <w:rPr>
          <w:b/>
          <w:bCs/>
          <w:szCs w:val="24"/>
          <w:lang w:eastAsia="lv-LV"/>
        </w:rPr>
        <w:t xml:space="preserve"> panta pirmās daļas, 262. panta pirmās daļas, 185. panta pirmās daļas, 218. panta </w:t>
      </w:r>
      <w:r>
        <w:rPr>
          <w:b/>
          <w:bCs/>
          <w:szCs w:val="24"/>
          <w:lang w:eastAsia="lv-LV"/>
        </w:rPr>
        <w:t xml:space="preserve">pabeigto kriminālprocesu procentuālā attiecība pret kopā pabeigto </w:t>
      </w:r>
      <w:r w:rsidR="00B93DB2">
        <w:rPr>
          <w:b/>
          <w:bCs/>
          <w:szCs w:val="24"/>
          <w:lang w:eastAsia="lv-LV"/>
        </w:rPr>
        <w:t>kriminālprocesu skaitu</w:t>
      </w:r>
    </w:p>
    <w:p w14:paraId="45B1CCFF" w14:textId="2CB0AB44" w:rsidR="0099191B" w:rsidRDefault="0099191B" w:rsidP="008A47EC">
      <w:pPr>
        <w:spacing w:after="0" w:line="240" w:lineRule="auto"/>
        <w:jc w:val="center"/>
        <w:rPr>
          <w:szCs w:val="24"/>
          <w:lang w:eastAsia="lv-LV"/>
        </w:rPr>
      </w:pPr>
      <w:r>
        <w:rPr>
          <w:noProof/>
        </w:rPr>
        <w:drawing>
          <wp:inline distT="0" distB="0" distL="0" distR="0" wp14:anchorId="09777E36" wp14:editId="3C63F1E9">
            <wp:extent cx="5106670" cy="3801533"/>
            <wp:effectExtent l="0" t="0" r="17780" b="8890"/>
            <wp:docPr id="119" name="Chart 119">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6A055E0A" w14:textId="77777777" w:rsidR="00FF226C" w:rsidRDefault="00FF226C" w:rsidP="00AE54F8">
      <w:pPr>
        <w:spacing w:after="0" w:line="240" w:lineRule="auto"/>
        <w:jc w:val="both"/>
        <w:rPr>
          <w:szCs w:val="24"/>
          <w:lang w:eastAsia="lv-LV"/>
        </w:rPr>
      </w:pPr>
    </w:p>
    <w:p w14:paraId="2C113E69" w14:textId="0F7FEDEA" w:rsidR="00AE54F8" w:rsidRPr="006302BC" w:rsidRDefault="00AE54F8" w:rsidP="00E329FC">
      <w:pPr>
        <w:pStyle w:val="ListParagraph"/>
        <w:numPr>
          <w:ilvl w:val="0"/>
          <w:numId w:val="60"/>
        </w:numPr>
        <w:spacing w:after="120" w:line="240" w:lineRule="auto"/>
        <w:ind w:left="714" w:hanging="357"/>
        <w:contextualSpacing w:val="0"/>
        <w:jc w:val="both"/>
        <w:rPr>
          <w:b/>
          <w:bCs/>
          <w:szCs w:val="24"/>
          <w:lang w:eastAsia="lv-LV"/>
        </w:rPr>
      </w:pPr>
      <w:r w:rsidRPr="006302BC">
        <w:rPr>
          <w:b/>
          <w:bCs/>
          <w:szCs w:val="24"/>
          <w:lang w:eastAsia="lv-LV"/>
        </w:rPr>
        <w:t>Prokuroru uzraudzībā pieņemti kriminālprocesi</w:t>
      </w:r>
    </w:p>
    <w:p w14:paraId="415AF4D4" w14:textId="3956A29F" w:rsidR="0099191B" w:rsidRDefault="0099191B" w:rsidP="00A6346C">
      <w:pPr>
        <w:spacing w:after="0" w:line="240" w:lineRule="auto"/>
        <w:jc w:val="center"/>
        <w:rPr>
          <w:szCs w:val="24"/>
          <w:lang w:eastAsia="lv-LV"/>
        </w:rPr>
      </w:pPr>
      <w:r>
        <w:rPr>
          <w:noProof/>
        </w:rPr>
        <w:drawing>
          <wp:inline distT="0" distB="0" distL="0" distR="0" wp14:anchorId="326F822F" wp14:editId="38C87311">
            <wp:extent cx="5085715" cy="2599267"/>
            <wp:effectExtent l="0" t="0" r="635" b="10795"/>
            <wp:docPr id="120" name="Chart 120">
              <a:extLst xmlns:a="http://schemas.openxmlformats.org/drawingml/2006/main">
                <a:ext uri="{FF2B5EF4-FFF2-40B4-BE49-F238E27FC236}">
                  <a16:creationId xmlns:a16="http://schemas.microsoft.com/office/drawing/2014/main" id="{00000000-0008-0000-01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190AA22C" w14:textId="77777777" w:rsidR="00FF226C" w:rsidRDefault="00FF226C" w:rsidP="00FF226C">
      <w:pPr>
        <w:spacing w:after="0" w:line="240" w:lineRule="auto"/>
        <w:jc w:val="both"/>
        <w:rPr>
          <w:szCs w:val="24"/>
          <w:lang w:eastAsia="lv-LV"/>
        </w:rPr>
      </w:pPr>
    </w:p>
    <w:p w14:paraId="0113158C" w14:textId="327578CD" w:rsidR="00397872" w:rsidRDefault="0099191B" w:rsidP="00A6346C">
      <w:pPr>
        <w:spacing w:after="0" w:line="240" w:lineRule="auto"/>
        <w:ind w:firstLine="720"/>
        <w:jc w:val="both"/>
        <w:rPr>
          <w:szCs w:val="24"/>
          <w:lang w:eastAsia="lv-LV"/>
        </w:rPr>
      </w:pPr>
      <w:r>
        <w:rPr>
          <w:szCs w:val="24"/>
          <w:lang w:eastAsia="lv-LV"/>
        </w:rPr>
        <w:t>2020.</w:t>
      </w:r>
      <w:r w:rsidR="00FF226C">
        <w:rPr>
          <w:szCs w:val="24"/>
          <w:lang w:eastAsia="lv-LV"/>
        </w:rPr>
        <w:t> </w:t>
      </w:r>
      <w:r>
        <w:rPr>
          <w:szCs w:val="24"/>
          <w:lang w:eastAsia="lv-LV"/>
        </w:rPr>
        <w:t xml:space="preserve">gadā samazinājies </w:t>
      </w:r>
      <w:r w:rsidR="00F62B7E">
        <w:rPr>
          <w:szCs w:val="24"/>
          <w:lang w:eastAsia="lv-LV"/>
        </w:rPr>
        <w:t xml:space="preserve">specializēto rajona statusa prokuratūru prokuroru </w:t>
      </w:r>
      <w:r>
        <w:rPr>
          <w:szCs w:val="24"/>
          <w:lang w:eastAsia="lv-LV"/>
        </w:rPr>
        <w:t>uzraudzībā pieņemto kriminālprocesu skaits, kas saistīts ar narkotisko</w:t>
      </w:r>
      <w:r w:rsidR="00FF226C">
        <w:rPr>
          <w:szCs w:val="24"/>
          <w:lang w:eastAsia="lv-LV"/>
        </w:rPr>
        <w:t>/</w:t>
      </w:r>
      <w:r>
        <w:rPr>
          <w:szCs w:val="24"/>
          <w:lang w:eastAsia="lv-LV"/>
        </w:rPr>
        <w:t>psihotropo vielu neatļautu apriti (par to komentārs tika sniegts, aprakstot tabulu</w:t>
      </w:r>
      <w:r w:rsidR="00FF226C">
        <w:rPr>
          <w:szCs w:val="24"/>
          <w:lang w:eastAsia="lv-LV"/>
        </w:rPr>
        <w:t xml:space="preserve"> par kriminālvajāšanai saņemtiem kriminālprocesiem</w:t>
      </w:r>
      <w:r>
        <w:rPr>
          <w:szCs w:val="24"/>
          <w:lang w:eastAsia="lv-LV"/>
        </w:rPr>
        <w:t xml:space="preserve">), savukārt daļā, kas saistīts ar finanšu un ekonomiskajiem </w:t>
      </w:r>
      <w:r w:rsidR="00AE1239">
        <w:rPr>
          <w:szCs w:val="24"/>
          <w:lang w:eastAsia="lv-LV"/>
        </w:rPr>
        <w:t xml:space="preserve">noziedzīgajiem </w:t>
      </w:r>
      <w:r>
        <w:rPr>
          <w:szCs w:val="24"/>
          <w:lang w:eastAsia="lv-LV"/>
        </w:rPr>
        <w:t xml:space="preserve">nodarījumiem, </w:t>
      </w:r>
      <w:r w:rsidR="00AE1239">
        <w:rPr>
          <w:szCs w:val="24"/>
          <w:lang w:eastAsia="lv-LV"/>
        </w:rPr>
        <w:t xml:space="preserve">noziedzīgajiem nodarījumiem </w:t>
      </w:r>
      <w:r>
        <w:rPr>
          <w:szCs w:val="24"/>
          <w:lang w:eastAsia="lv-LV"/>
        </w:rPr>
        <w:t xml:space="preserve">pret dabas vidi, militārajā dienestā </w:t>
      </w:r>
      <w:r w:rsidR="00AE1239">
        <w:rPr>
          <w:szCs w:val="24"/>
          <w:lang w:eastAsia="lv-LV"/>
        </w:rPr>
        <w:t>izdarītajiem noziedzīgajiem</w:t>
      </w:r>
      <w:r>
        <w:rPr>
          <w:szCs w:val="24"/>
          <w:lang w:eastAsia="lv-LV"/>
        </w:rPr>
        <w:t xml:space="preserve"> nodarījum</w:t>
      </w:r>
      <w:r w:rsidR="00AE1239">
        <w:rPr>
          <w:szCs w:val="24"/>
          <w:lang w:eastAsia="lv-LV"/>
        </w:rPr>
        <w:t>iem</w:t>
      </w:r>
      <w:r>
        <w:rPr>
          <w:szCs w:val="24"/>
          <w:lang w:eastAsia="lv-LV"/>
        </w:rPr>
        <w:t xml:space="preserve"> un </w:t>
      </w:r>
      <w:r w:rsidR="00AE1239">
        <w:rPr>
          <w:szCs w:val="24"/>
          <w:lang w:eastAsia="lv-LV"/>
        </w:rPr>
        <w:t xml:space="preserve">noziedzīgajiem </w:t>
      </w:r>
      <w:r>
        <w:rPr>
          <w:szCs w:val="24"/>
          <w:lang w:eastAsia="lv-LV"/>
        </w:rPr>
        <w:t>nodarījum</w:t>
      </w:r>
      <w:r w:rsidR="00AE1239">
        <w:rPr>
          <w:szCs w:val="24"/>
          <w:lang w:eastAsia="lv-LV"/>
        </w:rPr>
        <w:t>iem</w:t>
      </w:r>
      <w:r>
        <w:rPr>
          <w:szCs w:val="24"/>
          <w:lang w:eastAsia="lv-LV"/>
        </w:rPr>
        <w:t xml:space="preserve"> ceļu satiksmē</w:t>
      </w:r>
      <w:r w:rsidR="00F62B7E">
        <w:rPr>
          <w:szCs w:val="24"/>
          <w:lang w:eastAsia="lv-LV"/>
        </w:rPr>
        <w:t>,</w:t>
      </w:r>
      <w:r>
        <w:rPr>
          <w:szCs w:val="24"/>
          <w:lang w:eastAsia="lv-LV"/>
        </w:rPr>
        <w:t xml:space="preserve"> ir vērojams pieaugums.</w:t>
      </w:r>
    </w:p>
    <w:p w14:paraId="66014912" w14:textId="77777777" w:rsidR="00397872" w:rsidRDefault="00397872" w:rsidP="00AE1239">
      <w:pPr>
        <w:spacing w:after="0" w:line="240" w:lineRule="auto"/>
        <w:jc w:val="both"/>
        <w:rPr>
          <w:szCs w:val="24"/>
          <w:lang w:eastAsia="lv-LV"/>
        </w:rPr>
      </w:pPr>
    </w:p>
    <w:p w14:paraId="78C6AEBB" w14:textId="76F1B8ED" w:rsidR="00AE1239" w:rsidRPr="006302BC" w:rsidRDefault="00AE1239" w:rsidP="00E329FC">
      <w:pPr>
        <w:pStyle w:val="ListParagraph"/>
        <w:numPr>
          <w:ilvl w:val="0"/>
          <w:numId w:val="60"/>
        </w:numPr>
        <w:spacing w:after="120" w:line="240" w:lineRule="auto"/>
        <w:ind w:left="714" w:hanging="357"/>
        <w:jc w:val="both"/>
        <w:rPr>
          <w:b/>
          <w:bCs/>
          <w:szCs w:val="24"/>
          <w:lang w:eastAsia="lv-LV"/>
        </w:rPr>
      </w:pPr>
      <w:r w:rsidRPr="006302BC">
        <w:rPr>
          <w:b/>
          <w:bCs/>
          <w:szCs w:val="24"/>
          <w:lang w:eastAsia="lv-LV"/>
        </w:rPr>
        <w:lastRenderedPageBreak/>
        <w:t>Ar prokurora piekrišanu atteikts uzsākt kriminālprocesu par maznozīmīgu noziedzīgu nodarījumu</w:t>
      </w:r>
    </w:p>
    <w:p w14:paraId="1C843BCF" w14:textId="580D0AA6" w:rsidR="0099191B" w:rsidRDefault="0099191B" w:rsidP="00A6346C">
      <w:pPr>
        <w:spacing w:after="0" w:line="240" w:lineRule="auto"/>
        <w:jc w:val="center"/>
        <w:rPr>
          <w:szCs w:val="24"/>
          <w:lang w:eastAsia="lv-LV"/>
        </w:rPr>
      </w:pPr>
      <w:r>
        <w:rPr>
          <w:noProof/>
        </w:rPr>
        <w:drawing>
          <wp:inline distT="0" distB="0" distL="0" distR="0" wp14:anchorId="4C2B3252" wp14:editId="151E325E">
            <wp:extent cx="5384800" cy="2235200"/>
            <wp:effectExtent l="0" t="0" r="6350" b="12700"/>
            <wp:docPr id="121" name="Chart 121">
              <a:extLst xmlns:a="http://schemas.openxmlformats.org/drawingml/2006/main">
                <a:ext uri="{FF2B5EF4-FFF2-40B4-BE49-F238E27FC236}">
                  <a16:creationId xmlns:a16="http://schemas.microsoft.com/office/drawing/2014/main"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6987C443" w14:textId="188123B8" w:rsidR="0049486C" w:rsidRDefault="0049486C" w:rsidP="0049486C">
      <w:pPr>
        <w:spacing w:after="0" w:line="240" w:lineRule="auto"/>
        <w:jc w:val="both"/>
        <w:rPr>
          <w:szCs w:val="24"/>
          <w:lang w:eastAsia="lv-LV"/>
        </w:rPr>
      </w:pPr>
    </w:p>
    <w:p w14:paraId="2D441A78" w14:textId="0BD75473" w:rsidR="0049486C" w:rsidRPr="006302BC" w:rsidRDefault="0049486C" w:rsidP="00E329FC">
      <w:pPr>
        <w:pStyle w:val="ListParagraph"/>
        <w:numPr>
          <w:ilvl w:val="0"/>
          <w:numId w:val="60"/>
        </w:numPr>
        <w:spacing w:after="120" w:line="240" w:lineRule="auto"/>
        <w:ind w:left="714" w:hanging="357"/>
        <w:jc w:val="both"/>
        <w:rPr>
          <w:b/>
          <w:bCs/>
          <w:szCs w:val="24"/>
          <w:lang w:eastAsia="lv-LV"/>
        </w:rPr>
      </w:pPr>
      <w:r w:rsidRPr="006302BC">
        <w:rPr>
          <w:b/>
          <w:bCs/>
          <w:szCs w:val="24"/>
          <w:lang w:eastAsia="lv-LV"/>
        </w:rPr>
        <w:t>Dota piekrišan</w:t>
      </w:r>
      <w:r w:rsidR="00B65E23" w:rsidRPr="006302BC">
        <w:rPr>
          <w:b/>
          <w:bCs/>
          <w:szCs w:val="24"/>
          <w:lang w:eastAsia="lv-LV"/>
        </w:rPr>
        <w:t>a</w:t>
      </w:r>
      <w:r w:rsidRPr="006302BC">
        <w:rPr>
          <w:b/>
          <w:bCs/>
          <w:szCs w:val="24"/>
          <w:lang w:eastAsia="lv-LV"/>
        </w:rPr>
        <w:t xml:space="preserve"> kriminālproces</w:t>
      </w:r>
      <w:r w:rsidR="00B65E23" w:rsidRPr="006302BC">
        <w:rPr>
          <w:b/>
          <w:bCs/>
          <w:szCs w:val="24"/>
          <w:lang w:eastAsia="lv-LV"/>
        </w:rPr>
        <w:t>a</w:t>
      </w:r>
      <w:r w:rsidRPr="006302BC">
        <w:rPr>
          <w:b/>
          <w:bCs/>
          <w:szCs w:val="24"/>
          <w:lang w:eastAsia="lv-LV"/>
        </w:rPr>
        <w:t xml:space="preserve"> apturēšan</w:t>
      </w:r>
      <w:r w:rsidR="00B65E23" w:rsidRPr="006302BC">
        <w:rPr>
          <w:b/>
          <w:bCs/>
          <w:szCs w:val="24"/>
          <w:lang w:eastAsia="lv-LV"/>
        </w:rPr>
        <w:t>ai izmeklēšanā</w:t>
      </w:r>
    </w:p>
    <w:p w14:paraId="17F746A0" w14:textId="15294AFE" w:rsidR="0099191B" w:rsidRDefault="0099191B" w:rsidP="00A6346C">
      <w:pPr>
        <w:spacing w:after="0" w:line="240" w:lineRule="auto"/>
        <w:jc w:val="center"/>
        <w:rPr>
          <w:szCs w:val="24"/>
          <w:lang w:eastAsia="lv-LV"/>
        </w:rPr>
      </w:pPr>
      <w:r>
        <w:rPr>
          <w:noProof/>
        </w:rPr>
        <w:drawing>
          <wp:inline distT="0" distB="0" distL="0" distR="0" wp14:anchorId="319FC4E2" wp14:editId="7C01A32D">
            <wp:extent cx="5391150" cy="2203450"/>
            <wp:effectExtent l="0" t="0" r="0" b="6350"/>
            <wp:docPr id="122" name="Chart 122">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2F409681" w14:textId="77777777" w:rsidR="00691EBF" w:rsidRDefault="00691EBF" w:rsidP="00691EBF">
      <w:pPr>
        <w:spacing w:after="0" w:line="240" w:lineRule="auto"/>
        <w:jc w:val="both"/>
        <w:rPr>
          <w:szCs w:val="24"/>
          <w:lang w:eastAsia="lv-LV"/>
        </w:rPr>
      </w:pPr>
    </w:p>
    <w:p w14:paraId="4A0241CB" w14:textId="458339C5" w:rsidR="00691EBF" w:rsidRPr="006302BC" w:rsidRDefault="00691EBF" w:rsidP="00E329FC">
      <w:pPr>
        <w:pStyle w:val="ListParagraph"/>
        <w:numPr>
          <w:ilvl w:val="0"/>
          <w:numId w:val="60"/>
        </w:numPr>
        <w:spacing w:after="120" w:line="240" w:lineRule="auto"/>
        <w:ind w:left="714" w:hanging="357"/>
        <w:jc w:val="both"/>
        <w:rPr>
          <w:b/>
          <w:bCs/>
          <w:szCs w:val="24"/>
          <w:lang w:eastAsia="lv-LV"/>
        </w:rPr>
      </w:pPr>
      <w:r w:rsidRPr="006302BC">
        <w:rPr>
          <w:b/>
          <w:bCs/>
          <w:szCs w:val="24"/>
          <w:lang w:eastAsia="lv-LV"/>
        </w:rPr>
        <w:t>Prokuroru dotie norādījumi</w:t>
      </w:r>
    </w:p>
    <w:p w14:paraId="045D141D" w14:textId="7940627D" w:rsidR="0099191B" w:rsidRDefault="0099191B" w:rsidP="00A6346C">
      <w:pPr>
        <w:spacing w:after="0" w:line="240" w:lineRule="auto"/>
        <w:jc w:val="center"/>
        <w:rPr>
          <w:szCs w:val="24"/>
          <w:lang w:eastAsia="lv-LV"/>
        </w:rPr>
      </w:pPr>
      <w:r>
        <w:rPr>
          <w:noProof/>
        </w:rPr>
        <w:drawing>
          <wp:inline distT="0" distB="0" distL="0" distR="0" wp14:anchorId="0BD243C4" wp14:editId="55234C24">
            <wp:extent cx="5391150" cy="2406650"/>
            <wp:effectExtent l="0" t="0" r="0" b="12700"/>
            <wp:docPr id="123" name="Chart 123">
              <a:extLst xmlns:a="http://schemas.openxmlformats.org/drawingml/2006/main">
                <a:ext uri="{FF2B5EF4-FFF2-40B4-BE49-F238E27FC236}">
                  <a16:creationId xmlns:a16="http://schemas.microsoft.com/office/drawing/2014/main" id="{00000000-0008-0000-01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0DBA68E4" w14:textId="77777777" w:rsidR="00691EBF" w:rsidRDefault="00691EBF" w:rsidP="00691EBF">
      <w:pPr>
        <w:spacing w:after="0" w:line="240" w:lineRule="auto"/>
        <w:ind w:left="-142" w:firstLine="567"/>
        <w:jc w:val="both"/>
        <w:rPr>
          <w:szCs w:val="24"/>
          <w:lang w:eastAsia="lv-LV"/>
        </w:rPr>
      </w:pPr>
    </w:p>
    <w:p w14:paraId="037718A4" w14:textId="3329C247" w:rsidR="001318B2" w:rsidRDefault="0099191B" w:rsidP="00F62B7E">
      <w:pPr>
        <w:spacing w:after="0" w:line="240" w:lineRule="auto"/>
        <w:ind w:firstLine="720"/>
        <w:jc w:val="both"/>
        <w:rPr>
          <w:szCs w:val="24"/>
          <w:lang w:eastAsia="lv-LV"/>
        </w:rPr>
      </w:pPr>
      <w:r>
        <w:rPr>
          <w:szCs w:val="24"/>
          <w:lang w:eastAsia="lv-LV"/>
        </w:rPr>
        <w:t xml:space="preserve">Specializēto </w:t>
      </w:r>
      <w:r w:rsidR="00F62B7E">
        <w:rPr>
          <w:szCs w:val="24"/>
          <w:lang w:eastAsia="lv-LV"/>
        </w:rPr>
        <w:t xml:space="preserve">rajona statusa </w:t>
      </w:r>
      <w:r>
        <w:rPr>
          <w:szCs w:val="24"/>
          <w:lang w:eastAsia="lv-LV"/>
        </w:rPr>
        <w:t>prokuratūru prokurori arī 2020.</w:t>
      </w:r>
      <w:r w:rsidR="00691EBF">
        <w:rPr>
          <w:szCs w:val="24"/>
          <w:lang w:eastAsia="lv-LV"/>
        </w:rPr>
        <w:t> </w:t>
      </w:r>
      <w:r>
        <w:rPr>
          <w:szCs w:val="24"/>
          <w:lang w:eastAsia="lv-LV"/>
        </w:rPr>
        <w:t>gadā bieži ir devuši prokuroru norādījumus, kas izskaidrojams ar izmeklētāju noslodzi un biežo mainību, īpaši Valsts policijas Rīgas reģiona pārvaldē.</w:t>
      </w:r>
    </w:p>
    <w:p w14:paraId="16116AC7" w14:textId="77777777" w:rsidR="009B0B3E" w:rsidRDefault="009B0B3E" w:rsidP="009B0B3E">
      <w:pPr>
        <w:spacing w:after="0" w:line="240" w:lineRule="auto"/>
        <w:jc w:val="both"/>
        <w:rPr>
          <w:szCs w:val="24"/>
          <w:lang w:eastAsia="lv-LV"/>
        </w:rPr>
      </w:pPr>
    </w:p>
    <w:p w14:paraId="06B48DBA" w14:textId="0EE88706" w:rsidR="0099191B" w:rsidRPr="006302BC" w:rsidRDefault="00F706C0" w:rsidP="00E329FC">
      <w:pPr>
        <w:pStyle w:val="ListParagraph"/>
        <w:numPr>
          <w:ilvl w:val="0"/>
          <w:numId w:val="60"/>
        </w:numPr>
        <w:spacing w:after="120" w:line="240" w:lineRule="auto"/>
        <w:ind w:left="714" w:hanging="357"/>
        <w:contextualSpacing w:val="0"/>
        <w:jc w:val="both"/>
        <w:rPr>
          <w:b/>
          <w:bCs/>
          <w:szCs w:val="24"/>
          <w:lang w:eastAsia="lv-LV"/>
        </w:rPr>
      </w:pPr>
      <w:r w:rsidRPr="006302BC">
        <w:rPr>
          <w:b/>
          <w:bCs/>
          <w:szCs w:val="24"/>
          <w:lang w:eastAsia="lv-LV"/>
        </w:rPr>
        <w:lastRenderedPageBreak/>
        <w:t xml:space="preserve">Valsts apsūdzības uzturēšana pirmās instances tiesā (izskatītas </w:t>
      </w:r>
      <w:r w:rsidR="00F62B7E">
        <w:rPr>
          <w:b/>
          <w:bCs/>
          <w:szCs w:val="24"/>
          <w:lang w:eastAsia="lv-LV"/>
        </w:rPr>
        <w:t>krimināl</w:t>
      </w:r>
      <w:r w:rsidRPr="006302BC">
        <w:rPr>
          <w:b/>
          <w:bCs/>
          <w:szCs w:val="24"/>
          <w:lang w:eastAsia="lv-LV"/>
        </w:rPr>
        <w:t>lietas), no tām bez pierādījumu pārbaudes</w:t>
      </w:r>
    </w:p>
    <w:p w14:paraId="57ADC155" w14:textId="10D251A4" w:rsidR="0099191B" w:rsidRDefault="0099191B" w:rsidP="009B0B3E">
      <w:pPr>
        <w:spacing w:after="0" w:line="240" w:lineRule="auto"/>
        <w:jc w:val="center"/>
        <w:rPr>
          <w:szCs w:val="24"/>
          <w:lang w:eastAsia="lv-LV"/>
        </w:rPr>
      </w:pPr>
      <w:r>
        <w:rPr>
          <w:noProof/>
        </w:rPr>
        <w:drawing>
          <wp:inline distT="0" distB="0" distL="0" distR="0" wp14:anchorId="3B4F6B5D" wp14:editId="467F241A">
            <wp:extent cx="5365750" cy="3225800"/>
            <wp:effectExtent l="0" t="0" r="6350" b="12700"/>
            <wp:docPr id="124" name="Chart 124">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347AF819" w14:textId="495280FF" w:rsidR="006C26A7" w:rsidRDefault="006C26A7" w:rsidP="006C26A7">
      <w:pPr>
        <w:spacing w:after="0" w:line="240" w:lineRule="auto"/>
        <w:jc w:val="both"/>
        <w:rPr>
          <w:szCs w:val="24"/>
          <w:lang w:eastAsia="lv-LV"/>
        </w:rPr>
      </w:pPr>
    </w:p>
    <w:p w14:paraId="2135AD6F" w14:textId="093D1709" w:rsidR="006C26A7" w:rsidRDefault="006C26A7" w:rsidP="006C26A7">
      <w:pPr>
        <w:pStyle w:val="NoSpacing"/>
        <w:ind w:firstLine="720"/>
        <w:jc w:val="both"/>
        <w:rPr>
          <w:lang w:eastAsia="lv-LV"/>
        </w:rPr>
      </w:pPr>
      <w:r>
        <w:rPr>
          <w:lang w:eastAsia="lv-LV"/>
        </w:rPr>
        <w:t>2020.</w:t>
      </w:r>
      <w:r w:rsidR="00F62B7E">
        <w:rPr>
          <w:lang w:eastAsia="lv-LV"/>
        </w:rPr>
        <w:t> </w:t>
      </w:r>
      <w:r>
        <w:rPr>
          <w:lang w:eastAsia="lv-LV"/>
        </w:rPr>
        <w:t>gadā specializēto rajon</w:t>
      </w:r>
      <w:r w:rsidR="00F62B7E">
        <w:rPr>
          <w:lang w:eastAsia="lv-LV"/>
        </w:rPr>
        <w:t xml:space="preserve">a statusa prokuratūru </w:t>
      </w:r>
      <w:r>
        <w:rPr>
          <w:lang w:eastAsia="lv-LV"/>
        </w:rPr>
        <w:t xml:space="preserve">prokuroru </w:t>
      </w:r>
      <w:r w:rsidR="00F62B7E">
        <w:rPr>
          <w:lang w:eastAsia="lv-LV"/>
        </w:rPr>
        <w:t xml:space="preserve">tiesai </w:t>
      </w:r>
      <w:r>
        <w:rPr>
          <w:lang w:eastAsia="lv-LV"/>
        </w:rPr>
        <w:t xml:space="preserve">nodotās </w:t>
      </w:r>
      <w:r w:rsidR="00F62B7E">
        <w:rPr>
          <w:lang w:eastAsia="lv-LV"/>
        </w:rPr>
        <w:t>krimināl</w:t>
      </w:r>
      <w:r>
        <w:rPr>
          <w:lang w:eastAsia="lv-LV"/>
        </w:rPr>
        <w:t>lietas</w:t>
      </w:r>
      <w:r w:rsidR="00F62B7E">
        <w:rPr>
          <w:lang w:eastAsia="lv-LV"/>
        </w:rPr>
        <w:t>, izņemot Finanšu un ekonomisko noziegumu izmeklēšanas prokuratūras prokuroru tiesai nodotās krimināllietas</w:t>
      </w:r>
      <w:r>
        <w:rPr>
          <w:lang w:eastAsia="lv-LV"/>
        </w:rPr>
        <w:t>, vidēji 50</w:t>
      </w:r>
      <w:r w:rsidR="00F62B7E">
        <w:rPr>
          <w:lang w:eastAsia="lv-LV"/>
        </w:rPr>
        <w:t> </w:t>
      </w:r>
      <w:r>
        <w:rPr>
          <w:lang w:eastAsia="lv-LV"/>
        </w:rPr>
        <w:t>% izskatītas bez pierādījumu pārbaudes.</w:t>
      </w:r>
    </w:p>
    <w:p w14:paraId="7D2BA201" w14:textId="77777777" w:rsidR="006C26A7" w:rsidRDefault="006C26A7" w:rsidP="006C26A7">
      <w:pPr>
        <w:spacing w:after="0" w:line="240" w:lineRule="auto"/>
        <w:jc w:val="both"/>
        <w:rPr>
          <w:szCs w:val="24"/>
          <w:lang w:eastAsia="lv-LV"/>
        </w:rPr>
      </w:pPr>
    </w:p>
    <w:p w14:paraId="3337DB2F" w14:textId="29CC7453" w:rsidR="003E6A36" w:rsidRPr="006302BC" w:rsidRDefault="006C26A7" w:rsidP="00E329FC">
      <w:pPr>
        <w:pStyle w:val="ListParagraph"/>
        <w:numPr>
          <w:ilvl w:val="0"/>
          <w:numId w:val="60"/>
        </w:numPr>
        <w:spacing w:after="120" w:line="240" w:lineRule="auto"/>
        <w:ind w:left="714" w:hanging="357"/>
        <w:jc w:val="both"/>
        <w:rPr>
          <w:b/>
          <w:bCs/>
          <w:szCs w:val="24"/>
          <w:lang w:eastAsia="lv-LV"/>
        </w:rPr>
      </w:pPr>
      <w:r w:rsidRPr="006302BC">
        <w:rPr>
          <w:b/>
          <w:bCs/>
          <w:szCs w:val="24"/>
          <w:lang w:eastAsia="lv-LV"/>
        </w:rPr>
        <w:t>Iesniegti protesti, no tiem apmierināti</w:t>
      </w:r>
    </w:p>
    <w:p w14:paraId="5FFF9437" w14:textId="15DA24BB" w:rsidR="0099191B" w:rsidRDefault="0099191B" w:rsidP="00C1357B">
      <w:pPr>
        <w:spacing w:after="0" w:line="240" w:lineRule="auto"/>
        <w:jc w:val="center"/>
        <w:rPr>
          <w:szCs w:val="24"/>
          <w:lang w:eastAsia="lv-LV"/>
        </w:rPr>
      </w:pPr>
      <w:r>
        <w:rPr>
          <w:noProof/>
        </w:rPr>
        <w:drawing>
          <wp:inline distT="0" distB="0" distL="0" distR="0" wp14:anchorId="73F92BD9" wp14:editId="03233686">
            <wp:extent cx="5359400" cy="2844800"/>
            <wp:effectExtent l="0" t="0" r="12700" b="12700"/>
            <wp:docPr id="125" name="Chart 125">
              <a:extLst xmlns:a="http://schemas.openxmlformats.org/drawingml/2006/main">
                <a:ext uri="{FF2B5EF4-FFF2-40B4-BE49-F238E27FC236}">
                  <a16:creationId xmlns:a16="http://schemas.microsoft.com/office/drawing/2014/main" id="{00000000-0008-0000-01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27701422" w14:textId="11C11A8C" w:rsidR="009A58C1" w:rsidRDefault="009A58C1" w:rsidP="009A58C1">
      <w:pPr>
        <w:spacing w:after="0" w:line="240" w:lineRule="auto"/>
        <w:jc w:val="both"/>
        <w:rPr>
          <w:szCs w:val="24"/>
          <w:lang w:eastAsia="lv-LV"/>
        </w:rPr>
      </w:pPr>
    </w:p>
    <w:p w14:paraId="7A2B4BF9" w14:textId="184A6862" w:rsidR="001061BC" w:rsidRPr="00B41EC9" w:rsidRDefault="009A58C1" w:rsidP="00B41EC9">
      <w:pPr>
        <w:pStyle w:val="NoSpacing"/>
        <w:ind w:firstLine="720"/>
        <w:jc w:val="both"/>
        <w:rPr>
          <w:lang w:eastAsia="lv-LV"/>
        </w:rPr>
      </w:pPr>
      <w:r>
        <w:rPr>
          <w:lang w:eastAsia="lv-LV"/>
        </w:rPr>
        <w:t>Īpaši uzteicams</w:t>
      </w:r>
      <w:r w:rsidR="00B41EC9">
        <w:rPr>
          <w:lang w:eastAsia="lv-LV"/>
        </w:rPr>
        <w:t xml:space="preserve"> </w:t>
      </w:r>
      <w:r>
        <w:rPr>
          <w:lang w:eastAsia="lv-LV"/>
        </w:rPr>
        <w:t xml:space="preserve">2020. gadā </w:t>
      </w:r>
      <w:r w:rsidR="00F62B7E">
        <w:rPr>
          <w:lang w:eastAsia="lv-LV"/>
        </w:rPr>
        <w:t>ir Finanšu un ekonomisko noziegumu izmeklēšanas prokuratūras</w:t>
      </w:r>
      <w:r>
        <w:rPr>
          <w:lang w:eastAsia="lv-LV"/>
        </w:rPr>
        <w:t xml:space="preserve"> un Narkotiku nelikumīgas aprites noziegumu izmeklēšanas prokuratūras</w:t>
      </w:r>
      <w:r w:rsidR="00B41EC9">
        <w:rPr>
          <w:lang w:eastAsia="lv-LV"/>
        </w:rPr>
        <w:t xml:space="preserve"> darbs saistībā ar protestiem</w:t>
      </w:r>
      <w:r>
        <w:rPr>
          <w:lang w:eastAsia="lv-LV"/>
        </w:rPr>
        <w:t>, kur redzams, ka</w:t>
      </w:r>
      <w:r w:rsidR="00B41EC9">
        <w:rPr>
          <w:lang w:eastAsia="lv-LV"/>
        </w:rPr>
        <w:t xml:space="preserve"> apelācijas vai kasācijas instances tiesā</w:t>
      </w:r>
      <w:r>
        <w:rPr>
          <w:lang w:eastAsia="lv-LV"/>
        </w:rPr>
        <w:t xml:space="preserve"> apmierināti vairāk </w:t>
      </w:r>
      <w:r w:rsidR="00B41EC9">
        <w:rPr>
          <w:lang w:eastAsia="lv-LV"/>
        </w:rPr>
        <w:t>ne</w:t>
      </w:r>
      <w:r>
        <w:rPr>
          <w:lang w:eastAsia="lv-LV"/>
        </w:rPr>
        <w:t>kā 50</w:t>
      </w:r>
      <w:r w:rsidR="00B41EC9">
        <w:rPr>
          <w:lang w:eastAsia="lv-LV"/>
        </w:rPr>
        <w:t> </w:t>
      </w:r>
      <w:r>
        <w:rPr>
          <w:lang w:eastAsia="lv-LV"/>
        </w:rPr>
        <w:t>% no iesniegtajiem protestiem. Tād</w:t>
      </w:r>
      <w:r w:rsidR="00F62B7E">
        <w:rPr>
          <w:lang w:eastAsia="lv-LV"/>
        </w:rPr>
        <w:t>ē</w:t>
      </w:r>
      <w:r>
        <w:rPr>
          <w:lang w:eastAsia="lv-LV"/>
        </w:rPr>
        <w:t xml:space="preserve">jādi </w:t>
      </w:r>
      <w:r w:rsidR="00F62B7E">
        <w:rPr>
          <w:lang w:eastAsia="lv-LV"/>
        </w:rPr>
        <w:t xml:space="preserve">Finanšu un ekonomisko noziegumu izmeklēšanas prokuratūras </w:t>
      </w:r>
      <w:r>
        <w:rPr>
          <w:lang w:eastAsia="lv-LV"/>
        </w:rPr>
        <w:t>prokurori veicinājuši soda politikas izmaiņas un attīstību par finanšu un saimnieciska rakstura noziedzīgu nodarījumu izdarīšanu.</w:t>
      </w:r>
    </w:p>
    <w:p w14:paraId="4C483C7E" w14:textId="67C1DE1B" w:rsidR="001061BC" w:rsidRDefault="001061BC" w:rsidP="001061BC">
      <w:pPr>
        <w:spacing w:after="0" w:line="240" w:lineRule="auto"/>
        <w:jc w:val="both"/>
        <w:rPr>
          <w:szCs w:val="24"/>
          <w:lang w:eastAsia="lv-LV"/>
        </w:rPr>
      </w:pPr>
    </w:p>
    <w:p w14:paraId="4E64D593" w14:textId="5196B082" w:rsidR="001061BC" w:rsidRPr="006302BC" w:rsidRDefault="001061BC" w:rsidP="00E329FC">
      <w:pPr>
        <w:pStyle w:val="ListParagraph"/>
        <w:numPr>
          <w:ilvl w:val="0"/>
          <w:numId w:val="60"/>
        </w:numPr>
        <w:spacing w:after="120" w:line="240" w:lineRule="auto"/>
        <w:ind w:left="714" w:hanging="357"/>
        <w:contextualSpacing w:val="0"/>
        <w:jc w:val="both"/>
        <w:rPr>
          <w:b/>
          <w:bCs/>
          <w:szCs w:val="24"/>
          <w:lang w:eastAsia="lv-LV"/>
        </w:rPr>
      </w:pPr>
      <w:r w:rsidRPr="006302BC">
        <w:rPr>
          <w:b/>
          <w:bCs/>
          <w:szCs w:val="24"/>
          <w:lang w:eastAsia="lv-LV"/>
        </w:rPr>
        <w:lastRenderedPageBreak/>
        <w:t xml:space="preserve">Izlemtas sūdzības, no tām apmierinātas </w:t>
      </w:r>
    </w:p>
    <w:p w14:paraId="6E054041" w14:textId="6AF5AAE8" w:rsidR="00E5173A" w:rsidRDefault="0099191B" w:rsidP="009B0B3E">
      <w:pPr>
        <w:spacing w:after="0" w:line="240" w:lineRule="auto"/>
        <w:ind w:left="-142" w:firstLine="567"/>
        <w:jc w:val="center"/>
        <w:rPr>
          <w:szCs w:val="24"/>
          <w:lang w:eastAsia="lv-LV"/>
        </w:rPr>
      </w:pPr>
      <w:r>
        <w:rPr>
          <w:noProof/>
        </w:rPr>
        <w:drawing>
          <wp:inline distT="0" distB="0" distL="0" distR="0" wp14:anchorId="54894116" wp14:editId="0C796511">
            <wp:extent cx="5378450" cy="2286000"/>
            <wp:effectExtent l="0" t="0" r="12700" b="0"/>
            <wp:docPr id="126" name="Chart 126">
              <a:extLst xmlns:a="http://schemas.openxmlformats.org/drawingml/2006/main">
                <a:ext uri="{FF2B5EF4-FFF2-40B4-BE49-F238E27FC236}">
                  <a16:creationId xmlns:a16="http://schemas.microsoft.com/office/drawing/2014/main" id="{00000000-0008-0000-01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4578C286" w14:textId="77777777" w:rsidR="00F62B7E" w:rsidRDefault="00F62B7E" w:rsidP="005A3286">
      <w:pPr>
        <w:pStyle w:val="NoSpacing"/>
        <w:ind w:firstLine="720"/>
        <w:jc w:val="both"/>
        <w:rPr>
          <w:lang w:eastAsia="lv-LV"/>
        </w:rPr>
      </w:pPr>
    </w:p>
    <w:p w14:paraId="16F4D9DB" w14:textId="003DA386" w:rsidR="0099191B" w:rsidRDefault="0099191B" w:rsidP="005A3286">
      <w:pPr>
        <w:pStyle w:val="NoSpacing"/>
        <w:ind w:firstLine="720"/>
        <w:jc w:val="both"/>
        <w:rPr>
          <w:lang w:eastAsia="lv-LV"/>
        </w:rPr>
      </w:pPr>
      <w:r>
        <w:rPr>
          <w:lang w:eastAsia="lv-LV"/>
        </w:rPr>
        <w:t xml:space="preserve">Būtisks darbs </w:t>
      </w:r>
      <w:r w:rsidR="006828E8">
        <w:rPr>
          <w:lang w:eastAsia="lv-LV"/>
        </w:rPr>
        <w:t xml:space="preserve">specializētajās prokuratūrās </w:t>
      </w:r>
      <w:r>
        <w:rPr>
          <w:lang w:eastAsia="lv-LV"/>
        </w:rPr>
        <w:t>tiek ieguldīts</w:t>
      </w:r>
      <w:r w:rsidR="005A3286">
        <w:rPr>
          <w:lang w:eastAsia="lv-LV"/>
        </w:rPr>
        <w:t xml:space="preserve"> </w:t>
      </w:r>
      <w:r w:rsidR="006B5D9F">
        <w:rPr>
          <w:lang w:eastAsia="lv-LV"/>
        </w:rPr>
        <w:t>saistībā ar piekrišanas došanu</w:t>
      </w:r>
      <w:r w:rsidR="00F62B7E">
        <w:rPr>
          <w:lang w:eastAsia="lv-LV"/>
        </w:rPr>
        <w:t xml:space="preserve"> procesa virzītājiem</w:t>
      </w:r>
      <w:r w:rsidR="006B5D9F">
        <w:rPr>
          <w:lang w:eastAsia="lv-LV"/>
        </w:rPr>
        <w:t xml:space="preserve"> </w:t>
      </w:r>
      <w:r>
        <w:rPr>
          <w:lang w:eastAsia="lv-LV"/>
        </w:rPr>
        <w:t>Kriminālprocesa likuma 59.</w:t>
      </w:r>
      <w:r w:rsidR="006828E8">
        <w:rPr>
          <w:lang w:eastAsia="lv-LV"/>
        </w:rPr>
        <w:t> </w:t>
      </w:r>
      <w:r>
        <w:rPr>
          <w:lang w:eastAsia="lv-LV"/>
        </w:rPr>
        <w:t>nodaļas kārtībā</w:t>
      </w:r>
      <w:r w:rsidR="00447FAE">
        <w:rPr>
          <w:lang w:eastAsia="lv-LV"/>
        </w:rPr>
        <w:t xml:space="preserve"> uzsākt procesu par noziedzīgi iegūtu mantu</w:t>
      </w:r>
      <w:r w:rsidR="00E43C11">
        <w:rPr>
          <w:lang w:eastAsia="lv-LV"/>
        </w:rPr>
        <w:t xml:space="preserve">. </w:t>
      </w:r>
      <w:r>
        <w:rPr>
          <w:lang w:eastAsia="lv-LV"/>
        </w:rPr>
        <w:t>Atzīstams, ka</w:t>
      </w:r>
      <w:r w:rsidR="006828E8">
        <w:rPr>
          <w:lang w:eastAsia="lv-LV"/>
        </w:rPr>
        <w:t>,</w:t>
      </w:r>
      <w:r>
        <w:rPr>
          <w:lang w:eastAsia="lv-LV"/>
        </w:rPr>
        <w:t xml:space="preserve"> izskatot minētos procesus, pārsvarā </w:t>
      </w:r>
      <w:r w:rsidR="00E43C11">
        <w:rPr>
          <w:lang w:eastAsia="lv-LV"/>
        </w:rPr>
        <w:t xml:space="preserve">tiesas </w:t>
      </w:r>
      <w:r>
        <w:rPr>
          <w:lang w:eastAsia="lv-LV"/>
        </w:rPr>
        <w:t>mant</w:t>
      </w:r>
      <w:r w:rsidR="00E43C11">
        <w:rPr>
          <w:lang w:eastAsia="lv-LV"/>
        </w:rPr>
        <w:t>u</w:t>
      </w:r>
      <w:r>
        <w:rPr>
          <w:lang w:eastAsia="lv-LV"/>
        </w:rPr>
        <w:t xml:space="preserve"> atzī</w:t>
      </w:r>
      <w:r w:rsidR="00E43C11">
        <w:rPr>
          <w:lang w:eastAsia="lv-LV"/>
        </w:rPr>
        <w:t>s</w:t>
      </w:r>
      <w:r>
        <w:rPr>
          <w:lang w:eastAsia="lv-LV"/>
        </w:rPr>
        <w:t xml:space="preserve">t par noziedzīgi iegūtu, ieskaitot to valsts budžetā. </w:t>
      </w:r>
    </w:p>
    <w:p w14:paraId="6F07EE95" w14:textId="09933A56" w:rsidR="0099191B" w:rsidRPr="007B63A2" w:rsidRDefault="0099191B" w:rsidP="00E43C11">
      <w:pPr>
        <w:pStyle w:val="NoSpacing"/>
        <w:ind w:firstLine="720"/>
        <w:jc w:val="both"/>
        <w:rPr>
          <w:lang w:eastAsia="lv-LV"/>
        </w:rPr>
      </w:pPr>
      <w:r>
        <w:rPr>
          <w:lang w:eastAsia="lv-LV"/>
        </w:rPr>
        <w:t>Tā 2020.</w:t>
      </w:r>
      <w:r w:rsidR="006828E8">
        <w:rPr>
          <w:lang w:eastAsia="lv-LV"/>
        </w:rPr>
        <w:t> </w:t>
      </w:r>
      <w:r>
        <w:rPr>
          <w:lang w:eastAsia="lv-LV"/>
        </w:rPr>
        <w:t xml:space="preserve">gadā </w:t>
      </w:r>
      <w:r w:rsidR="006828E8">
        <w:rPr>
          <w:lang w:eastAsia="lv-LV"/>
        </w:rPr>
        <w:t>Organizētās noziedzības un citu nozaru specializētās prokuratūras</w:t>
      </w:r>
      <w:r>
        <w:rPr>
          <w:lang w:eastAsia="lv-LV"/>
        </w:rPr>
        <w:t xml:space="preserve"> prokurori</w:t>
      </w:r>
      <w:r w:rsidR="00E43C11">
        <w:rPr>
          <w:lang w:eastAsia="lv-LV"/>
        </w:rPr>
        <w:t xml:space="preserve"> devuši piekrišanu </w:t>
      </w:r>
      <w:r w:rsidR="00F62B7E">
        <w:rPr>
          <w:lang w:eastAsia="lv-LV"/>
        </w:rPr>
        <w:t xml:space="preserve">izmeklētājiem uzsākt </w:t>
      </w:r>
      <w:r>
        <w:rPr>
          <w:lang w:eastAsia="lv-LV"/>
        </w:rPr>
        <w:t>4</w:t>
      </w:r>
      <w:r w:rsidR="00E27EE3">
        <w:rPr>
          <w:lang w:eastAsia="lv-LV"/>
        </w:rPr>
        <w:t>6</w:t>
      </w:r>
      <w:r w:rsidR="00F62B7E">
        <w:rPr>
          <w:lang w:eastAsia="lv-LV"/>
        </w:rPr>
        <w:t> </w:t>
      </w:r>
      <w:r>
        <w:rPr>
          <w:lang w:eastAsia="lv-LV"/>
        </w:rPr>
        <w:t>proces</w:t>
      </w:r>
      <w:r w:rsidR="00F62B7E">
        <w:rPr>
          <w:lang w:eastAsia="lv-LV"/>
        </w:rPr>
        <w:t xml:space="preserve">us </w:t>
      </w:r>
      <w:r>
        <w:rPr>
          <w:lang w:eastAsia="lv-LV"/>
        </w:rPr>
        <w:t>par noziedzīgi iegūtu</w:t>
      </w:r>
      <w:r w:rsidR="004A3BD8">
        <w:rPr>
          <w:lang w:eastAsia="lv-LV"/>
        </w:rPr>
        <w:t xml:space="preserve"> </w:t>
      </w:r>
      <w:r w:rsidR="00F62B7E">
        <w:rPr>
          <w:lang w:eastAsia="lv-LV"/>
        </w:rPr>
        <w:t xml:space="preserve">mantu </w:t>
      </w:r>
      <w:r w:rsidR="004A3BD8">
        <w:rPr>
          <w:lang w:eastAsia="lv-LV"/>
        </w:rPr>
        <w:t xml:space="preserve">un </w:t>
      </w:r>
      <w:r w:rsidR="00E27EE3">
        <w:rPr>
          <w:lang w:eastAsia="lv-LV"/>
        </w:rPr>
        <w:t>1 </w:t>
      </w:r>
      <w:r>
        <w:rPr>
          <w:lang w:eastAsia="lv-LV"/>
        </w:rPr>
        <w:t xml:space="preserve">lēmumu </w:t>
      </w:r>
      <w:r w:rsidR="00F62B7E">
        <w:rPr>
          <w:lang w:eastAsia="lv-LV"/>
        </w:rPr>
        <w:t xml:space="preserve">par šāda procesa uzsākšanu </w:t>
      </w:r>
      <w:r>
        <w:rPr>
          <w:lang w:eastAsia="lv-LV"/>
        </w:rPr>
        <w:t>pieņēmis prokurors – procesa virzītājs; N</w:t>
      </w:r>
      <w:r w:rsidR="006828E8">
        <w:rPr>
          <w:lang w:eastAsia="lv-LV"/>
        </w:rPr>
        <w:t>odokļu un muitas lietu prokuratūra</w:t>
      </w:r>
      <w:r w:rsidR="00F62B7E">
        <w:rPr>
          <w:lang w:eastAsia="lv-LV"/>
        </w:rPr>
        <w:t>s prokurori</w:t>
      </w:r>
      <w:r>
        <w:rPr>
          <w:lang w:eastAsia="lv-LV"/>
        </w:rPr>
        <w:t xml:space="preserve"> </w:t>
      </w:r>
      <w:r w:rsidR="004A3BD8">
        <w:rPr>
          <w:lang w:eastAsia="lv-LV"/>
        </w:rPr>
        <w:t xml:space="preserve">devusi piekrišanu </w:t>
      </w:r>
      <w:r>
        <w:rPr>
          <w:lang w:eastAsia="lv-LV"/>
        </w:rPr>
        <w:t>19</w:t>
      </w:r>
      <w:r w:rsidR="00E27EE3">
        <w:rPr>
          <w:lang w:eastAsia="lv-LV"/>
        </w:rPr>
        <w:t xml:space="preserve"> </w:t>
      </w:r>
      <w:r w:rsidR="004A3BD8">
        <w:rPr>
          <w:lang w:eastAsia="lv-LV"/>
        </w:rPr>
        <w:t>proces</w:t>
      </w:r>
      <w:r w:rsidR="00F62B7E">
        <w:rPr>
          <w:lang w:eastAsia="lv-LV"/>
        </w:rPr>
        <w:t>u par noziedzīgi iegūtu mantu uzsākšanai</w:t>
      </w:r>
      <w:r>
        <w:rPr>
          <w:lang w:eastAsia="lv-LV"/>
        </w:rPr>
        <w:t xml:space="preserve">; </w:t>
      </w:r>
      <w:r w:rsidR="006828E8">
        <w:rPr>
          <w:lang w:eastAsia="lv-LV"/>
        </w:rPr>
        <w:t>Specializētā</w:t>
      </w:r>
      <w:r w:rsidR="00F62B7E">
        <w:rPr>
          <w:lang w:eastAsia="lv-LV"/>
        </w:rPr>
        <w:t>s</w:t>
      </w:r>
      <w:r w:rsidR="006828E8">
        <w:rPr>
          <w:lang w:eastAsia="lv-LV"/>
        </w:rPr>
        <w:t xml:space="preserve"> vairāku nozaru prokuratūra</w:t>
      </w:r>
      <w:r w:rsidR="00F62B7E">
        <w:rPr>
          <w:lang w:eastAsia="lv-LV"/>
        </w:rPr>
        <w:t>s prokurori</w:t>
      </w:r>
      <w:r w:rsidR="006828E8">
        <w:rPr>
          <w:lang w:eastAsia="lv-LV"/>
        </w:rPr>
        <w:t xml:space="preserve"> </w:t>
      </w:r>
      <w:r w:rsidR="006C7FCA">
        <w:rPr>
          <w:lang w:eastAsia="lv-LV"/>
        </w:rPr>
        <w:t xml:space="preserve">– </w:t>
      </w:r>
      <w:r w:rsidR="00E27EE3">
        <w:rPr>
          <w:lang w:eastAsia="lv-LV"/>
        </w:rPr>
        <w:t>2</w:t>
      </w:r>
      <w:r>
        <w:rPr>
          <w:lang w:eastAsia="lv-LV"/>
        </w:rPr>
        <w:t xml:space="preserve"> </w:t>
      </w:r>
      <w:r w:rsidR="004A3BD8">
        <w:rPr>
          <w:lang w:eastAsia="lv-LV"/>
        </w:rPr>
        <w:t>proces</w:t>
      </w:r>
      <w:r w:rsidR="00F62B7E">
        <w:rPr>
          <w:lang w:eastAsia="lv-LV"/>
        </w:rPr>
        <w:t>u</w:t>
      </w:r>
      <w:r w:rsidR="004A3BD8">
        <w:rPr>
          <w:lang w:eastAsia="lv-LV"/>
        </w:rPr>
        <w:t xml:space="preserve"> </w:t>
      </w:r>
      <w:r w:rsidR="00F62B7E">
        <w:rPr>
          <w:lang w:eastAsia="lv-LV"/>
        </w:rPr>
        <w:t>par noziedzīgi iegūtu mantu uzsākšanai</w:t>
      </w:r>
      <w:r w:rsidR="00E27EE3">
        <w:rPr>
          <w:lang w:eastAsia="lv-LV"/>
        </w:rPr>
        <w:t xml:space="preserve"> </w:t>
      </w:r>
      <w:r w:rsidR="000B54DC">
        <w:rPr>
          <w:lang w:eastAsia="lv-LV"/>
        </w:rPr>
        <w:t xml:space="preserve">un </w:t>
      </w:r>
      <w:r w:rsidR="00E27EE3">
        <w:rPr>
          <w:lang w:eastAsia="lv-LV"/>
        </w:rPr>
        <w:t>1 </w:t>
      </w:r>
      <w:r>
        <w:rPr>
          <w:lang w:eastAsia="lv-LV"/>
        </w:rPr>
        <w:t xml:space="preserve">lēmumu </w:t>
      </w:r>
      <w:r w:rsidR="00F62B7E">
        <w:rPr>
          <w:lang w:eastAsia="lv-LV"/>
        </w:rPr>
        <w:t xml:space="preserve">par šāda procesa uzsākšanu </w:t>
      </w:r>
      <w:r>
        <w:rPr>
          <w:lang w:eastAsia="lv-LV"/>
        </w:rPr>
        <w:t>pieņēmis prokurors – procesa virzītājs.</w:t>
      </w:r>
      <w:r w:rsidR="007B63A2">
        <w:rPr>
          <w:lang w:eastAsia="lv-LV"/>
        </w:rPr>
        <w:t xml:space="preserve"> </w:t>
      </w:r>
      <w:r w:rsidRPr="007B63A2">
        <w:rPr>
          <w:lang w:eastAsia="lv-LV"/>
        </w:rPr>
        <w:t xml:space="preserve">No iepriekš norādītā izriet, ka </w:t>
      </w:r>
      <w:r w:rsidR="00034C36">
        <w:rPr>
          <w:lang w:eastAsia="lv-LV"/>
        </w:rPr>
        <w:t xml:space="preserve">atbilstoši Kriminālprocesa likuma 59. nodaļai </w:t>
      </w:r>
      <w:r w:rsidRPr="007B63A2">
        <w:rPr>
          <w:lang w:eastAsia="lv-LV"/>
        </w:rPr>
        <w:t xml:space="preserve">procesi </w:t>
      </w:r>
      <w:r w:rsidR="00034C36">
        <w:rPr>
          <w:lang w:eastAsia="lv-LV"/>
        </w:rPr>
        <w:t xml:space="preserve">par noziedzīgi iegūtu mantu, izdalot no krimināllietas materiālus, </w:t>
      </w:r>
      <w:r w:rsidRPr="007B63A2">
        <w:rPr>
          <w:lang w:eastAsia="lv-LV"/>
        </w:rPr>
        <w:t xml:space="preserve">tiek </w:t>
      </w:r>
      <w:r w:rsidR="00034C36">
        <w:rPr>
          <w:lang w:eastAsia="lv-LV"/>
        </w:rPr>
        <w:t>uzsākti</w:t>
      </w:r>
      <w:r w:rsidRPr="007B63A2">
        <w:rPr>
          <w:lang w:eastAsia="lv-LV"/>
        </w:rPr>
        <w:t xml:space="preserve"> gan </w:t>
      </w:r>
      <w:r w:rsidR="00034C36">
        <w:rPr>
          <w:lang w:eastAsia="lv-LV"/>
        </w:rPr>
        <w:t>kriminālprocesos</w:t>
      </w:r>
      <w:r w:rsidRPr="007B63A2">
        <w:rPr>
          <w:lang w:eastAsia="lv-LV"/>
        </w:rPr>
        <w:t>, kas saistīt</w:t>
      </w:r>
      <w:r w:rsidR="00034C36">
        <w:rPr>
          <w:lang w:eastAsia="lv-LV"/>
        </w:rPr>
        <w:t>i</w:t>
      </w:r>
      <w:r w:rsidRPr="007B63A2">
        <w:rPr>
          <w:lang w:eastAsia="lv-LV"/>
        </w:rPr>
        <w:t xml:space="preserve"> ar ekonomiska rakstura </w:t>
      </w:r>
      <w:r w:rsidR="00034C36">
        <w:rPr>
          <w:lang w:eastAsia="lv-LV"/>
        </w:rPr>
        <w:t xml:space="preserve">noziedzīgiem </w:t>
      </w:r>
      <w:r w:rsidRPr="007B63A2">
        <w:rPr>
          <w:lang w:eastAsia="lv-LV"/>
        </w:rPr>
        <w:t xml:space="preserve">nodarījumiem, gan </w:t>
      </w:r>
      <w:r w:rsidR="00034C36">
        <w:rPr>
          <w:lang w:eastAsia="lv-LV"/>
        </w:rPr>
        <w:t>kriminālprocesos</w:t>
      </w:r>
      <w:r w:rsidRPr="007B63A2">
        <w:rPr>
          <w:lang w:eastAsia="lv-LV"/>
        </w:rPr>
        <w:t>, kur</w:t>
      </w:r>
      <w:r w:rsidR="00034C36">
        <w:rPr>
          <w:lang w:eastAsia="lv-LV"/>
        </w:rPr>
        <w:t>o</w:t>
      </w:r>
      <w:r w:rsidRPr="007B63A2">
        <w:rPr>
          <w:lang w:eastAsia="lv-LV"/>
        </w:rPr>
        <w:t xml:space="preserve">s izmeklēšana tiek veikta saistībā ar </w:t>
      </w:r>
      <w:r w:rsidR="00034C36">
        <w:rPr>
          <w:lang w:eastAsia="lv-LV"/>
        </w:rPr>
        <w:t xml:space="preserve">narkotisko un psihotropo </w:t>
      </w:r>
      <w:r w:rsidRPr="007B63A2">
        <w:rPr>
          <w:lang w:eastAsia="lv-LV"/>
        </w:rPr>
        <w:t xml:space="preserve">vielu neatļautu apriti, gan </w:t>
      </w:r>
      <w:r w:rsidR="00034C36">
        <w:rPr>
          <w:lang w:eastAsia="lv-LV"/>
        </w:rPr>
        <w:t>kriminālprocesos</w:t>
      </w:r>
      <w:r w:rsidRPr="007B63A2">
        <w:rPr>
          <w:lang w:eastAsia="lv-LV"/>
        </w:rPr>
        <w:t>, kas saistīt</w:t>
      </w:r>
      <w:r w:rsidR="00034C36">
        <w:rPr>
          <w:lang w:eastAsia="lv-LV"/>
        </w:rPr>
        <w:t>i</w:t>
      </w:r>
      <w:r w:rsidRPr="007B63A2">
        <w:rPr>
          <w:lang w:eastAsia="lv-LV"/>
        </w:rPr>
        <w:t xml:space="preserve"> ar sutenerismu.</w:t>
      </w:r>
    </w:p>
    <w:p w14:paraId="1A1A519C" w14:textId="611F3F93" w:rsidR="0099191B" w:rsidRDefault="00F62B7E" w:rsidP="00FC2883">
      <w:pPr>
        <w:pStyle w:val="NoSpacing"/>
        <w:ind w:firstLine="567"/>
        <w:jc w:val="both"/>
        <w:rPr>
          <w:lang w:eastAsia="lv-LV"/>
        </w:rPr>
      </w:pPr>
      <w:r>
        <w:rPr>
          <w:lang w:eastAsia="lv-LV"/>
        </w:rPr>
        <w:t xml:space="preserve">Vērtējot specializēto </w:t>
      </w:r>
      <w:r w:rsidR="0099191B">
        <w:rPr>
          <w:lang w:eastAsia="lv-LV"/>
        </w:rPr>
        <w:t xml:space="preserve">rajona </w:t>
      </w:r>
      <w:r>
        <w:rPr>
          <w:lang w:eastAsia="lv-LV"/>
        </w:rPr>
        <w:t xml:space="preserve">statusa </w:t>
      </w:r>
      <w:r w:rsidR="0099191B">
        <w:rPr>
          <w:lang w:eastAsia="lv-LV"/>
        </w:rPr>
        <w:t>prokuratūr</w:t>
      </w:r>
      <w:r>
        <w:rPr>
          <w:lang w:eastAsia="lv-LV"/>
        </w:rPr>
        <w:t>u darbu,</w:t>
      </w:r>
      <w:r w:rsidR="0099191B">
        <w:rPr>
          <w:lang w:eastAsia="lv-LV"/>
        </w:rPr>
        <w:t xml:space="preserve"> redzams, ka stabili palielinās to kriminālprocesu skaits, kuri tiek pabeigti prokuratūrā, nenododot kriminā</w:t>
      </w:r>
      <w:r w:rsidR="00034C36">
        <w:rPr>
          <w:lang w:eastAsia="lv-LV"/>
        </w:rPr>
        <w:t>llietas</w:t>
      </w:r>
      <w:r w:rsidR="0099191B">
        <w:rPr>
          <w:lang w:eastAsia="lv-LV"/>
        </w:rPr>
        <w:t xml:space="preserve"> tiesai. </w:t>
      </w:r>
      <w:r w:rsidR="00034C36">
        <w:rPr>
          <w:lang w:eastAsia="lv-LV"/>
        </w:rPr>
        <w:t xml:space="preserve">Tāpat prokurori </w:t>
      </w:r>
      <w:r w:rsidR="0099191B">
        <w:rPr>
          <w:lang w:eastAsia="lv-LV"/>
        </w:rPr>
        <w:t>aktīvi izmanto</w:t>
      </w:r>
      <w:r w:rsidR="00034C36">
        <w:rPr>
          <w:lang w:eastAsia="lv-LV"/>
        </w:rPr>
        <w:t xml:space="preserve">, kā arī iespēju robežās cenšas izmantot </w:t>
      </w:r>
      <w:r w:rsidR="0099191B">
        <w:rPr>
          <w:lang w:eastAsia="lv-LV"/>
        </w:rPr>
        <w:t xml:space="preserve">paātrinātā procesa </w:t>
      </w:r>
      <w:r w:rsidR="00034C36">
        <w:rPr>
          <w:lang w:eastAsia="lv-LV"/>
        </w:rPr>
        <w:t>kārtību</w:t>
      </w:r>
      <w:r w:rsidR="0099191B">
        <w:rPr>
          <w:lang w:eastAsia="lv-LV"/>
        </w:rPr>
        <w:t xml:space="preserve">. Ievērojot specializēto </w:t>
      </w:r>
      <w:r>
        <w:rPr>
          <w:lang w:eastAsia="lv-LV"/>
        </w:rPr>
        <w:t xml:space="preserve">rajona statusa </w:t>
      </w:r>
      <w:r w:rsidR="0099191B">
        <w:rPr>
          <w:lang w:eastAsia="lv-LV"/>
        </w:rPr>
        <w:t>prokuratūru kompetenci, pārsvarā paātrinātais process tiek izmantot</w:t>
      </w:r>
      <w:r w:rsidR="00FC2883">
        <w:rPr>
          <w:lang w:eastAsia="lv-LV"/>
        </w:rPr>
        <w:t>s</w:t>
      </w:r>
      <w:r w:rsidR="0099191B">
        <w:rPr>
          <w:lang w:eastAsia="lv-LV"/>
        </w:rPr>
        <w:t xml:space="preserve"> krimināl</w:t>
      </w:r>
      <w:r w:rsidR="00034C36">
        <w:rPr>
          <w:lang w:eastAsia="lv-LV"/>
        </w:rPr>
        <w:t>procesos</w:t>
      </w:r>
      <w:r w:rsidR="0099191B">
        <w:rPr>
          <w:lang w:eastAsia="lv-LV"/>
        </w:rPr>
        <w:t>, kas saistīt</w:t>
      </w:r>
      <w:r w:rsidR="00034C36">
        <w:rPr>
          <w:lang w:eastAsia="lv-LV"/>
        </w:rPr>
        <w:t>i</w:t>
      </w:r>
      <w:r w:rsidR="0099191B">
        <w:rPr>
          <w:lang w:eastAsia="lv-LV"/>
        </w:rPr>
        <w:t xml:space="preserve"> ar transportlīdzekļa vadīšanu reibumā.  </w:t>
      </w:r>
    </w:p>
    <w:p w14:paraId="7EB99FA4" w14:textId="04C6DF35" w:rsidR="0099191B" w:rsidRDefault="0099191B" w:rsidP="004A3BD8">
      <w:pPr>
        <w:spacing w:after="0" w:line="240" w:lineRule="auto"/>
        <w:ind w:firstLine="567"/>
        <w:jc w:val="both"/>
        <w:rPr>
          <w:szCs w:val="24"/>
          <w:lang w:eastAsia="lv-LV"/>
        </w:rPr>
      </w:pPr>
      <w:r>
        <w:rPr>
          <w:szCs w:val="24"/>
          <w:lang w:eastAsia="lv-LV"/>
        </w:rPr>
        <w:t>Atzīstams, ka būtiska uzmanība 2021.</w:t>
      </w:r>
      <w:r w:rsidR="00FC2883">
        <w:t> </w:t>
      </w:r>
      <w:r>
        <w:rPr>
          <w:szCs w:val="24"/>
          <w:lang w:eastAsia="lv-LV"/>
        </w:rPr>
        <w:t>gadā jāpievērš prokuroru pieņemtajiem lēmumiem, īpaši, lēmumiem par person</w:t>
      </w:r>
      <w:r w:rsidR="00034C36">
        <w:rPr>
          <w:szCs w:val="24"/>
          <w:lang w:eastAsia="lv-LV"/>
        </w:rPr>
        <w:t>as</w:t>
      </w:r>
      <w:r>
        <w:rPr>
          <w:szCs w:val="24"/>
          <w:lang w:eastAsia="lv-LV"/>
        </w:rPr>
        <w:t xml:space="preserve"> saukšanu pie kriminālatbildības.</w:t>
      </w:r>
    </w:p>
    <w:p w14:paraId="4CC82DD0" w14:textId="77777777" w:rsidR="004A3BD8" w:rsidRDefault="004A3BD8" w:rsidP="004A3BD8">
      <w:pPr>
        <w:spacing w:after="0" w:line="240" w:lineRule="auto"/>
        <w:ind w:firstLine="567"/>
        <w:jc w:val="both"/>
        <w:rPr>
          <w:szCs w:val="24"/>
          <w:lang w:eastAsia="lv-LV"/>
        </w:rPr>
      </w:pPr>
    </w:p>
    <w:p w14:paraId="41A7F228" w14:textId="22724E52" w:rsidR="0099191B" w:rsidRDefault="004A3BD8" w:rsidP="004A3BD8">
      <w:pPr>
        <w:spacing w:after="0"/>
        <w:jc w:val="both"/>
        <w:rPr>
          <w:b/>
          <w:bCs/>
          <w:lang w:eastAsia="lv-LV"/>
        </w:rPr>
      </w:pPr>
      <w:r w:rsidRPr="004A3BD8">
        <w:rPr>
          <w:b/>
          <w:bCs/>
          <w:lang w:eastAsia="lv-LV"/>
        </w:rPr>
        <w:t>Organizētās noziedzības un citu nozaru specializētās prokuratūras</w:t>
      </w:r>
      <w:r>
        <w:rPr>
          <w:b/>
          <w:bCs/>
          <w:lang w:eastAsia="lv-LV"/>
        </w:rPr>
        <w:t xml:space="preserve"> virsprokurore G. Biezuma</w:t>
      </w:r>
    </w:p>
    <w:p w14:paraId="76CF89F6" w14:textId="478ABB6E" w:rsidR="009B0B3E" w:rsidRDefault="004A3BD8" w:rsidP="0099191B">
      <w:pPr>
        <w:jc w:val="both"/>
        <w:rPr>
          <w:b/>
          <w:bCs/>
        </w:rPr>
      </w:pPr>
      <w:r>
        <w:rPr>
          <w:b/>
          <w:bCs/>
          <w:lang w:eastAsia="lv-LV"/>
        </w:rPr>
        <w:t>Rīgā 2021. gada 15. februārī</w:t>
      </w:r>
    </w:p>
    <w:p w14:paraId="24C8D471" w14:textId="4BA89BFC" w:rsidR="0099191B" w:rsidRPr="009B0B3E" w:rsidRDefault="009B0B3E" w:rsidP="00F31632">
      <w:pPr>
        <w:rPr>
          <w:b/>
          <w:bCs/>
        </w:rPr>
      </w:pPr>
      <w:r>
        <w:rPr>
          <w:b/>
          <w:bCs/>
        </w:rPr>
        <w:br w:type="page"/>
      </w:r>
    </w:p>
    <w:p w14:paraId="1FB4328D" w14:textId="77777777" w:rsidR="00E51A5A" w:rsidRPr="00577BF3" w:rsidRDefault="00E51A5A" w:rsidP="00F31632">
      <w:pPr>
        <w:spacing w:after="0" w:line="240" w:lineRule="auto"/>
        <w:jc w:val="center"/>
        <w:rPr>
          <w:rFonts w:cs="Times New Roman"/>
          <w:b/>
          <w:sz w:val="32"/>
          <w:szCs w:val="32"/>
        </w:rPr>
      </w:pPr>
      <w:bookmarkStart w:id="40" w:name="_Hlk64551813"/>
      <w:bookmarkStart w:id="41" w:name="_Hlk63710813"/>
      <w:bookmarkStart w:id="42" w:name="_Hlk63710049"/>
      <w:bookmarkStart w:id="43" w:name="_Hlk63782046"/>
      <w:bookmarkStart w:id="44" w:name="_Hlk63781939"/>
      <w:bookmarkEnd w:id="40"/>
      <w:r w:rsidRPr="00577BF3">
        <w:rPr>
          <w:rFonts w:cs="Times New Roman"/>
          <w:b/>
          <w:sz w:val="32"/>
          <w:szCs w:val="32"/>
        </w:rPr>
        <w:lastRenderedPageBreak/>
        <w:t>Ģenerālprokuratūras Krimināltiesiskā departamenta un tā nodaļu pārskats par 2020. gada darba rezultātiem</w:t>
      </w:r>
    </w:p>
    <w:p w14:paraId="5F040CB5" w14:textId="77777777" w:rsidR="00E51A5A" w:rsidRPr="00F62B7E" w:rsidRDefault="00E51A5A" w:rsidP="00E51A5A">
      <w:pPr>
        <w:spacing w:after="0" w:line="240" w:lineRule="auto"/>
        <w:jc w:val="center"/>
        <w:rPr>
          <w:rFonts w:cs="Times New Roman"/>
          <w:b/>
          <w:szCs w:val="24"/>
        </w:rPr>
      </w:pPr>
    </w:p>
    <w:p w14:paraId="39687284" w14:textId="77777777" w:rsidR="00E51A5A" w:rsidRPr="00577BF3" w:rsidRDefault="00E51A5A" w:rsidP="00E36B97">
      <w:pPr>
        <w:pStyle w:val="ListParagraph"/>
        <w:spacing w:after="0" w:line="240" w:lineRule="auto"/>
        <w:ind w:left="0"/>
        <w:jc w:val="center"/>
        <w:rPr>
          <w:rFonts w:cs="Times New Roman"/>
          <w:b/>
          <w:bCs/>
          <w:sz w:val="28"/>
          <w:szCs w:val="28"/>
        </w:rPr>
      </w:pPr>
      <w:r w:rsidRPr="00577BF3">
        <w:rPr>
          <w:rFonts w:cs="Times New Roman"/>
          <w:b/>
          <w:bCs/>
          <w:sz w:val="28"/>
          <w:szCs w:val="28"/>
        </w:rPr>
        <w:t>I. Strukturālais modelis un prokuroru personālsastāvs</w:t>
      </w:r>
    </w:p>
    <w:p w14:paraId="76FE07F8" w14:textId="77777777" w:rsidR="00E51A5A" w:rsidRPr="00F62B7E" w:rsidRDefault="00E51A5A" w:rsidP="00E51A5A">
      <w:pPr>
        <w:pStyle w:val="ListParagraph"/>
        <w:spacing w:after="0" w:line="240" w:lineRule="auto"/>
        <w:ind w:left="1077"/>
        <w:jc w:val="center"/>
        <w:rPr>
          <w:rFonts w:cs="Times New Roman"/>
          <w:b/>
          <w:bCs/>
          <w:szCs w:val="24"/>
        </w:rPr>
      </w:pPr>
    </w:p>
    <w:p w14:paraId="0A84A304" w14:textId="0875F111" w:rsidR="00E51A5A" w:rsidRPr="00577BF3" w:rsidRDefault="00E51A5A" w:rsidP="00E51A5A">
      <w:pPr>
        <w:spacing w:after="0" w:line="240" w:lineRule="auto"/>
        <w:ind w:firstLine="720"/>
        <w:jc w:val="both"/>
        <w:rPr>
          <w:rFonts w:cs="Times New Roman"/>
          <w:szCs w:val="24"/>
        </w:rPr>
      </w:pPr>
      <w:r w:rsidRPr="00577BF3">
        <w:rPr>
          <w:rFonts w:cs="Times New Roman"/>
          <w:szCs w:val="24"/>
        </w:rPr>
        <w:t>Saskaņā ar ģenerālprokurora pavēli Nr. 4 “Par prokuratūras struktūru un štatiem</w:t>
      </w:r>
      <w:r>
        <w:rPr>
          <w:rFonts w:cs="Times New Roman"/>
          <w:szCs w:val="24"/>
        </w:rPr>
        <w:t>,</w:t>
      </w:r>
      <w:r w:rsidRPr="00577BF3">
        <w:rPr>
          <w:rFonts w:cs="Times New Roman"/>
          <w:szCs w:val="24"/>
        </w:rPr>
        <w:t xml:space="preserve"> tiesu apgabalu prokuratūru un rajonu (pilsētu) prokuratūru darbības teritoriju” </w:t>
      </w:r>
      <w:r>
        <w:rPr>
          <w:rFonts w:cs="Times New Roman"/>
          <w:szCs w:val="24"/>
        </w:rPr>
        <w:t xml:space="preserve">2020. gada 28. oktobra redakcijā </w:t>
      </w:r>
      <w:r w:rsidRPr="00577BF3">
        <w:rPr>
          <w:rFonts w:cs="Times New Roman"/>
          <w:szCs w:val="24"/>
        </w:rPr>
        <w:t>Ģenerālprokuratūras Krimināltiesiskais departaments un tā nodaļas 2020. gadā darbojās pie šāda prokurora amata vietu sadalījuma:</w:t>
      </w:r>
    </w:p>
    <w:p w14:paraId="1D6E95EA" w14:textId="77777777" w:rsidR="00E51A5A" w:rsidRPr="00577BF3" w:rsidRDefault="00E51A5A" w:rsidP="00E51A5A">
      <w:pPr>
        <w:pStyle w:val="ListParagraph"/>
        <w:numPr>
          <w:ilvl w:val="0"/>
          <w:numId w:val="1"/>
        </w:numPr>
        <w:spacing w:after="0" w:line="240" w:lineRule="auto"/>
        <w:jc w:val="both"/>
        <w:rPr>
          <w:rFonts w:cs="Times New Roman"/>
          <w:szCs w:val="24"/>
        </w:rPr>
      </w:pPr>
      <w:r w:rsidRPr="00577BF3">
        <w:rPr>
          <w:rFonts w:cs="Times New Roman"/>
          <w:szCs w:val="24"/>
        </w:rPr>
        <w:t>Krimināltiesiskais departaments – 1 prokurora amata vieta (1 virsprokurora štata vieta);</w:t>
      </w:r>
    </w:p>
    <w:p w14:paraId="3679F418" w14:textId="77777777" w:rsidR="00E51A5A" w:rsidRPr="00577BF3" w:rsidRDefault="00E51A5A" w:rsidP="00E51A5A">
      <w:pPr>
        <w:pStyle w:val="ListParagraph"/>
        <w:numPr>
          <w:ilvl w:val="0"/>
          <w:numId w:val="1"/>
        </w:numPr>
        <w:spacing w:after="0" w:line="240" w:lineRule="auto"/>
        <w:jc w:val="both"/>
        <w:rPr>
          <w:rFonts w:cs="Times New Roman"/>
          <w:szCs w:val="24"/>
        </w:rPr>
      </w:pPr>
      <w:r w:rsidRPr="00577BF3">
        <w:rPr>
          <w:rFonts w:cs="Times New Roman"/>
          <w:szCs w:val="24"/>
        </w:rPr>
        <w:t>Pirmstiesas izmeklēšanas uzraudzības nodaļa – 13 </w:t>
      </w:r>
      <w:r w:rsidRPr="00577BF3">
        <w:rPr>
          <w:rFonts w:cs="Times New Roman"/>
        </w:rPr>
        <w:t>prokurora</w:t>
      </w:r>
      <w:r w:rsidRPr="00577BF3">
        <w:rPr>
          <w:rFonts w:cs="Times New Roman"/>
          <w:szCs w:val="24"/>
        </w:rPr>
        <w:t xml:space="preserve"> amata vietas (1 virsprokurora un </w:t>
      </w:r>
      <w:r w:rsidRPr="00577BF3">
        <w:rPr>
          <w:rFonts w:cs="Times New Roman"/>
        </w:rPr>
        <w:t>12 prokurora</w:t>
      </w:r>
      <w:r w:rsidRPr="00577BF3">
        <w:rPr>
          <w:rFonts w:cs="Times New Roman"/>
          <w:szCs w:val="24"/>
        </w:rPr>
        <w:t xml:space="preserve"> štata vietas);</w:t>
      </w:r>
    </w:p>
    <w:p w14:paraId="7F961E7F" w14:textId="77777777" w:rsidR="00E51A5A" w:rsidRPr="00577BF3" w:rsidRDefault="00E51A5A" w:rsidP="00E51A5A">
      <w:pPr>
        <w:pStyle w:val="ListParagraph"/>
        <w:numPr>
          <w:ilvl w:val="0"/>
          <w:numId w:val="1"/>
        </w:numPr>
        <w:spacing w:after="0" w:line="240" w:lineRule="auto"/>
        <w:jc w:val="both"/>
        <w:rPr>
          <w:rFonts w:cs="Times New Roman"/>
          <w:szCs w:val="24"/>
        </w:rPr>
      </w:pPr>
      <w:r w:rsidRPr="00577BF3">
        <w:rPr>
          <w:rFonts w:cs="Times New Roman"/>
          <w:szCs w:val="24"/>
        </w:rPr>
        <w:t>Tiesās izskatāmo krimināllietu nodaļa – 5 prokurora amata vietas (1 virsprokurora un 4 prokurora štata vietas);</w:t>
      </w:r>
    </w:p>
    <w:p w14:paraId="3D1CEFEA" w14:textId="77777777" w:rsidR="00E51A5A" w:rsidRPr="00577BF3" w:rsidRDefault="00E51A5A" w:rsidP="00E51A5A">
      <w:pPr>
        <w:pStyle w:val="ListParagraph"/>
        <w:numPr>
          <w:ilvl w:val="0"/>
          <w:numId w:val="1"/>
        </w:numPr>
        <w:spacing w:after="0" w:line="240" w:lineRule="auto"/>
        <w:ind w:left="714" w:hanging="357"/>
        <w:jc w:val="both"/>
        <w:rPr>
          <w:rFonts w:cs="Times New Roman"/>
          <w:szCs w:val="24"/>
        </w:rPr>
      </w:pPr>
      <w:r w:rsidRPr="00577BF3">
        <w:rPr>
          <w:rFonts w:cs="Times New Roman"/>
          <w:szCs w:val="24"/>
        </w:rPr>
        <w:t>Sevišķi svarīgu lietu izmeklēšanas nodaļa – 9 prokurora amata vietas (1 virsprokurora un 8 prokurora štata vietas).</w:t>
      </w:r>
    </w:p>
    <w:bookmarkEnd w:id="41"/>
    <w:p w14:paraId="1A2CAE90" w14:textId="77777777" w:rsidR="00E51A5A" w:rsidRPr="00577BF3" w:rsidRDefault="00E51A5A" w:rsidP="00E51A5A">
      <w:pPr>
        <w:spacing w:after="0" w:line="240" w:lineRule="auto"/>
        <w:ind w:left="360"/>
        <w:jc w:val="both"/>
        <w:rPr>
          <w:rFonts w:cs="Times New Roman"/>
          <w:szCs w:val="24"/>
        </w:rPr>
      </w:pPr>
    </w:p>
    <w:bookmarkEnd w:id="42"/>
    <w:p w14:paraId="3F3199E3" w14:textId="77777777" w:rsidR="00E51A5A" w:rsidRPr="00577BF3" w:rsidRDefault="00E51A5A" w:rsidP="00E51A5A">
      <w:pPr>
        <w:spacing w:after="0" w:line="240" w:lineRule="auto"/>
        <w:ind w:firstLine="567"/>
        <w:jc w:val="both"/>
        <w:rPr>
          <w:rFonts w:cs="Times New Roman"/>
          <w:lang w:eastAsia="lv-LV"/>
        </w:rPr>
      </w:pPr>
      <w:r w:rsidRPr="00577BF3">
        <w:rPr>
          <w:rFonts w:cs="Times New Roman"/>
          <w:lang w:eastAsia="lv-LV"/>
        </w:rPr>
        <w:t xml:space="preserve">Prokuratūras darba rezultātu analīze liecināja, ka nepieciešama efektīvāka prokurora tiesību un pienākumu realizācija kriminālprocesos, kas saistīti ar noziedzīgi iegūtu līdzekļu legalizēšanu. Lai nodrošinātu prokuroru darba koordinēšanu šajā jomā, Ģenerālprokuratūrā </w:t>
      </w:r>
      <w:r w:rsidRPr="00577BF3">
        <w:rPr>
          <w:rFonts w:cs="Times New Roman"/>
          <w:szCs w:val="24"/>
        </w:rPr>
        <w:t xml:space="preserve">no 2021. gada 1. janvāra izveidota jauna specializēta prokuratūras struktūrvienība – </w:t>
      </w:r>
      <w:r w:rsidRPr="00577BF3">
        <w:rPr>
          <w:rFonts w:cs="Times New Roman"/>
          <w:b/>
          <w:bCs/>
          <w:szCs w:val="24"/>
        </w:rPr>
        <w:t xml:space="preserve">Noziedzīgi iegūtu līdzekļu legalizēšanas apkarošanas koordinācijas nodaļa </w:t>
      </w:r>
      <w:r w:rsidRPr="00577BF3">
        <w:rPr>
          <w:rFonts w:cs="Times New Roman"/>
          <w:szCs w:val="24"/>
        </w:rPr>
        <w:t>–, nosakot, ka tā ir Ģenerālprokuratūras Krimināltiesiskā departamenta struktūrvienība, un ieviešot tajā</w:t>
      </w:r>
      <w:r w:rsidRPr="00577BF3">
        <w:rPr>
          <w:rFonts w:cs="Times New Roman"/>
          <w:b/>
          <w:bCs/>
          <w:szCs w:val="24"/>
        </w:rPr>
        <w:t xml:space="preserve"> </w:t>
      </w:r>
      <w:r w:rsidRPr="00577BF3">
        <w:rPr>
          <w:rFonts w:cs="Times New Roman"/>
          <w:szCs w:val="24"/>
        </w:rPr>
        <w:t>4 prokurora amata vietas</w:t>
      </w:r>
      <w:r>
        <w:rPr>
          <w:rFonts w:cs="Times New Roman"/>
          <w:szCs w:val="24"/>
        </w:rPr>
        <w:t xml:space="preserve"> (1 virsprokurora un 3 prokurora štata vietas)</w:t>
      </w:r>
      <w:r w:rsidRPr="00577BF3">
        <w:rPr>
          <w:rFonts w:cs="Times New Roman"/>
          <w:lang w:eastAsia="lv-LV"/>
        </w:rPr>
        <w:t>.</w:t>
      </w:r>
    </w:p>
    <w:p w14:paraId="6CE96F8E" w14:textId="77777777" w:rsidR="00E51A5A" w:rsidRPr="00577BF3" w:rsidRDefault="00E51A5A" w:rsidP="00E51A5A">
      <w:pPr>
        <w:spacing w:after="0" w:line="240" w:lineRule="auto"/>
        <w:ind w:firstLine="567"/>
        <w:jc w:val="both"/>
        <w:rPr>
          <w:rFonts w:cs="Times New Roman"/>
          <w:lang w:eastAsia="lv-LV"/>
        </w:rPr>
      </w:pPr>
      <w:r w:rsidRPr="00577BF3">
        <w:rPr>
          <w:rFonts w:cs="Times New Roman"/>
          <w:lang w:eastAsia="lv-LV"/>
        </w:rPr>
        <w:t xml:space="preserve">Krimināltiesiskā departamenta prokurora </w:t>
      </w:r>
      <w:r>
        <w:rPr>
          <w:rFonts w:cs="Times New Roman"/>
          <w:lang w:eastAsia="lv-LV"/>
        </w:rPr>
        <w:t>amata</w:t>
      </w:r>
      <w:r w:rsidRPr="00577BF3">
        <w:rPr>
          <w:rFonts w:cs="Times New Roman"/>
          <w:lang w:eastAsia="lv-LV"/>
        </w:rPr>
        <w:t xml:space="preserve"> vietu skaits 2020. gada laikā veikto strukturālo reformu rezultātā kopumā samazināts par 6 prokurora </w:t>
      </w:r>
      <w:r>
        <w:rPr>
          <w:rFonts w:cs="Times New Roman"/>
          <w:lang w:eastAsia="lv-LV"/>
        </w:rPr>
        <w:t>amata</w:t>
      </w:r>
      <w:r w:rsidRPr="00577BF3">
        <w:rPr>
          <w:rFonts w:cs="Times New Roman"/>
          <w:lang w:eastAsia="lv-LV"/>
        </w:rPr>
        <w:t xml:space="preserve"> vietām salīdzinājumā ar stāvokli uz 2020. gada 1. janvāri. </w:t>
      </w:r>
    </w:p>
    <w:p w14:paraId="52698F79" w14:textId="77777777" w:rsidR="00E51A5A" w:rsidRPr="00F62B7E" w:rsidRDefault="00E51A5A" w:rsidP="00E51A5A">
      <w:pPr>
        <w:spacing w:after="0" w:line="240" w:lineRule="auto"/>
        <w:jc w:val="center"/>
        <w:rPr>
          <w:rFonts w:cs="Times New Roman"/>
          <w:b/>
          <w:bCs/>
          <w:szCs w:val="24"/>
          <w:lang w:eastAsia="lv-LV"/>
        </w:rPr>
      </w:pPr>
    </w:p>
    <w:p w14:paraId="36B1FC95" w14:textId="77777777" w:rsidR="00E51A5A" w:rsidRDefault="00E51A5A" w:rsidP="00E51A5A">
      <w:pPr>
        <w:spacing w:after="0" w:line="240" w:lineRule="auto"/>
        <w:jc w:val="center"/>
        <w:rPr>
          <w:rFonts w:cs="Times New Roman"/>
          <w:b/>
          <w:bCs/>
          <w:szCs w:val="24"/>
          <w:lang w:eastAsia="lv-LV"/>
        </w:rPr>
      </w:pPr>
      <w:r>
        <w:rPr>
          <w:rFonts w:cs="Times New Roman"/>
          <w:b/>
          <w:bCs/>
          <w:sz w:val="28"/>
          <w:szCs w:val="28"/>
          <w:lang w:eastAsia="lv-LV"/>
        </w:rPr>
        <w:t>II. Pirmstiesas izmeklēšanas uzraudzības nodaļas darba rādītāji 2020. gadā</w:t>
      </w:r>
    </w:p>
    <w:p w14:paraId="6533C1FC" w14:textId="77777777" w:rsidR="00E51A5A" w:rsidRPr="00C1357B" w:rsidRDefault="00E51A5A" w:rsidP="00E51A5A">
      <w:pPr>
        <w:spacing w:after="0" w:line="240" w:lineRule="auto"/>
        <w:rPr>
          <w:rFonts w:cs="Times New Roman"/>
          <w:b/>
          <w:bCs/>
          <w:szCs w:val="24"/>
          <w:lang w:eastAsia="lv-LV"/>
        </w:rPr>
      </w:pPr>
    </w:p>
    <w:p w14:paraId="2B33EAE5" w14:textId="66C29098" w:rsidR="00E51A5A" w:rsidRDefault="00E51A5A" w:rsidP="00E51A5A">
      <w:pPr>
        <w:spacing w:after="0" w:line="240" w:lineRule="auto"/>
        <w:jc w:val="both"/>
        <w:rPr>
          <w:rFonts w:cs="Times New Roman"/>
          <w:color w:val="000000" w:themeColor="text1"/>
          <w:szCs w:val="24"/>
          <w:lang w:eastAsia="lv-LV"/>
        </w:rPr>
      </w:pPr>
      <w:r w:rsidRPr="00C1357B">
        <w:rPr>
          <w:rFonts w:cs="Times New Roman"/>
          <w:b/>
          <w:bCs/>
          <w:szCs w:val="24"/>
          <w:lang w:eastAsia="lv-LV"/>
        </w:rPr>
        <w:tab/>
      </w:r>
      <w:r w:rsidRPr="00C1357B">
        <w:rPr>
          <w:rFonts w:cs="Times New Roman"/>
          <w:szCs w:val="24"/>
          <w:lang w:eastAsia="lv-LV"/>
        </w:rPr>
        <w:t xml:space="preserve">Likums amatā augstākam prokuroram ir uzlicis par pienākumu lemt par sūdzībām </w:t>
      </w:r>
      <w:r>
        <w:rPr>
          <w:rFonts w:cs="Times New Roman"/>
          <w:color w:val="000000" w:themeColor="text1"/>
          <w:szCs w:val="24"/>
          <w:lang w:eastAsia="lv-LV"/>
        </w:rPr>
        <w:t xml:space="preserve">attiecībā uz uzraugošā prokurora un prokurora </w:t>
      </w:r>
      <w:r w:rsidR="009B36B7">
        <w:rPr>
          <w:rFonts w:cs="Times New Roman"/>
          <w:color w:val="000000" w:themeColor="text1"/>
          <w:szCs w:val="24"/>
          <w:lang w:eastAsia="lv-LV"/>
        </w:rPr>
        <w:t xml:space="preserve">– </w:t>
      </w:r>
      <w:r>
        <w:rPr>
          <w:rFonts w:cs="Times New Roman"/>
          <w:color w:val="000000" w:themeColor="text1"/>
          <w:szCs w:val="24"/>
          <w:lang w:eastAsia="lv-LV"/>
        </w:rPr>
        <w:t xml:space="preserve">procesa virzītāja </w:t>
      </w:r>
      <w:r w:rsidR="009B36B7">
        <w:rPr>
          <w:rFonts w:cs="Times New Roman"/>
          <w:color w:val="000000" w:themeColor="text1"/>
          <w:szCs w:val="24"/>
          <w:lang w:eastAsia="lv-LV"/>
        </w:rPr>
        <w:t xml:space="preserve">– </w:t>
      </w:r>
      <w:r>
        <w:rPr>
          <w:rFonts w:cs="Times New Roman"/>
          <w:color w:val="000000" w:themeColor="text1"/>
          <w:szCs w:val="24"/>
          <w:lang w:eastAsia="lv-LV"/>
        </w:rPr>
        <w:t>rīcību un lēmumiem, kas  vistiešākā veidā ir saistīts ar kriminālprocesa pamatprincipu nodrošināšanu.</w:t>
      </w:r>
    </w:p>
    <w:p w14:paraId="5131F601" w14:textId="77777777" w:rsidR="00B34194" w:rsidRDefault="00B34194" w:rsidP="00E51A5A">
      <w:pPr>
        <w:spacing w:after="0" w:line="240" w:lineRule="auto"/>
        <w:jc w:val="both"/>
        <w:rPr>
          <w:rFonts w:cs="Times New Roman"/>
          <w:color w:val="000000" w:themeColor="text1"/>
          <w:szCs w:val="24"/>
          <w:lang w:eastAsia="lv-LV"/>
        </w:rPr>
      </w:pPr>
    </w:p>
    <w:p w14:paraId="4F9BEEA6" w14:textId="554CE6D1" w:rsidR="00E51A5A" w:rsidRDefault="00B34194" w:rsidP="009B36B7">
      <w:pPr>
        <w:spacing w:after="0" w:line="240" w:lineRule="auto"/>
        <w:jc w:val="center"/>
        <w:rPr>
          <w:rFonts w:cs="Times New Roman"/>
          <w:color w:val="000000" w:themeColor="text1"/>
          <w:szCs w:val="24"/>
          <w:lang w:eastAsia="lv-LV"/>
        </w:rPr>
      </w:pPr>
      <w:r w:rsidRPr="00461E62">
        <w:rPr>
          <w:rStyle w:val="Strong"/>
          <w:noProof/>
        </w:rPr>
        <w:drawing>
          <wp:inline distT="0" distB="0" distL="0" distR="0" wp14:anchorId="559A2497" wp14:editId="765839FC">
            <wp:extent cx="4318000" cy="2565400"/>
            <wp:effectExtent l="0" t="0" r="6350" b="6350"/>
            <wp:docPr id="176" name="Chart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198AB39E" w14:textId="77777777" w:rsidR="001820C5" w:rsidRDefault="001820C5" w:rsidP="009B36B7">
      <w:pPr>
        <w:spacing w:after="0" w:line="240" w:lineRule="auto"/>
        <w:jc w:val="center"/>
        <w:rPr>
          <w:rFonts w:cs="Times New Roman"/>
          <w:color w:val="000000" w:themeColor="text1"/>
          <w:szCs w:val="24"/>
          <w:lang w:eastAsia="lv-LV"/>
        </w:rPr>
      </w:pPr>
    </w:p>
    <w:p w14:paraId="447E18FF" w14:textId="63FF8C44" w:rsidR="00E51A5A" w:rsidRPr="000D4222" w:rsidRDefault="00E51A5A" w:rsidP="00DB7EC5">
      <w:pPr>
        <w:spacing w:after="0" w:line="240" w:lineRule="auto"/>
        <w:ind w:firstLine="720"/>
        <w:jc w:val="both"/>
        <w:rPr>
          <w:rFonts w:cs="Times New Roman"/>
          <w:szCs w:val="24"/>
          <w:lang w:eastAsia="lv-LV"/>
        </w:rPr>
      </w:pPr>
      <w:r w:rsidRPr="007D6769">
        <w:rPr>
          <w:rFonts w:cs="Times New Roman"/>
          <w:color w:val="000000" w:themeColor="text1"/>
          <w:szCs w:val="24"/>
          <w:lang w:eastAsia="lv-LV"/>
        </w:rPr>
        <w:lastRenderedPageBreak/>
        <w:t>Pirmstiesas izmeklēšanas uzraudzības nodaļā</w:t>
      </w:r>
      <w:r>
        <w:rPr>
          <w:rFonts w:cs="Times New Roman"/>
          <w:color w:val="000000" w:themeColor="text1"/>
          <w:szCs w:val="24"/>
          <w:lang w:eastAsia="lv-LV"/>
        </w:rPr>
        <w:t xml:space="preserve"> 2020.</w:t>
      </w:r>
      <w:r w:rsidR="009B36B7">
        <w:rPr>
          <w:rFonts w:cs="Times New Roman"/>
          <w:color w:val="000000" w:themeColor="text1"/>
          <w:szCs w:val="24"/>
          <w:lang w:eastAsia="lv-LV"/>
        </w:rPr>
        <w:t> </w:t>
      </w:r>
      <w:r>
        <w:rPr>
          <w:rFonts w:cs="Times New Roman"/>
          <w:color w:val="000000" w:themeColor="text1"/>
          <w:szCs w:val="24"/>
          <w:lang w:eastAsia="lv-LV"/>
        </w:rPr>
        <w:t xml:space="preserve">gadā saņemtas un Kriminālprocesa likuma kārtībā izskatītas pavisam 577 sūdzības par kriminālprocesu veicošo amatpersonu rīcību un lēmumiem. No tām </w:t>
      </w:r>
      <w:r w:rsidR="009B36B7">
        <w:rPr>
          <w:rFonts w:cs="Times New Roman"/>
          <w:color w:val="000000" w:themeColor="text1"/>
          <w:szCs w:val="24"/>
          <w:lang w:eastAsia="lv-LV"/>
        </w:rPr>
        <w:t xml:space="preserve">tika </w:t>
      </w:r>
      <w:r>
        <w:rPr>
          <w:rFonts w:cs="Times New Roman"/>
          <w:color w:val="000000" w:themeColor="text1"/>
          <w:szCs w:val="24"/>
          <w:lang w:eastAsia="lv-LV"/>
        </w:rPr>
        <w:t>apmierinātas 33</w:t>
      </w:r>
      <w:r w:rsidR="009B36B7">
        <w:rPr>
          <w:rFonts w:cs="Times New Roman"/>
          <w:color w:val="000000" w:themeColor="text1"/>
          <w:szCs w:val="24"/>
          <w:lang w:eastAsia="lv-LV"/>
        </w:rPr>
        <w:t> </w:t>
      </w:r>
      <w:r>
        <w:rPr>
          <w:rFonts w:cs="Times New Roman"/>
          <w:color w:val="000000" w:themeColor="text1"/>
          <w:szCs w:val="24"/>
          <w:lang w:eastAsia="lv-LV"/>
        </w:rPr>
        <w:t>sūdzības, 21</w:t>
      </w:r>
      <w:r w:rsidR="009B36B7">
        <w:rPr>
          <w:rFonts w:cs="Times New Roman"/>
          <w:color w:val="000000" w:themeColor="text1"/>
          <w:szCs w:val="24"/>
          <w:lang w:eastAsia="lv-LV"/>
        </w:rPr>
        <w:t> </w:t>
      </w:r>
      <w:r>
        <w:rPr>
          <w:rFonts w:cs="Times New Roman"/>
          <w:color w:val="000000" w:themeColor="text1"/>
          <w:szCs w:val="24"/>
          <w:lang w:eastAsia="lv-LV"/>
        </w:rPr>
        <w:t>gadījumā pilnīgi vai daļēji atceļot procesuālu nolēmumu. 12</w:t>
      </w:r>
      <w:r w:rsidR="009B36B7">
        <w:rPr>
          <w:rFonts w:cs="Times New Roman"/>
          <w:color w:val="000000" w:themeColor="text1"/>
          <w:szCs w:val="24"/>
          <w:lang w:eastAsia="lv-LV"/>
        </w:rPr>
        <w:t> </w:t>
      </w:r>
      <w:r>
        <w:rPr>
          <w:rFonts w:cs="Times New Roman"/>
          <w:color w:val="000000" w:themeColor="text1"/>
          <w:szCs w:val="24"/>
          <w:lang w:eastAsia="lv-LV"/>
        </w:rPr>
        <w:t>gadījumos pārsūdzētās rīcības rezultāti tika atzīti par spēkā neesošiem. Pēc izvērtēšanas 11</w:t>
      </w:r>
      <w:r w:rsidR="009B36B7">
        <w:rPr>
          <w:rFonts w:cs="Times New Roman"/>
          <w:color w:val="000000" w:themeColor="text1"/>
          <w:szCs w:val="24"/>
          <w:lang w:eastAsia="lv-LV"/>
        </w:rPr>
        <w:t> </w:t>
      </w:r>
      <w:r>
        <w:rPr>
          <w:rFonts w:cs="Times New Roman"/>
          <w:color w:val="000000" w:themeColor="text1"/>
          <w:szCs w:val="24"/>
          <w:lang w:eastAsia="lv-LV"/>
        </w:rPr>
        <w:t xml:space="preserve">sūdzības tika atstātas  bez izskatīšanas pēc būtības, savukārt </w:t>
      </w:r>
      <w:r w:rsidRPr="000D4222">
        <w:rPr>
          <w:rFonts w:cs="Times New Roman"/>
          <w:szCs w:val="24"/>
          <w:lang w:eastAsia="lv-LV"/>
        </w:rPr>
        <w:t>3</w:t>
      </w:r>
      <w:r w:rsidR="009B36B7" w:rsidRPr="000D4222">
        <w:rPr>
          <w:rFonts w:cs="Times New Roman"/>
          <w:szCs w:val="24"/>
          <w:lang w:eastAsia="lv-LV"/>
        </w:rPr>
        <w:t> </w:t>
      </w:r>
      <w:r w:rsidRPr="000D4222">
        <w:rPr>
          <w:rFonts w:cs="Times New Roman"/>
          <w:szCs w:val="24"/>
          <w:lang w:eastAsia="lv-LV"/>
        </w:rPr>
        <w:t>sūdzības tika nosūtītas izskatīšanai kompetentai institūcijai.</w:t>
      </w:r>
    </w:p>
    <w:p w14:paraId="3491B5D2" w14:textId="23B2C0E0" w:rsidR="00E51A5A" w:rsidRDefault="00E51A5A" w:rsidP="00BE187D">
      <w:pPr>
        <w:spacing w:after="0" w:line="240" w:lineRule="auto"/>
        <w:jc w:val="both"/>
        <w:rPr>
          <w:lang w:eastAsia="lv-LV"/>
        </w:rPr>
      </w:pPr>
      <w:r>
        <w:rPr>
          <w:lang w:eastAsia="lv-LV"/>
        </w:rPr>
        <w:tab/>
        <w:t>Saskaņā ar Kriminālprocesa likuma 45.</w:t>
      </w:r>
      <w:r w:rsidR="003D54B3">
        <w:rPr>
          <w:lang w:eastAsia="lv-LV"/>
        </w:rPr>
        <w:t> </w:t>
      </w:r>
      <w:r>
        <w:rPr>
          <w:lang w:eastAsia="lv-LV"/>
        </w:rPr>
        <w:t>panta pirmo daļu amatā augstāks prokurors likumā noteikt</w:t>
      </w:r>
      <w:r w:rsidR="009B36B7">
        <w:rPr>
          <w:lang w:eastAsia="lv-LV"/>
        </w:rPr>
        <w:t>aj</w:t>
      </w:r>
      <w:r>
        <w:rPr>
          <w:lang w:eastAsia="lv-LV"/>
        </w:rPr>
        <w:t>ā kārtībā kontrolē kā prokurors īsteno savas pilnvaras, tai skaitā veic izmeklēšanas uzraudzību vai kriminālvajāšanu. Tādēļ viens no apjomīgākajiem nodaļas prokuroru darba virzieniem ir krimināllietu pārbaude.</w:t>
      </w:r>
    </w:p>
    <w:p w14:paraId="0A438EB5" w14:textId="77777777" w:rsidR="00824567" w:rsidRDefault="00824567" w:rsidP="00BE187D">
      <w:pPr>
        <w:spacing w:after="0" w:line="240" w:lineRule="auto"/>
        <w:jc w:val="both"/>
        <w:rPr>
          <w:lang w:eastAsia="lv-LV"/>
        </w:rPr>
      </w:pPr>
    </w:p>
    <w:p w14:paraId="54F90231" w14:textId="2E3DE741" w:rsidR="00E51A5A" w:rsidRPr="007555AE" w:rsidRDefault="00E51A5A" w:rsidP="001C19C7">
      <w:pPr>
        <w:spacing w:after="0" w:line="240" w:lineRule="auto"/>
        <w:jc w:val="center"/>
        <w:rPr>
          <w:rFonts w:cs="Times New Roman"/>
          <w:b/>
          <w:bCs/>
          <w:szCs w:val="24"/>
          <w:lang w:eastAsia="lv-LV"/>
          <w14:textOutline w14:w="3175" w14:cap="sq" w14:cmpd="sng" w14:algn="ctr">
            <w14:solidFill>
              <w14:schemeClr w14:val="bg1"/>
            </w14:solidFill>
            <w14:prstDash w14:val="solid"/>
            <w14:bevel/>
          </w14:textOutline>
        </w:rPr>
      </w:pPr>
      <w:r w:rsidRPr="00461E62">
        <w:rPr>
          <w:rStyle w:val="Strong"/>
          <w:noProof/>
        </w:rPr>
        <w:drawing>
          <wp:inline distT="0" distB="0" distL="0" distR="0" wp14:anchorId="2119E870" wp14:editId="40EAC60E">
            <wp:extent cx="4366260" cy="2302510"/>
            <wp:effectExtent l="0" t="0" r="15240" b="2540"/>
            <wp:docPr id="177" name="Chart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6FD607E3" w14:textId="77777777" w:rsidR="00E51A5A" w:rsidRDefault="00E51A5A" w:rsidP="00E51A5A">
      <w:pPr>
        <w:spacing w:after="0" w:line="240" w:lineRule="auto"/>
        <w:jc w:val="both"/>
        <w:rPr>
          <w:rFonts w:cs="Times New Roman"/>
          <w:b/>
          <w:bCs/>
          <w:szCs w:val="24"/>
          <w:lang w:eastAsia="lv-LV"/>
          <w14:textOutline w14:w="9525" w14:cap="rnd" w14:cmpd="sng" w14:algn="ctr">
            <w14:solidFill>
              <w14:schemeClr w14:val="tx1">
                <w14:lumMod w14:val="15000"/>
                <w14:lumOff w14:val="85000"/>
              </w14:schemeClr>
            </w14:solidFill>
            <w14:prstDash w14:val="solid"/>
            <w14:bevel/>
          </w14:textOutline>
        </w:rPr>
      </w:pPr>
    </w:p>
    <w:p w14:paraId="00F97380" w14:textId="522B3327" w:rsidR="00E51A5A" w:rsidRDefault="00E51A5A" w:rsidP="0057580D">
      <w:pPr>
        <w:spacing w:after="0" w:line="240" w:lineRule="auto"/>
        <w:ind w:firstLine="720"/>
        <w:jc w:val="both"/>
        <w:rPr>
          <w:rFonts w:cs="Times New Roman"/>
          <w:szCs w:val="24"/>
        </w:rPr>
      </w:pPr>
      <w:r>
        <w:rPr>
          <w:lang w:eastAsia="lv-LV"/>
        </w:rPr>
        <w:t>Atzīmējams, ka ar katru gadu pieaug kriminālprocesu skaits, kuros tiek izmeklēti sarežģīti ekonomiska rakstura noziedzīgi nodarījumi, tādēļ apjomīgāki ir kļuvuši arī krimināllietu materiāli. Paralēli tam 2020.</w:t>
      </w:r>
      <w:r w:rsidR="001C19C7">
        <w:rPr>
          <w:lang w:eastAsia="lv-LV"/>
        </w:rPr>
        <w:t> </w:t>
      </w:r>
      <w:r>
        <w:rPr>
          <w:lang w:eastAsia="lv-LV"/>
        </w:rPr>
        <w:t xml:space="preserve">gadā </w:t>
      </w:r>
      <w:r>
        <w:rPr>
          <w:rFonts w:cs="Times New Roman"/>
          <w:szCs w:val="24"/>
        </w:rPr>
        <w:t>s</w:t>
      </w:r>
      <w:r w:rsidRPr="00F52B0D">
        <w:rPr>
          <w:rFonts w:cs="Times New Roman"/>
          <w:szCs w:val="24"/>
        </w:rPr>
        <w:t xml:space="preserve">agatavoti </w:t>
      </w:r>
      <w:r w:rsidRPr="001C19C7">
        <w:rPr>
          <w:rFonts w:cs="Times New Roman"/>
          <w:szCs w:val="24"/>
        </w:rPr>
        <w:t>24</w:t>
      </w:r>
      <w:r w:rsidR="001C19C7">
        <w:rPr>
          <w:rFonts w:cs="Times New Roman"/>
          <w:b/>
          <w:bCs/>
          <w:szCs w:val="24"/>
        </w:rPr>
        <w:t> </w:t>
      </w:r>
      <w:r w:rsidRPr="00F52B0D">
        <w:rPr>
          <w:rFonts w:cs="Times New Roman"/>
          <w:szCs w:val="24"/>
        </w:rPr>
        <w:t>atzinumi par krimināltiesiskiem vai kriminālprocesuāliem jautājumiem</w:t>
      </w:r>
      <w:r>
        <w:rPr>
          <w:rFonts w:cs="Times New Roman"/>
          <w:szCs w:val="24"/>
        </w:rPr>
        <w:t xml:space="preserve"> un</w:t>
      </w:r>
      <w:r w:rsidRPr="00F52B0D">
        <w:rPr>
          <w:rFonts w:cs="Times New Roman"/>
          <w:szCs w:val="24"/>
        </w:rPr>
        <w:t xml:space="preserve"> </w:t>
      </w:r>
      <w:r w:rsidRPr="001C19C7">
        <w:rPr>
          <w:rFonts w:cs="Times New Roman"/>
          <w:szCs w:val="24"/>
        </w:rPr>
        <w:t>39</w:t>
      </w:r>
      <w:r w:rsidR="001C19C7">
        <w:rPr>
          <w:rFonts w:cs="Times New Roman"/>
          <w:szCs w:val="24"/>
        </w:rPr>
        <w:t> </w:t>
      </w:r>
      <w:r w:rsidRPr="00F52B0D">
        <w:rPr>
          <w:rFonts w:cs="Times New Roman"/>
          <w:szCs w:val="24"/>
        </w:rPr>
        <w:t>atzinumi par krimināllietu izmeklēšanas rezultātiem.</w:t>
      </w:r>
    </w:p>
    <w:p w14:paraId="7CD0957E" w14:textId="4955BE8D" w:rsidR="00E51A5A" w:rsidRPr="00C03920" w:rsidRDefault="00E51A5A" w:rsidP="0057580D">
      <w:pPr>
        <w:spacing w:line="240" w:lineRule="auto"/>
        <w:ind w:firstLine="720"/>
        <w:jc w:val="both"/>
        <w:rPr>
          <w:rFonts w:cs="Times New Roman"/>
          <w:szCs w:val="24"/>
        </w:rPr>
      </w:pPr>
      <w:r w:rsidRPr="00C03920">
        <w:t xml:space="preserve">Nolūkā veicināt iespējami ātrāku kriminālprocesu pabeigšanu notikušas </w:t>
      </w:r>
      <w:r w:rsidRPr="001C19C7">
        <w:t>215</w:t>
      </w:r>
      <w:r w:rsidR="00F02EFA">
        <w:t> </w:t>
      </w:r>
      <w:r w:rsidRPr="00C03920">
        <w:t xml:space="preserve">apspriedes </w:t>
      </w:r>
      <w:r>
        <w:t xml:space="preserve">ar kriminālprocesu veicošajām amatpersonām </w:t>
      </w:r>
      <w:r w:rsidRPr="00C03920">
        <w:t>par kriminālprocesu virzību.</w:t>
      </w:r>
    </w:p>
    <w:tbl>
      <w:tblPr>
        <w:tblStyle w:val="GridTable5Dark-Accent5"/>
        <w:tblW w:w="9072" w:type="dxa"/>
        <w:tblLayout w:type="fixed"/>
        <w:tblLook w:val="0500" w:firstRow="0" w:lastRow="0" w:firstColumn="0" w:lastColumn="1" w:noHBand="0" w:noVBand="1"/>
      </w:tblPr>
      <w:tblGrid>
        <w:gridCol w:w="567"/>
        <w:gridCol w:w="7655"/>
        <w:gridCol w:w="850"/>
      </w:tblGrid>
      <w:tr w:rsidR="00E51A5A" w:rsidRPr="00577BF3" w14:paraId="21EBD006" w14:textId="77777777" w:rsidTr="00E51A5A">
        <w:trPr>
          <w:cnfStyle w:val="000000100000" w:firstRow="0" w:lastRow="0" w:firstColumn="0" w:lastColumn="0" w:oddVBand="0" w:evenVBand="0" w:oddHBand="1" w:evenHBand="0" w:firstRowFirstColumn="0" w:firstRowLastColumn="0" w:lastRowFirstColumn="0" w:lastRowLastColumn="0"/>
        </w:trPr>
        <w:tc>
          <w:tcPr>
            <w:tcW w:w="567" w:type="dxa"/>
          </w:tcPr>
          <w:p w14:paraId="6903F21E" w14:textId="77777777" w:rsidR="00E51A5A" w:rsidRPr="00577BF3" w:rsidRDefault="00E51A5A" w:rsidP="00E51A5A">
            <w:pPr>
              <w:jc w:val="center"/>
              <w:rPr>
                <w:rFonts w:eastAsia="Times New Roman" w:cs="Times New Roman"/>
                <w:sz w:val="22"/>
                <w:szCs w:val="20"/>
                <w:lang w:eastAsia="lv-LV"/>
              </w:rPr>
            </w:pPr>
            <w:r w:rsidRPr="00577BF3">
              <w:rPr>
                <w:rFonts w:eastAsia="Times New Roman" w:cs="Times New Roman"/>
                <w:sz w:val="22"/>
                <w:szCs w:val="20"/>
                <w:lang w:eastAsia="lv-LV"/>
              </w:rPr>
              <w:t>1.</w:t>
            </w:r>
          </w:p>
        </w:tc>
        <w:tc>
          <w:tcPr>
            <w:tcW w:w="7655" w:type="dxa"/>
          </w:tcPr>
          <w:p w14:paraId="576C4B21" w14:textId="77777777" w:rsidR="00E51A5A" w:rsidRPr="003E7D89" w:rsidRDefault="00E51A5A" w:rsidP="00E51A5A">
            <w:pPr>
              <w:jc w:val="center"/>
              <w:rPr>
                <w:rFonts w:cs="Times New Roman"/>
                <w:b/>
                <w:bCs/>
                <w:szCs w:val="24"/>
              </w:rPr>
            </w:pPr>
            <w:r w:rsidRPr="001D33AC">
              <w:rPr>
                <w:rFonts w:cs="Times New Roman"/>
                <w:szCs w:val="24"/>
              </w:rPr>
              <w:t>Pārbaudīti materiāli par atteikšanos uzsākt kriminālprocesu</w:t>
            </w:r>
            <w:r>
              <w:rPr>
                <w:rFonts w:cs="Times New Roman"/>
                <w:szCs w:val="24"/>
              </w:rPr>
              <w:t xml:space="preserve"> </w:t>
            </w:r>
            <w:r>
              <w:rPr>
                <w:rFonts w:cs="Times New Roman"/>
                <w:b/>
                <w:bCs/>
                <w:szCs w:val="24"/>
              </w:rPr>
              <w:t xml:space="preserve">/ </w:t>
            </w:r>
            <w:r w:rsidRPr="00D15551">
              <w:rPr>
                <w:rFonts w:cs="Times New Roman"/>
                <w:szCs w:val="24"/>
              </w:rPr>
              <w:t>atcelti</w:t>
            </w:r>
            <w:r w:rsidRPr="001D33AC">
              <w:rPr>
                <w:rFonts w:cs="Times New Roman"/>
                <w:szCs w:val="24"/>
              </w:rPr>
              <w:t xml:space="preserve"> kā nepamatoti</w:t>
            </w:r>
            <w:r w:rsidRPr="00D15551">
              <w:rPr>
                <w:rFonts w:cs="Times New Roman"/>
                <w:szCs w:val="24"/>
              </w:rPr>
              <w:t xml:space="preserve"> </w:t>
            </w:r>
            <w:r w:rsidRPr="001D33AC">
              <w:rPr>
                <w:rFonts w:cs="Times New Roman"/>
                <w:szCs w:val="24"/>
              </w:rPr>
              <w:t>lēmumi par atteikšanos uzsākt kriminālprocesu.</w:t>
            </w:r>
          </w:p>
        </w:tc>
        <w:tc>
          <w:tcPr>
            <w:cnfStyle w:val="000100000000" w:firstRow="0" w:lastRow="0" w:firstColumn="0" w:lastColumn="1" w:oddVBand="0" w:evenVBand="0" w:oddHBand="0" w:evenHBand="0" w:firstRowFirstColumn="0" w:firstRowLastColumn="0" w:lastRowFirstColumn="0" w:lastRowLastColumn="0"/>
            <w:tcW w:w="850" w:type="dxa"/>
          </w:tcPr>
          <w:p w14:paraId="708B0FD8" w14:textId="77777777" w:rsidR="00E51A5A" w:rsidRPr="00577BF3" w:rsidRDefault="00E51A5A" w:rsidP="00E51A5A">
            <w:pPr>
              <w:jc w:val="center"/>
              <w:rPr>
                <w:rFonts w:eastAsia="Times New Roman" w:cs="Times New Roman"/>
                <w:color w:val="000000" w:themeColor="text1"/>
                <w:sz w:val="22"/>
                <w:szCs w:val="20"/>
                <w:lang w:eastAsia="lv-LV"/>
              </w:rPr>
            </w:pPr>
            <w:r>
              <w:rPr>
                <w:rFonts w:eastAsia="Times New Roman" w:cs="Times New Roman"/>
                <w:color w:val="000000" w:themeColor="text1"/>
                <w:sz w:val="22"/>
                <w:szCs w:val="20"/>
                <w:lang w:eastAsia="lv-LV"/>
              </w:rPr>
              <w:t>83/26</w:t>
            </w:r>
          </w:p>
        </w:tc>
      </w:tr>
      <w:tr w:rsidR="00E51A5A" w:rsidRPr="00577BF3" w14:paraId="50307E34" w14:textId="77777777" w:rsidTr="00E51A5A">
        <w:tc>
          <w:tcPr>
            <w:tcW w:w="567" w:type="dxa"/>
          </w:tcPr>
          <w:p w14:paraId="6E984813" w14:textId="77777777" w:rsidR="00E51A5A" w:rsidRPr="00577BF3" w:rsidRDefault="00E51A5A" w:rsidP="00E51A5A">
            <w:pPr>
              <w:jc w:val="center"/>
              <w:rPr>
                <w:rFonts w:eastAsia="Times New Roman" w:cs="Times New Roman"/>
                <w:sz w:val="22"/>
                <w:szCs w:val="20"/>
                <w:lang w:eastAsia="lv-LV"/>
              </w:rPr>
            </w:pPr>
            <w:r w:rsidRPr="00577BF3">
              <w:rPr>
                <w:rFonts w:eastAsia="Times New Roman" w:cs="Times New Roman"/>
                <w:sz w:val="22"/>
                <w:szCs w:val="20"/>
                <w:lang w:eastAsia="lv-LV"/>
              </w:rPr>
              <w:t>2.</w:t>
            </w:r>
          </w:p>
        </w:tc>
        <w:tc>
          <w:tcPr>
            <w:tcW w:w="7655" w:type="dxa"/>
          </w:tcPr>
          <w:p w14:paraId="6311EF32" w14:textId="77777777" w:rsidR="00E51A5A" w:rsidRPr="00577BF3" w:rsidRDefault="00E51A5A" w:rsidP="00E51A5A">
            <w:pPr>
              <w:jc w:val="center"/>
              <w:rPr>
                <w:rFonts w:eastAsia="Times New Roman" w:cs="Times New Roman"/>
                <w:color w:val="C00000"/>
                <w:sz w:val="22"/>
                <w:szCs w:val="20"/>
                <w:lang w:eastAsia="lv-LV"/>
              </w:rPr>
            </w:pPr>
            <w:r>
              <w:rPr>
                <w:rFonts w:cs="Times New Roman"/>
                <w:szCs w:val="24"/>
              </w:rPr>
              <w:t>Uzsākti  kriminālprocesi</w:t>
            </w:r>
          </w:p>
        </w:tc>
        <w:tc>
          <w:tcPr>
            <w:cnfStyle w:val="000100000000" w:firstRow="0" w:lastRow="0" w:firstColumn="0" w:lastColumn="1" w:oddVBand="0" w:evenVBand="0" w:oddHBand="0" w:evenHBand="0" w:firstRowFirstColumn="0" w:firstRowLastColumn="0" w:lastRowFirstColumn="0" w:lastRowLastColumn="0"/>
            <w:tcW w:w="850" w:type="dxa"/>
          </w:tcPr>
          <w:p w14:paraId="42123964" w14:textId="77777777" w:rsidR="00E51A5A" w:rsidRPr="00577BF3" w:rsidRDefault="00E51A5A" w:rsidP="00E51A5A">
            <w:pPr>
              <w:jc w:val="center"/>
              <w:rPr>
                <w:rFonts w:eastAsia="Times New Roman" w:cs="Times New Roman"/>
                <w:color w:val="000000" w:themeColor="text1"/>
                <w:sz w:val="22"/>
                <w:szCs w:val="20"/>
                <w:lang w:eastAsia="lv-LV"/>
              </w:rPr>
            </w:pPr>
            <w:r>
              <w:rPr>
                <w:rFonts w:eastAsia="Times New Roman" w:cs="Times New Roman"/>
                <w:color w:val="000000" w:themeColor="text1"/>
                <w:sz w:val="22"/>
                <w:szCs w:val="20"/>
                <w:lang w:eastAsia="lv-LV"/>
              </w:rPr>
              <w:t>3</w:t>
            </w:r>
          </w:p>
        </w:tc>
      </w:tr>
      <w:tr w:rsidR="00E51A5A" w:rsidRPr="00577BF3" w14:paraId="2822AEF8" w14:textId="77777777" w:rsidTr="00E51A5A">
        <w:trPr>
          <w:cnfStyle w:val="000000100000" w:firstRow="0" w:lastRow="0" w:firstColumn="0" w:lastColumn="0" w:oddVBand="0" w:evenVBand="0" w:oddHBand="1" w:evenHBand="0" w:firstRowFirstColumn="0" w:firstRowLastColumn="0" w:lastRowFirstColumn="0" w:lastRowLastColumn="0"/>
        </w:trPr>
        <w:tc>
          <w:tcPr>
            <w:tcW w:w="567" w:type="dxa"/>
          </w:tcPr>
          <w:p w14:paraId="6F6678AA"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3.</w:t>
            </w:r>
          </w:p>
        </w:tc>
        <w:tc>
          <w:tcPr>
            <w:tcW w:w="7655" w:type="dxa"/>
          </w:tcPr>
          <w:p w14:paraId="4930018D" w14:textId="77777777" w:rsidR="00E51A5A" w:rsidRPr="00577BF3" w:rsidRDefault="00E51A5A" w:rsidP="00E51A5A">
            <w:pPr>
              <w:jc w:val="center"/>
              <w:rPr>
                <w:rFonts w:eastAsia="Times New Roman" w:cs="Times New Roman"/>
                <w:color w:val="000000"/>
                <w:sz w:val="22"/>
                <w:szCs w:val="20"/>
                <w:lang w:eastAsia="lv-LV"/>
              </w:rPr>
            </w:pPr>
            <w:r w:rsidRPr="00D15551">
              <w:rPr>
                <w:rFonts w:cs="Times New Roman"/>
                <w:szCs w:val="24"/>
              </w:rPr>
              <w:t>Atjaunoti  izbeigtie kriminālprocesi, konstatējot, ka procesa izbeigšanai nebija likumīga pamata</w:t>
            </w:r>
          </w:p>
        </w:tc>
        <w:tc>
          <w:tcPr>
            <w:cnfStyle w:val="000100000000" w:firstRow="0" w:lastRow="0" w:firstColumn="0" w:lastColumn="1" w:oddVBand="0" w:evenVBand="0" w:oddHBand="0" w:evenHBand="0" w:firstRowFirstColumn="0" w:firstRowLastColumn="0" w:lastRowFirstColumn="0" w:lastRowLastColumn="0"/>
            <w:tcW w:w="850" w:type="dxa"/>
          </w:tcPr>
          <w:p w14:paraId="51B8585C"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11</w:t>
            </w:r>
          </w:p>
        </w:tc>
      </w:tr>
      <w:tr w:rsidR="00E51A5A" w:rsidRPr="00577BF3" w14:paraId="5B03A26D" w14:textId="77777777" w:rsidTr="00E51A5A">
        <w:tc>
          <w:tcPr>
            <w:tcW w:w="567" w:type="dxa"/>
          </w:tcPr>
          <w:p w14:paraId="559F28FF"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4.</w:t>
            </w:r>
          </w:p>
        </w:tc>
        <w:tc>
          <w:tcPr>
            <w:tcW w:w="7655" w:type="dxa"/>
          </w:tcPr>
          <w:p w14:paraId="55F4B4B9" w14:textId="77777777" w:rsidR="00E51A5A" w:rsidRPr="00555656" w:rsidRDefault="00E51A5A" w:rsidP="00E51A5A">
            <w:pPr>
              <w:jc w:val="center"/>
              <w:rPr>
                <w:rFonts w:cs="Times New Roman"/>
                <w:b/>
                <w:bCs/>
                <w:i/>
                <w:iCs/>
                <w:szCs w:val="24"/>
              </w:rPr>
            </w:pPr>
            <w:r w:rsidRPr="003C03DA">
              <w:rPr>
                <w:rFonts w:cs="Times New Roman"/>
                <w:szCs w:val="24"/>
              </w:rPr>
              <w:t>Atcelti</w:t>
            </w:r>
            <w:r>
              <w:rPr>
                <w:rFonts w:cs="Times New Roman"/>
                <w:szCs w:val="24"/>
              </w:rPr>
              <w:t xml:space="preserve"> </w:t>
            </w:r>
            <w:r w:rsidRPr="003C03DA">
              <w:rPr>
                <w:rFonts w:cs="Times New Roman"/>
                <w:szCs w:val="24"/>
              </w:rPr>
              <w:t xml:space="preserve">procesa virzītāja </w:t>
            </w:r>
            <w:r>
              <w:rPr>
                <w:rFonts w:cs="Times New Roman"/>
                <w:szCs w:val="24"/>
              </w:rPr>
              <w:t xml:space="preserve">/ </w:t>
            </w:r>
            <w:r w:rsidRPr="003C03DA">
              <w:rPr>
                <w:rFonts w:cs="Times New Roman"/>
                <w:szCs w:val="24"/>
              </w:rPr>
              <w:t xml:space="preserve">amatā zemāka prokurora lēmumi </w:t>
            </w:r>
            <w:r w:rsidRPr="00555656">
              <w:rPr>
                <w:rFonts w:cs="Times New Roman"/>
                <w:i/>
                <w:iCs/>
                <w:szCs w:val="24"/>
              </w:rPr>
              <w:t>Kriminālprocesa likuma 46. panta otrās daļas 7. punkta kārtībā</w:t>
            </w:r>
          </w:p>
          <w:p w14:paraId="27C6013D" w14:textId="77777777" w:rsidR="00E51A5A" w:rsidRPr="00577BF3" w:rsidRDefault="00E51A5A" w:rsidP="00E51A5A">
            <w:pPr>
              <w:jc w:val="center"/>
              <w:rPr>
                <w:rFonts w:eastAsia="Times New Roman" w:cs="Times New Roman"/>
                <w:color w:val="000000"/>
                <w:sz w:val="22"/>
                <w:szCs w:val="20"/>
                <w:lang w:eastAsia="lv-LV"/>
              </w:rPr>
            </w:pPr>
          </w:p>
        </w:tc>
        <w:tc>
          <w:tcPr>
            <w:cnfStyle w:val="000100000000" w:firstRow="0" w:lastRow="0" w:firstColumn="0" w:lastColumn="1" w:oddVBand="0" w:evenVBand="0" w:oddHBand="0" w:evenHBand="0" w:firstRowFirstColumn="0" w:firstRowLastColumn="0" w:lastRowFirstColumn="0" w:lastRowLastColumn="0"/>
            <w:tcW w:w="850" w:type="dxa"/>
          </w:tcPr>
          <w:p w14:paraId="722A4771"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9/4</w:t>
            </w:r>
          </w:p>
        </w:tc>
      </w:tr>
      <w:tr w:rsidR="00E51A5A" w:rsidRPr="00577BF3" w14:paraId="0D5EDA74" w14:textId="77777777" w:rsidTr="00E51A5A">
        <w:trPr>
          <w:cnfStyle w:val="000000100000" w:firstRow="0" w:lastRow="0" w:firstColumn="0" w:lastColumn="0" w:oddVBand="0" w:evenVBand="0" w:oddHBand="1" w:evenHBand="0" w:firstRowFirstColumn="0" w:firstRowLastColumn="0" w:lastRowFirstColumn="0" w:lastRowLastColumn="0"/>
        </w:trPr>
        <w:tc>
          <w:tcPr>
            <w:tcW w:w="567" w:type="dxa"/>
          </w:tcPr>
          <w:p w14:paraId="357B0A7D"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5.</w:t>
            </w:r>
          </w:p>
        </w:tc>
        <w:tc>
          <w:tcPr>
            <w:tcW w:w="7655" w:type="dxa"/>
          </w:tcPr>
          <w:p w14:paraId="4C4E1D8C" w14:textId="77777777" w:rsidR="00E51A5A" w:rsidRPr="00555656" w:rsidRDefault="00E51A5A" w:rsidP="00E51A5A">
            <w:pPr>
              <w:jc w:val="center"/>
              <w:rPr>
                <w:rFonts w:cs="Times New Roman"/>
                <w:b/>
                <w:bCs/>
                <w:i/>
                <w:iCs/>
                <w:szCs w:val="24"/>
              </w:rPr>
            </w:pPr>
            <w:r>
              <w:rPr>
                <w:rFonts w:cs="Times New Roman"/>
                <w:szCs w:val="24"/>
              </w:rPr>
              <w:t>K</w:t>
            </w:r>
            <w:r w:rsidRPr="003C03DA">
              <w:rPr>
                <w:rFonts w:cs="Times New Roman"/>
                <w:szCs w:val="24"/>
              </w:rPr>
              <w:t>riminālproces</w:t>
            </w:r>
            <w:r>
              <w:rPr>
                <w:rFonts w:cs="Times New Roman"/>
                <w:szCs w:val="24"/>
              </w:rPr>
              <w:t>os</w:t>
            </w:r>
            <w:r w:rsidRPr="003C03DA">
              <w:rPr>
                <w:rFonts w:cs="Times New Roman"/>
                <w:szCs w:val="24"/>
              </w:rPr>
              <w:t xml:space="preserve"> doti mutiski/rakstiski amatā augstāka prokurora norādījumi par izmeklēšanas virzību un izmeklēšanas darbību veikšanu </w:t>
            </w:r>
            <w:r w:rsidRPr="00555656">
              <w:rPr>
                <w:rFonts w:cs="Times New Roman"/>
                <w:i/>
                <w:iCs/>
                <w:szCs w:val="24"/>
              </w:rPr>
              <w:t>Kriminālprocesa likuma 46. panta otrās daļas 6. punkta kārtībā</w:t>
            </w:r>
          </w:p>
          <w:p w14:paraId="6BD07047" w14:textId="77777777" w:rsidR="00E51A5A" w:rsidRPr="00577BF3" w:rsidRDefault="00E51A5A" w:rsidP="00E51A5A">
            <w:pPr>
              <w:jc w:val="center"/>
              <w:rPr>
                <w:rFonts w:eastAsia="Times New Roman" w:cs="Times New Roman"/>
                <w:color w:val="000000"/>
                <w:sz w:val="22"/>
                <w:szCs w:val="20"/>
                <w:lang w:eastAsia="lv-LV"/>
              </w:rPr>
            </w:pPr>
          </w:p>
        </w:tc>
        <w:tc>
          <w:tcPr>
            <w:cnfStyle w:val="000100000000" w:firstRow="0" w:lastRow="0" w:firstColumn="0" w:lastColumn="1" w:oddVBand="0" w:evenVBand="0" w:oddHBand="0" w:evenHBand="0" w:firstRowFirstColumn="0" w:firstRowLastColumn="0" w:lastRowFirstColumn="0" w:lastRowLastColumn="0"/>
            <w:tcW w:w="850" w:type="dxa"/>
          </w:tcPr>
          <w:p w14:paraId="36704DA1"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41</w:t>
            </w:r>
          </w:p>
        </w:tc>
      </w:tr>
      <w:tr w:rsidR="00E51A5A" w:rsidRPr="00577BF3" w14:paraId="4B6E24E8" w14:textId="77777777" w:rsidTr="00E51A5A">
        <w:tc>
          <w:tcPr>
            <w:tcW w:w="567" w:type="dxa"/>
          </w:tcPr>
          <w:p w14:paraId="0AEF5A21"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6.</w:t>
            </w:r>
          </w:p>
        </w:tc>
        <w:tc>
          <w:tcPr>
            <w:tcW w:w="7655" w:type="dxa"/>
          </w:tcPr>
          <w:p w14:paraId="1B614A21" w14:textId="77777777" w:rsidR="00E51A5A" w:rsidRPr="00A04CEF" w:rsidRDefault="00E51A5A" w:rsidP="00E51A5A">
            <w:pPr>
              <w:jc w:val="center"/>
              <w:rPr>
                <w:rFonts w:cs="Times New Roman"/>
                <w:b/>
                <w:bCs/>
                <w:szCs w:val="24"/>
              </w:rPr>
            </w:pPr>
            <w:r w:rsidRPr="00A04CEF">
              <w:rPr>
                <w:rFonts w:cs="Times New Roman"/>
                <w:szCs w:val="24"/>
              </w:rPr>
              <w:t>Izlemti strīdi par uzraudzības piekritību kriminālprocesos</w:t>
            </w:r>
            <w:r>
              <w:rPr>
                <w:rFonts w:cs="Times New Roman"/>
                <w:szCs w:val="24"/>
              </w:rPr>
              <w:t xml:space="preserve"> </w:t>
            </w:r>
            <w:r w:rsidRPr="00A04CEF">
              <w:rPr>
                <w:rFonts w:cs="Times New Roman"/>
                <w:i/>
                <w:iCs/>
                <w:szCs w:val="24"/>
              </w:rPr>
              <w:t>(skaits).</w:t>
            </w:r>
          </w:p>
          <w:p w14:paraId="7E6598EB" w14:textId="77777777" w:rsidR="00E51A5A" w:rsidRPr="00577BF3" w:rsidRDefault="00E51A5A" w:rsidP="00E51A5A">
            <w:pPr>
              <w:jc w:val="center"/>
              <w:rPr>
                <w:rFonts w:eastAsia="Times New Roman" w:cs="Times New Roman"/>
                <w:color w:val="000000"/>
                <w:sz w:val="22"/>
                <w:szCs w:val="20"/>
                <w:lang w:eastAsia="lv-LV"/>
              </w:rPr>
            </w:pPr>
          </w:p>
        </w:tc>
        <w:tc>
          <w:tcPr>
            <w:cnfStyle w:val="000100000000" w:firstRow="0" w:lastRow="0" w:firstColumn="0" w:lastColumn="1" w:oddVBand="0" w:evenVBand="0" w:oddHBand="0" w:evenHBand="0" w:firstRowFirstColumn="0" w:firstRowLastColumn="0" w:lastRowFirstColumn="0" w:lastRowLastColumn="0"/>
            <w:tcW w:w="850" w:type="dxa"/>
          </w:tcPr>
          <w:p w14:paraId="1AA873C6"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58</w:t>
            </w:r>
          </w:p>
        </w:tc>
      </w:tr>
      <w:tr w:rsidR="00E51A5A" w:rsidRPr="00577BF3" w14:paraId="4324AE39" w14:textId="77777777" w:rsidTr="00E51A5A">
        <w:trPr>
          <w:cnfStyle w:val="000000100000" w:firstRow="0" w:lastRow="0" w:firstColumn="0" w:lastColumn="0" w:oddVBand="0" w:evenVBand="0" w:oddHBand="1" w:evenHBand="0" w:firstRowFirstColumn="0" w:firstRowLastColumn="0" w:lastRowFirstColumn="0" w:lastRowLastColumn="0"/>
        </w:trPr>
        <w:tc>
          <w:tcPr>
            <w:tcW w:w="567" w:type="dxa"/>
          </w:tcPr>
          <w:p w14:paraId="5B8AB80A"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7.</w:t>
            </w:r>
          </w:p>
        </w:tc>
        <w:tc>
          <w:tcPr>
            <w:tcW w:w="7655" w:type="dxa"/>
          </w:tcPr>
          <w:p w14:paraId="73C336B7" w14:textId="77777777" w:rsidR="00E51A5A" w:rsidRPr="00577BF3" w:rsidRDefault="00E51A5A" w:rsidP="00E51A5A">
            <w:pPr>
              <w:jc w:val="center"/>
              <w:rPr>
                <w:rFonts w:eastAsia="Times New Roman" w:cs="Times New Roman"/>
                <w:color w:val="000000"/>
                <w:sz w:val="22"/>
                <w:szCs w:val="20"/>
                <w:lang w:eastAsia="lv-LV"/>
              </w:rPr>
            </w:pPr>
            <w:r>
              <w:rPr>
                <w:rFonts w:cs="Times New Roman"/>
                <w:szCs w:val="24"/>
              </w:rPr>
              <w:t>Atcelti lēmumi, izskatot sūdzības par kriminālprocesu veicošās amatpersonas rīcību vai nolēmumu</w:t>
            </w:r>
          </w:p>
        </w:tc>
        <w:tc>
          <w:tcPr>
            <w:cnfStyle w:val="000100000000" w:firstRow="0" w:lastRow="0" w:firstColumn="0" w:lastColumn="1" w:oddVBand="0" w:evenVBand="0" w:oddHBand="0" w:evenHBand="0" w:firstRowFirstColumn="0" w:firstRowLastColumn="0" w:lastRowFirstColumn="0" w:lastRowLastColumn="0"/>
            <w:tcW w:w="850" w:type="dxa"/>
          </w:tcPr>
          <w:p w14:paraId="2316F794"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19</w:t>
            </w:r>
          </w:p>
        </w:tc>
      </w:tr>
      <w:tr w:rsidR="00E51A5A" w:rsidRPr="00577BF3" w14:paraId="59A197BE" w14:textId="77777777" w:rsidTr="00E51A5A">
        <w:trPr>
          <w:trHeight w:val="410"/>
        </w:trPr>
        <w:tc>
          <w:tcPr>
            <w:tcW w:w="567" w:type="dxa"/>
          </w:tcPr>
          <w:p w14:paraId="713CA928"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8.</w:t>
            </w:r>
          </w:p>
        </w:tc>
        <w:tc>
          <w:tcPr>
            <w:tcW w:w="7655" w:type="dxa"/>
          </w:tcPr>
          <w:p w14:paraId="3F324550" w14:textId="77777777" w:rsidR="00E51A5A" w:rsidRPr="00577BF3" w:rsidRDefault="00E51A5A" w:rsidP="00E51A5A">
            <w:pPr>
              <w:jc w:val="center"/>
              <w:rPr>
                <w:rFonts w:eastAsia="Times New Roman" w:cs="Times New Roman"/>
                <w:color w:val="000000"/>
                <w:sz w:val="22"/>
                <w:szCs w:val="20"/>
                <w:lang w:eastAsia="lv-LV"/>
              </w:rPr>
            </w:pPr>
            <w:r>
              <w:rPr>
                <w:rFonts w:cs="Times New Roman"/>
                <w:szCs w:val="24"/>
              </w:rPr>
              <w:t xml:space="preserve">Sagatavoti lēmuma par kriminālprocesu apvienošanu projekti </w:t>
            </w:r>
            <w:r w:rsidRPr="00555656">
              <w:rPr>
                <w:rFonts w:cs="Times New Roman"/>
                <w:i/>
                <w:iCs/>
                <w:szCs w:val="24"/>
              </w:rPr>
              <w:t>(skaits)</w:t>
            </w:r>
            <w:r>
              <w:rPr>
                <w:rFonts w:cs="Times New Roman"/>
                <w:szCs w:val="24"/>
              </w:rPr>
              <w:t xml:space="preserve"> </w:t>
            </w:r>
            <w:r w:rsidRPr="00555656">
              <w:rPr>
                <w:rFonts w:cs="Times New Roman"/>
                <w:i/>
                <w:iCs/>
                <w:szCs w:val="24"/>
              </w:rPr>
              <w:t>Kriminālprocesa likuma 390. panta treš</w:t>
            </w:r>
            <w:r>
              <w:rPr>
                <w:rFonts w:cs="Times New Roman"/>
                <w:i/>
                <w:iCs/>
                <w:szCs w:val="24"/>
              </w:rPr>
              <w:t>ās</w:t>
            </w:r>
            <w:r w:rsidRPr="00555656">
              <w:rPr>
                <w:rFonts w:cs="Times New Roman"/>
                <w:i/>
                <w:iCs/>
                <w:szCs w:val="24"/>
              </w:rPr>
              <w:t xml:space="preserve"> daļas kārtībā</w:t>
            </w:r>
          </w:p>
        </w:tc>
        <w:tc>
          <w:tcPr>
            <w:cnfStyle w:val="000100000000" w:firstRow="0" w:lastRow="0" w:firstColumn="0" w:lastColumn="1" w:oddVBand="0" w:evenVBand="0" w:oddHBand="0" w:evenHBand="0" w:firstRowFirstColumn="0" w:firstRowLastColumn="0" w:lastRowFirstColumn="0" w:lastRowLastColumn="0"/>
            <w:tcW w:w="850" w:type="dxa"/>
          </w:tcPr>
          <w:p w14:paraId="0699E98E"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31</w:t>
            </w:r>
          </w:p>
        </w:tc>
      </w:tr>
      <w:tr w:rsidR="00E51A5A" w:rsidRPr="00577BF3" w14:paraId="0014C114" w14:textId="77777777" w:rsidTr="00E51A5A">
        <w:trPr>
          <w:cnfStyle w:val="000000100000" w:firstRow="0" w:lastRow="0" w:firstColumn="0" w:lastColumn="0" w:oddVBand="0" w:evenVBand="0" w:oddHBand="1" w:evenHBand="0" w:firstRowFirstColumn="0" w:firstRowLastColumn="0" w:lastRowFirstColumn="0" w:lastRowLastColumn="0"/>
          <w:trHeight w:val="280"/>
        </w:trPr>
        <w:tc>
          <w:tcPr>
            <w:tcW w:w="567" w:type="dxa"/>
          </w:tcPr>
          <w:p w14:paraId="274745D7"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lastRenderedPageBreak/>
              <w:t>9.</w:t>
            </w:r>
          </w:p>
        </w:tc>
        <w:tc>
          <w:tcPr>
            <w:tcW w:w="7655" w:type="dxa"/>
          </w:tcPr>
          <w:p w14:paraId="744F1F92" w14:textId="77777777" w:rsidR="00E51A5A" w:rsidRPr="00AC04AE" w:rsidRDefault="00E51A5A" w:rsidP="00E51A5A">
            <w:pPr>
              <w:jc w:val="center"/>
              <w:rPr>
                <w:rFonts w:cs="Times New Roman"/>
                <w:b/>
                <w:bCs/>
                <w:i/>
                <w:iCs/>
                <w:szCs w:val="24"/>
              </w:rPr>
            </w:pPr>
            <w:r>
              <w:rPr>
                <w:rFonts w:cs="Times New Roman"/>
                <w:szCs w:val="24"/>
              </w:rPr>
              <w:t>A</w:t>
            </w:r>
            <w:r w:rsidRPr="00555656">
              <w:rPr>
                <w:rFonts w:cs="Times New Roman"/>
                <w:szCs w:val="24"/>
              </w:rPr>
              <w:t>tcelti lēmumi par kriminālprocesa apturēšan</w:t>
            </w:r>
            <w:r>
              <w:rPr>
                <w:rFonts w:cs="Times New Roman"/>
                <w:szCs w:val="24"/>
              </w:rPr>
              <w:t>u</w:t>
            </w:r>
            <w:r w:rsidRPr="00555656">
              <w:rPr>
                <w:rFonts w:cs="Times New Roman"/>
                <w:szCs w:val="24"/>
              </w:rPr>
              <w:t xml:space="preserve"> </w:t>
            </w:r>
            <w:r w:rsidRPr="00AC04AE">
              <w:rPr>
                <w:rFonts w:cs="Times New Roman"/>
                <w:i/>
                <w:iCs/>
                <w:szCs w:val="24"/>
              </w:rPr>
              <w:t>Kriminālprocesa likuma 378. panta pirmās daļas kārtībā</w:t>
            </w:r>
          </w:p>
          <w:p w14:paraId="1A7B1568" w14:textId="77777777" w:rsidR="00E51A5A" w:rsidRPr="00577BF3" w:rsidRDefault="00E51A5A" w:rsidP="00E51A5A">
            <w:pPr>
              <w:jc w:val="center"/>
              <w:rPr>
                <w:rFonts w:eastAsia="Times New Roman" w:cs="Times New Roman"/>
                <w:color w:val="000000"/>
                <w:sz w:val="22"/>
                <w:szCs w:val="20"/>
                <w:lang w:eastAsia="lv-LV"/>
              </w:rPr>
            </w:pPr>
          </w:p>
        </w:tc>
        <w:tc>
          <w:tcPr>
            <w:cnfStyle w:val="000100000000" w:firstRow="0" w:lastRow="0" w:firstColumn="0" w:lastColumn="1" w:oddVBand="0" w:evenVBand="0" w:oddHBand="0" w:evenHBand="0" w:firstRowFirstColumn="0" w:firstRowLastColumn="0" w:lastRowFirstColumn="0" w:lastRowLastColumn="0"/>
            <w:tcW w:w="850" w:type="dxa"/>
          </w:tcPr>
          <w:p w14:paraId="7EF109E0"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4</w:t>
            </w:r>
          </w:p>
        </w:tc>
      </w:tr>
      <w:tr w:rsidR="00E51A5A" w:rsidRPr="00577BF3" w14:paraId="663D91F8" w14:textId="77777777" w:rsidTr="00E51A5A">
        <w:trPr>
          <w:trHeight w:val="413"/>
        </w:trPr>
        <w:tc>
          <w:tcPr>
            <w:tcW w:w="567" w:type="dxa"/>
          </w:tcPr>
          <w:p w14:paraId="373FC28E"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10.</w:t>
            </w:r>
          </w:p>
        </w:tc>
        <w:tc>
          <w:tcPr>
            <w:tcW w:w="7655" w:type="dxa"/>
          </w:tcPr>
          <w:p w14:paraId="24179476" w14:textId="77777777" w:rsidR="00E51A5A" w:rsidRPr="00AC04AE" w:rsidRDefault="00E51A5A" w:rsidP="00E51A5A">
            <w:pPr>
              <w:jc w:val="center"/>
              <w:rPr>
                <w:rFonts w:cs="Times New Roman"/>
                <w:b/>
                <w:bCs/>
                <w:i/>
                <w:iCs/>
                <w:szCs w:val="24"/>
              </w:rPr>
            </w:pPr>
            <w:r>
              <w:rPr>
                <w:rFonts w:cs="Times New Roman"/>
                <w:szCs w:val="24"/>
              </w:rPr>
              <w:t>S</w:t>
            </w:r>
            <w:r w:rsidRPr="00AC04AE">
              <w:rPr>
                <w:rFonts w:cs="Times New Roman"/>
                <w:szCs w:val="24"/>
              </w:rPr>
              <w:t>agatavoti  lēmumu par noziedzīgu nodarījumu institucionālo piekritību projekti</w:t>
            </w:r>
            <w:r>
              <w:rPr>
                <w:rFonts w:cs="Times New Roman"/>
                <w:szCs w:val="24"/>
              </w:rPr>
              <w:t xml:space="preserve"> </w:t>
            </w:r>
            <w:r w:rsidRPr="00AC04AE">
              <w:rPr>
                <w:rFonts w:cs="Times New Roman"/>
                <w:i/>
                <w:iCs/>
                <w:szCs w:val="24"/>
              </w:rPr>
              <w:t>saskaņā ar Kriminālprocesa likuma 387. panta 14.daļu</w:t>
            </w:r>
          </w:p>
          <w:p w14:paraId="37A72FEF" w14:textId="77777777" w:rsidR="00E51A5A" w:rsidRPr="00577BF3" w:rsidRDefault="00E51A5A" w:rsidP="00E51A5A">
            <w:pPr>
              <w:jc w:val="center"/>
              <w:rPr>
                <w:rFonts w:eastAsia="Times New Roman" w:cs="Times New Roman"/>
                <w:color w:val="000000"/>
                <w:sz w:val="22"/>
                <w:szCs w:val="20"/>
                <w:lang w:eastAsia="lv-LV"/>
              </w:rPr>
            </w:pPr>
          </w:p>
        </w:tc>
        <w:tc>
          <w:tcPr>
            <w:cnfStyle w:val="000100000000" w:firstRow="0" w:lastRow="0" w:firstColumn="0" w:lastColumn="1" w:oddVBand="0" w:evenVBand="0" w:oddHBand="0" w:evenHBand="0" w:firstRowFirstColumn="0" w:firstRowLastColumn="0" w:lastRowFirstColumn="0" w:lastRowLastColumn="0"/>
            <w:tcW w:w="850" w:type="dxa"/>
          </w:tcPr>
          <w:p w14:paraId="23E6BF17"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4</w:t>
            </w:r>
          </w:p>
        </w:tc>
      </w:tr>
      <w:tr w:rsidR="00E51A5A" w:rsidRPr="00577BF3" w14:paraId="00655A9D" w14:textId="77777777" w:rsidTr="00E51A5A">
        <w:trPr>
          <w:cnfStyle w:val="000000100000" w:firstRow="0" w:lastRow="0" w:firstColumn="0" w:lastColumn="0" w:oddVBand="0" w:evenVBand="0" w:oddHBand="1" w:evenHBand="0" w:firstRowFirstColumn="0" w:firstRowLastColumn="0" w:lastRowFirstColumn="0" w:lastRowLastColumn="0"/>
          <w:trHeight w:val="321"/>
        </w:trPr>
        <w:tc>
          <w:tcPr>
            <w:tcW w:w="567" w:type="dxa"/>
          </w:tcPr>
          <w:p w14:paraId="6315D545"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11.</w:t>
            </w:r>
          </w:p>
        </w:tc>
        <w:tc>
          <w:tcPr>
            <w:tcW w:w="7655" w:type="dxa"/>
          </w:tcPr>
          <w:p w14:paraId="57A3B3C6" w14:textId="77777777" w:rsidR="00E51A5A" w:rsidRPr="00C612DE" w:rsidRDefault="00E51A5A" w:rsidP="00E51A5A">
            <w:pPr>
              <w:jc w:val="center"/>
              <w:rPr>
                <w:rFonts w:cs="Times New Roman"/>
                <w:b/>
                <w:bCs/>
                <w:szCs w:val="24"/>
              </w:rPr>
            </w:pPr>
            <w:r w:rsidRPr="0004262B">
              <w:rPr>
                <w:rFonts w:cs="Times New Roman"/>
                <w:szCs w:val="24"/>
              </w:rPr>
              <w:t xml:space="preserve">Iesniegti iesniegumi par </w:t>
            </w:r>
            <w:r>
              <w:rPr>
                <w:rFonts w:cs="Times New Roman"/>
                <w:szCs w:val="24"/>
              </w:rPr>
              <w:t xml:space="preserve">Kriminālprocesa </w:t>
            </w:r>
            <w:r w:rsidRPr="0004262B">
              <w:rPr>
                <w:rFonts w:cs="Times New Roman"/>
                <w:szCs w:val="24"/>
              </w:rPr>
              <w:t xml:space="preserve">likumu pārkāpumiem pirmstiesas procesā </w:t>
            </w:r>
            <w:r w:rsidRPr="00C612DE">
              <w:rPr>
                <w:rFonts w:cs="Times New Roman"/>
                <w:i/>
                <w:iCs/>
                <w:szCs w:val="24"/>
              </w:rPr>
              <w:t>Prokuratūras likuma 20. panta kārtībā</w:t>
            </w:r>
            <w:r w:rsidRPr="0004262B">
              <w:rPr>
                <w:rFonts w:cs="Times New Roman"/>
                <w:szCs w:val="24"/>
              </w:rPr>
              <w:t>.</w:t>
            </w:r>
          </w:p>
        </w:tc>
        <w:tc>
          <w:tcPr>
            <w:cnfStyle w:val="000100000000" w:firstRow="0" w:lastRow="0" w:firstColumn="0" w:lastColumn="1" w:oddVBand="0" w:evenVBand="0" w:oddHBand="0" w:evenHBand="0" w:firstRowFirstColumn="0" w:firstRowLastColumn="0" w:lastRowFirstColumn="0" w:lastRowLastColumn="0"/>
            <w:tcW w:w="850" w:type="dxa"/>
          </w:tcPr>
          <w:p w14:paraId="3E348880"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6</w:t>
            </w:r>
          </w:p>
        </w:tc>
      </w:tr>
      <w:tr w:rsidR="00E51A5A" w:rsidRPr="00577BF3" w14:paraId="21ABF4E3" w14:textId="77777777" w:rsidTr="00E51A5A">
        <w:trPr>
          <w:trHeight w:val="321"/>
        </w:trPr>
        <w:tc>
          <w:tcPr>
            <w:tcW w:w="567" w:type="dxa"/>
          </w:tcPr>
          <w:p w14:paraId="4B51F0C8"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12.</w:t>
            </w:r>
          </w:p>
        </w:tc>
        <w:tc>
          <w:tcPr>
            <w:tcW w:w="7655" w:type="dxa"/>
          </w:tcPr>
          <w:p w14:paraId="218F07E5" w14:textId="77777777" w:rsidR="00E51A5A" w:rsidRPr="00C612DE" w:rsidRDefault="00E51A5A" w:rsidP="00E51A5A">
            <w:pPr>
              <w:jc w:val="center"/>
              <w:rPr>
                <w:rFonts w:cs="Times New Roman"/>
                <w:b/>
                <w:bCs/>
                <w:szCs w:val="24"/>
              </w:rPr>
            </w:pPr>
            <w:r w:rsidRPr="0004262B">
              <w:rPr>
                <w:rFonts w:cs="Times New Roman"/>
                <w:szCs w:val="24"/>
              </w:rPr>
              <w:t>Izvērtēti</w:t>
            </w:r>
            <w:r>
              <w:rPr>
                <w:rFonts w:cs="Times New Roman"/>
                <w:szCs w:val="24"/>
              </w:rPr>
              <w:t xml:space="preserve"> </w:t>
            </w:r>
            <w:r w:rsidRPr="0004262B">
              <w:rPr>
                <w:rFonts w:cs="Times New Roman"/>
                <w:szCs w:val="24"/>
              </w:rPr>
              <w:t>normatīvo aktu projekti un sniegti iebildumi/priekšlikumi kopējā Ģenerālprokuratūras atzinuma sagatavošanai.</w:t>
            </w:r>
          </w:p>
        </w:tc>
        <w:tc>
          <w:tcPr>
            <w:cnfStyle w:val="000100000000" w:firstRow="0" w:lastRow="0" w:firstColumn="0" w:lastColumn="1" w:oddVBand="0" w:evenVBand="0" w:oddHBand="0" w:evenHBand="0" w:firstRowFirstColumn="0" w:firstRowLastColumn="0" w:lastRowFirstColumn="0" w:lastRowLastColumn="0"/>
            <w:tcW w:w="850" w:type="dxa"/>
          </w:tcPr>
          <w:p w14:paraId="072E98E3"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8</w:t>
            </w:r>
          </w:p>
        </w:tc>
      </w:tr>
      <w:tr w:rsidR="00E51A5A" w:rsidRPr="00577BF3" w14:paraId="0F54AFCF" w14:textId="77777777" w:rsidTr="00E51A5A">
        <w:trPr>
          <w:cnfStyle w:val="000000100000" w:firstRow="0" w:lastRow="0" w:firstColumn="0" w:lastColumn="0" w:oddVBand="0" w:evenVBand="0" w:oddHBand="1" w:evenHBand="0" w:firstRowFirstColumn="0" w:firstRowLastColumn="0" w:lastRowFirstColumn="0" w:lastRowLastColumn="0"/>
          <w:trHeight w:val="410"/>
        </w:trPr>
        <w:tc>
          <w:tcPr>
            <w:tcW w:w="567" w:type="dxa"/>
          </w:tcPr>
          <w:p w14:paraId="5CDE79B0" w14:textId="77777777" w:rsidR="00E51A5A" w:rsidRPr="00577BF3" w:rsidRDefault="00E51A5A" w:rsidP="00E51A5A">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13.</w:t>
            </w:r>
          </w:p>
        </w:tc>
        <w:tc>
          <w:tcPr>
            <w:tcW w:w="7655" w:type="dxa"/>
          </w:tcPr>
          <w:p w14:paraId="5DEF2AE1" w14:textId="77777777" w:rsidR="00E51A5A" w:rsidRPr="00577BF3" w:rsidRDefault="00E51A5A" w:rsidP="00E51A5A">
            <w:pPr>
              <w:jc w:val="center"/>
              <w:rPr>
                <w:rFonts w:eastAsia="Times New Roman" w:cs="Times New Roman"/>
                <w:color w:val="000000"/>
                <w:sz w:val="22"/>
                <w:szCs w:val="20"/>
                <w:lang w:eastAsia="lv-LV"/>
              </w:rPr>
            </w:pPr>
            <w:r>
              <w:rPr>
                <w:rFonts w:cs="Times New Roman"/>
                <w:szCs w:val="24"/>
              </w:rPr>
              <w:t>Sagatavota informācija uz augstāko valsts amatpersonu pieprasījumiem</w:t>
            </w:r>
          </w:p>
        </w:tc>
        <w:tc>
          <w:tcPr>
            <w:cnfStyle w:val="000100000000" w:firstRow="0" w:lastRow="0" w:firstColumn="0" w:lastColumn="1" w:oddVBand="0" w:evenVBand="0" w:oddHBand="0" w:evenHBand="0" w:firstRowFirstColumn="0" w:firstRowLastColumn="0" w:lastRowFirstColumn="0" w:lastRowLastColumn="0"/>
            <w:tcW w:w="850" w:type="dxa"/>
          </w:tcPr>
          <w:p w14:paraId="3B4CE0B1" w14:textId="77777777" w:rsidR="00E51A5A" w:rsidRPr="00577BF3" w:rsidRDefault="00E51A5A" w:rsidP="00E51A5A">
            <w:pPr>
              <w:jc w:val="center"/>
              <w:rPr>
                <w:rFonts w:eastAsia="Times New Roman" w:cs="Times New Roman"/>
                <w:color w:val="000000"/>
                <w:sz w:val="22"/>
                <w:szCs w:val="20"/>
                <w:lang w:eastAsia="lv-LV"/>
              </w:rPr>
            </w:pPr>
            <w:r>
              <w:rPr>
                <w:rFonts w:eastAsia="Times New Roman" w:cs="Times New Roman"/>
                <w:color w:val="000000"/>
                <w:sz w:val="22"/>
                <w:szCs w:val="20"/>
                <w:lang w:eastAsia="lv-LV"/>
              </w:rPr>
              <w:t>4</w:t>
            </w:r>
          </w:p>
        </w:tc>
      </w:tr>
    </w:tbl>
    <w:p w14:paraId="3EE952F2" w14:textId="77777777" w:rsidR="00E51A5A" w:rsidRPr="001C19C7" w:rsidRDefault="00E51A5A" w:rsidP="001C19C7">
      <w:pPr>
        <w:spacing w:after="0" w:line="240" w:lineRule="auto"/>
        <w:rPr>
          <w:rFonts w:cs="Times New Roman"/>
          <w:b/>
          <w:bCs/>
          <w:szCs w:val="24"/>
        </w:rPr>
      </w:pPr>
    </w:p>
    <w:p w14:paraId="181FD0FA" w14:textId="14B99D99" w:rsidR="00E51A5A" w:rsidRDefault="00E51A5A" w:rsidP="00E51A5A">
      <w:pPr>
        <w:pStyle w:val="ListParagraph"/>
        <w:spacing w:after="0" w:line="240" w:lineRule="auto"/>
        <w:ind w:left="0" w:firstLine="720"/>
        <w:jc w:val="both"/>
        <w:rPr>
          <w:rFonts w:cs="Times New Roman"/>
          <w:szCs w:val="24"/>
        </w:rPr>
      </w:pPr>
      <w:r>
        <w:rPr>
          <w:rFonts w:cs="Times New Roman"/>
          <w:szCs w:val="24"/>
        </w:rPr>
        <w:t>Liels darbs ieguldīts, piedaloties Finanšu ministrijas Krāpšanas apkarošanas koordinācijas dienesta (AFCOS) darba grupā, gatavojot informāciju uz tās pieprasījumiem, atbildot uz vēstulēm, piedaloties sanāksmē ar ASV Finanšu ministrijas Tehniskās palīdzības biroja pārstāvjiem, piedaloties Saeimas komisij</w:t>
      </w:r>
      <w:r w:rsidR="00F02EFA">
        <w:rPr>
          <w:rFonts w:cs="Times New Roman"/>
          <w:szCs w:val="24"/>
        </w:rPr>
        <w:t>u</w:t>
      </w:r>
      <w:r>
        <w:rPr>
          <w:rFonts w:cs="Times New Roman"/>
          <w:szCs w:val="24"/>
        </w:rPr>
        <w:t xml:space="preserve"> sēdēs. </w:t>
      </w:r>
    </w:p>
    <w:p w14:paraId="17A0D01A" w14:textId="77777777" w:rsidR="00E51A5A" w:rsidRDefault="00E51A5A" w:rsidP="00E51A5A">
      <w:pPr>
        <w:pStyle w:val="ListParagraph"/>
        <w:spacing w:after="0" w:line="240" w:lineRule="auto"/>
        <w:ind w:left="0" w:firstLine="720"/>
        <w:jc w:val="both"/>
        <w:rPr>
          <w:rFonts w:cs="Times New Roman"/>
          <w:szCs w:val="24"/>
        </w:rPr>
      </w:pPr>
      <w:r>
        <w:rPr>
          <w:rFonts w:cs="Times New Roman"/>
          <w:szCs w:val="24"/>
        </w:rPr>
        <w:t xml:space="preserve">Ikdienā, realizējot amatā augstāka prokurora kriminālprocesuālās pilnvaras konkrētās lietās, identificējot problēmas, kas raksturīgas vairākos procesos, ņemta dalība </w:t>
      </w:r>
      <w:r w:rsidRPr="0041604D">
        <w:rPr>
          <w:rFonts w:cs="Times New Roman"/>
          <w:szCs w:val="24"/>
        </w:rPr>
        <w:t>Iekšējās drošības biroja darba sanāksmē par krimināltiesiskiem jautājumiem</w:t>
      </w:r>
      <w:r>
        <w:rPr>
          <w:rFonts w:cs="Times New Roman"/>
          <w:szCs w:val="24"/>
        </w:rPr>
        <w:t>,</w:t>
      </w:r>
      <w:r w:rsidRPr="0041604D">
        <w:rPr>
          <w:rFonts w:cs="Times New Roman"/>
          <w:szCs w:val="24"/>
        </w:rPr>
        <w:t xml:space="preserve"> vis</w:t>
      </w:r>
      <w:r>
        <w:rPr>
          <w:rFonts w:cs="Times New Roman"/>
          <w:szCs w:val="24"/>
        </w:rPr>
        <w:t>ā</w:t>
      </w:r>
      <w:r w:rsidRPr="0041604D">
        <w:rPr>
          <w:rFonts w:cs="Times New Roman"/>
          <w:szCs w:val="24"/>
        </w:rPr>
        <w:t>m prokuratūras struktūrvienīb</w:t>
      </w:r>
      <w:r>
        <w:rPr>
          <w:rFonts w:cs="Times New Roman"/>
          <w:szCs w:val="24"/>
        </w:rPr>
        <w:t>ām</w:t>
      </w:r>
      <w:r w:rsidRPr="0041604D">
        <w:rPr>
          <w:rFonts w:cs="Times New Roman"/>
          <w:szCs w:val="24"/>
        </w:rPr>
        <w:t xml:space="preserve"> nosūtīt</w:t>
      </w:r>
      <w:r>
        <w:rPr>
          <w:rFonts w:cs="Times New Roman"/>
          <w:szCs w:val="24"/>
        </w:rPr>
        <w:t xml:space="preserve">as vēstules – </w:t>
      </w:r>
      <w:r w:rsidRPr="0041604D">
        <w:rPr>
          <w:rFonts w:cs="Times New Roman"/>
          <w:szCs w:val="24"/>
        </w:rPr>
        <w:t>metodisk</w:t>
      </w:r>
      <w:r>
        <w:rPr>
          <w:rFonts w:cs="Times New Roman"/>
          <w:szCs w:val="24"/>
        </w:rPr>
        <w:t>i ieteikumi</w:t>
      </w:r>
      <w:r w:rsidRPr="0041604D">
        <w:rPr>
          <w:rFonts w:cs="Times New Roman"/>
          <w:szCs w:val="24"/>
        </w:rPr>
        <w:t xml:space="preserve"> “Par Kriminālprocesa likuma 11. pantā noteikto kriminālprocesā lietojamās valodas pamatprincipu”, “</w:t>
      </w:r>
      <w:r>
        <w:rPr>
          <w:rFonts w:cs="Times New Roman"/>
          <w:szCs w:val="24"/>
        </w:rPr>
        <w:t xml:space="preserve"> </w:t>
      </w:r>
      <w:r w:rsidRPr="0041604D">
        <w:rPr>
          <w:rFonts w:cs="Times New Roman"/>
          <w:szCs w:val="24"/>
        </w:rPr>
        <w:t xml:space="preserve">Par </w:t>
      </w:r>
      <w:r>
        <w:rPr>
          <w:rFonts w:cs="Times New Roman"/>
          <w:szCs w:val="24"/>
        </w:rPr>
        <w:t xml:space="preserve">tiesas </w:t>
      </w:r>
      <w:r w:rsidRPr="0041604D">
        <w:rPr>
          <w:rFonts w:cs="Times New Roman"/>
          <w:szCs w:val="24"/>
        </w:rPr>
        <w:t xml:space="preserve">blakus lēmumu </w:t>
      </w:r>
      <w:r>
        <w:rPr>
          <w:rFonts w:cs="Times New Roman"/>
          <w:szCs w:val="24"/>
        </w:rPr>
        <w:t>krimināllietā sakarā ar aizstāvības principa pārkāpumu</w:t>
      </w:r>
      <w:r w:rsidRPr="0041604D">
        <w:rPr>
          <w:rFonts w:cs="Times New Roman"/>
          <w:szCs w:val="24"/>
        </w:rPr>
        <w:t>”, “</w:t>
      </w:r>
      <w:r>
        <w:rPr>
          <w:rFonts w:cs="Times New Roman"/>
          <w:szCs w:val="24"/>
        </w:rPr>
        <w:t xml:space="preserve"> </w:t>
      </w:r>
      <w:r w:rsidRPr="0041604D">
        <w:rPr>
          <w:rFonts w:cs="Times New Roman"/>
          <w:szCs w:val="24"/>
        </w:rPr>
        <w:t>Par Krimināllikuma 170. pantā paredzētā noziedzīgā nodarījuma sastāva pazīmju konstatāciju”, “Par lietisko pierādījumu (arestētās mantas) un dokumentu izņemšanu, apskati, nodošanu glabāšanā, glabāšanu un tālāko rīcību ar tiem”</w:t>
      </w:r>
      <w:r>
        <w:rPr>
          <w:rFonts w:cs="Times New Roman"/>
          <w:szCs w:val="24"/>
        </w:rPr>
        <w:t>.</w:t>
      </w:r>
      <w:r w:rsidRPr="0041604D">
        <w:rPr>
          <w:rFonts w:cs="Times New Roman"/>
          <w:szCs w:val="24"/>
        </w:rPr>
        <w:t xml:space="preserve"> </w:t>
      </w:r>
      <w:r>
        <w:rPr>
          <w:rFonts w:cs="Times New Roman"/>
          <w:szCs w:val="24"/>
        </w:rPr>
        <w:t>Šādas vēstules zināšanai un izmantošanai praksē tika nosūtītas arī Valsts policijai.</w:t>
      </w:r>
    </w:p>
    <w:p w14:paraId="0F5C41A7" w14:textId="45A778EC" w:rsidR="00E51A5A" w:rsidRDefault="00E51A5A" w:rsidP="00E51A5A">
      <w:pPr>
        <w:pStyle w:val="ListParagraph"/>
        <w:spacing w:after="0" w:line="240" w:lineRule="auto"/>
        <w:ind w:left="0" w:firstLine="720"/>
        <w:jc w:val="both"/>
        <w:rPr>
          <w:rFonts w:cs="Times New Roman"/>
          <w:szCs w:val="24"/>
        </w:rPr>
      </w:pPr>
      <w:r>
        <w:rPr>
          <w:bCs/>
        </w:rPr>
        <w:t>Sadarbībā ar Valsts policijas amatpersonām tika veikta Valsts policijas Kurzemes reģiona pārvaldes Kuldīgas iecirkņa Kriminālpolicijas nodaļa</w:t>
      </w:r>
      <w:r w:rsidR="00984242">
        <w:rPr>
          <w:bCs/>
        </w:rPr>
        <w:t>s</w:t>
      </w:r>
      <w:r>
        <w:rPr>
          <w:bCs/>
        </w:rPr>
        <w:t xml:space="preserve"> izmeklēšanas darba organizācijas un efektivitātes pārbaude, kā rezultātā tika konstatēta virkne pārkāpumu. Veikto pasākumu rezultātā īsā laika posmā tie tika novērsti. Līdzīga pārbaude izlases kārtībā tika veikta arī Ventspils iecirknī.</w:t>
      </w:r>
    </w:p>
    <w:p w14:paraId="614F4CBA" w14:textId="3BF3833E" w:rsidR="00E51A5A" w:rsidRDefault="0057580D" w:rsidP="00E51A5A">
      <w:pPr>
        <w:pStyle w:val="ListParagraph"/>
        <w:spacing w:after="0" w:line="240" w:lineRule="auto"/>
        <w:ind w:left="0" w:firstLine="720"/>
        <w:jc w:val="both"/>
        <w:rPr>
          <w:rFonts w:cs="Times New Roman"/>
          <w:szCs w:val="24"/>
        </w:rPr>
      </w:pPr>
      <w:r>
        <w:rPr>
          <w:rFonts w:cs="Times New Roman"/>
          <w:szCs w:val="24"/>
        </w:rPr>
        <w:t xml:space="preserve">Pirmstiesas izmeklēšanas uzraudzības nodaļas </w:t>
      </w:r>
      <w:r w:rsidR="00E51A5A">
        <w:rPr>
          <w:rFonts w:cs="Times New Roman"/>
          <w:szCs w:val="24"/>
        </w:rPr>
        <w:t>prokurori aktīvi piedalījās</w:t>
      </w:r>
      <w:r w:rsidR="00E51A5A" w:rsidRPr="0041604D">
        <w:rPr>
          <w:rFonts w:cs="Times New Roman"/>
          <w:szCs w:val="24"/>
        </w:rPr>
        <w:t xml:space="preserve"> apspriedēs</w:t>
      </w:r>
      <w:r w:rsidR="00E51A5A">
        <w:rPr>
          <w:rFonts w:cs="Times New Roman"/>
          <w:szCs w:val="24"/>
        </w:rPr>
        <w:t xml:space="preserve">, tai skaitā </w:t>
      </w:r>
      <w:r w:rsidR="00E51A5A" w:rsidRPr="0041604D">
        <w:rPr>
          <w:rFonts w:cs="Times New Roman"/>
          <w:szCs w:val="24"/>
        </w:rPr>
        <w:t>Finanšu izlūkošanas dienesta darba grupas sanāksmēs krimināltiesisko jautājumu risināšanai saistībā ar noziedzīgi iegūtu līdzekļu legalizēšanas kriminālprocesu izmeklēšanu</w:t>
      </w:r>
      <w:r w:rsidR="00E51A5A">
        <w:rPr>
          <w:rFonts w:cs="Times New Roman"/>
          <w:szCs w:val="24"/>
        </w:rPr>
        <w:t xml:space="preserve"> un </w:t>
      </w:r>
      <w:r w:rsidR="00E51A5A" w:rsidRPr="0041604D">
        <w:rPr>
          <w:rFonts w:cs="Times New Roman"/>
          <w:szCs w:val="24"/>
        </w:rPr>
        <w:t>uzraudzību</w:t>
      </w:r>
      <w:r w:rsidR="00E51A5A">
        <w:rPr>
          <w:rFonts w:cs="Times New Roman"/>
          <w:szCs w:val="24"/>
        </w:rPr>
        <w:t>. Tika</w:t>
      </w:r>
      <w:r w:rsidR="00E51A5A" w:rsidRPr="0041604D">
        <w:rPr>
          <w:rFonts w:cs="Times New Roman"/>
          <w:szCs w:val="24"/>
        </w:rPr>
        <w:t xml:space="preserve"> apkopota informācija par Zemgales tiesas apgabala prokuratūrā uzraudzībā esošajiem kriminālprocesiem, kuri pēc Finanšu izlūkošanas dienesta ziņojumiem uzsākti pēc Krimināllikuma 195. panta un kuros </w:t>
      </w:r>
      <w:r w:rsidR="00E51A5A">
        <w:rPr>
          <w:rFonts w:cs="Times New Roman"/>
          <w:szCs w:val="24"/>
        </w:rPr>
        <w:t>arestēta</w:t>
      </w:r>
      <w:r w:rsidR="00E51A5A" w:rsidRPr="0041604D">
        <w:rPr>
          <w:rFonts w:cs="Times New Roman"/>
          <w:szCs w:val="24"/>
        </w:rPr>
        <w:t xml:space="preserve"> manta</w:t>
      </w:r>
      <w:r w:rsidR="00E51A5A">
        <w:rPr>
          <w:rFonts w:cs="Times New Roman"/>
          <w:szCs w:val="24"/>
        </w:rPr>
        <w:t>.</w:t>
      </w:r>
      <w:r w:rsidR="00E51A5A" w:rsidRPr="0041604D">
        <w:rPr>
          <w:rFonts w:cs="Times New Roman"/>
          <w:szCs w:val="24"/>
        </w:rPr>
        <w:t xml:space="preserve"> </w:t>
      </w:r>
      <w:r w:rsidR="00E51A5A">
        <w:rPr>
          <w:rFonts w:cs="Times New Roman"/>
          <w:szCs w:val="24"/>
        </w:rPr>
        <w:t xml:space="preserve">Pirmstiesas izmeklēšanas </w:t>
      </w:r>
      <w:r w:rsidR="00984242">
        <w:rPr>
          <w:rFonts w:cs="Times New Roman"/>
          <w:szCs w:val="24"/>
        </w:rPr>
        <w:t xml:space="preserve">uzraudzības </w:t>
      </w:r>
      <w:r w:rsidR="00E51A5A">
        <w:rPr>
          <w:rFonts w:cs="Times New Roman"/>
          <w:szCs w:val="24"/>
        </w:rPr>
        <w:t xml:space="preserve">nodaļas virsprokurore </w:t>
      </w:r>
      <w:r w:rsidR="00E51A5A" w:rsidRPr="0041604D">
        <w:rPr>
          <w:rFonts w:cs="Times New Roman"/>
          <w:szCs w:val="24"/>
        </w:rPr>
        <w:t>piedalī</w:t>
      </w:r>
      <w:r w:rsidR="00E51A5A">
        <w:rPr>
          <w:rFonts w:cs="Times New Roman"/>
          <w:szCs w:val="24"/>
        </w:rPr>
        <w:t>j</w:t>
      </w:r>
      <w:r w:rsidR="00E51A5A" w:rsidRPr="0041604D">
        <w:rPr>
          <w:rFonts w:cs="Times New Roman"/>
          <w:szCs w:val="24"/>
        </w:rPr>
        <w:t xml:space="preserve">ās </w:t>
      </w:r>
      <w:r w:rsidR="00E51A5A">
        <w:rPr>
          <w:rFonts w:cs="Times New Roman"/>
          <w:szCs w:val="24"/>
        </w:rPr>
        <w:t xml:space="preserve">ģenerālprokurora iniciētā </w:t>
      </w:r>
      <w:r w:rsidR="00E51A5A" w:rsidRPr="0041604D">
        <w:rPr>
          <w:rFonts w:cs="Times New Roman"/>
          <w:szCs w:val="24"/>
        </w:rPr>
        <w:t>izmeklēšanas iestāžu vadītāju sanāksmē</w:t>
      </w:r>
      <w:r w:rsidR="00E51A5A">
        <w:rPr>
          <w:rFonts w:cs="Times New Roman"/>
          <w:szCs w:val="24"/>
        </w:rPr>
        <w:t xml:space="preserve">, regulāri </w:t>
      </w:r>
      <w:r w:rsidR="00E51A5A" w:rsidRPr="0041604D">
        <w:rPr>
          <w:rFonts w:cs="Times New Roman"/>
          <w:szCs w:val="24"/>
        </w:rPr>
        <w:t>piedalī</w:t>
      </w:r>
      <w:r w:rsidR="00E51A5A">
        <w:rPr>
          <w:rFonts w:cs="Times New Roman"/>
          <w:szCs w:val="24"/>
        </w:rPr>
        <w:t>j</w:t>
      </w:r>
      <w:r w:rsidR="00E51A5A" w:rsidRPr="0041604D">
        <w:rPr>
          <w:rFonts w:cs="Times New Roman"/>
          <w:szCs w:val="24"/>
        </w:rPr>
        <w:t>ās e-lietas veidlapu izstrādes darba grupas sēdēs</w:t>
      </w:r>
      <w:r w:rsidR="00E51A5A">
        <w:rPr>
          <w:rFonts w:cs="Times New Roman"/>
          <w:szCs w:val="24"/>
        </w:rPr>
        <w:t>.</w:t>
      </w:r>
      <w:r w:rsidR="00E51A5A" w:rsidRPr="0041604D">
        <w:rPr>
          <w:rFonts w:cs="Times New Roman"/>
          <w:szCs w:val="24"/>
        </w:rPr>
        <w:t xml:space="preserve"> </w:t>
      </w:r>
    </w:p>
    <w:p w14:paraId="086E7A44" w14:textId="77777777" w:rsidR="00E51A5A" w:rsidRPr="0057580D" w:rsidRDefault="00E51A5A" w:rsidP="0057580D">
      <w:pPr>
        <w:spacing w:after="0" w:line="240" w:lineRule="auto"/>
        <w:rPr>
          <w:rFonts w:cs="Times New Roman"/>
          <w:b/>
          <w:bCs/>
          <w:szCs w:val="24"/>
          <w:lang w:eastAsia="lv-LV"/>
        </w:rPr>
      </w:pPr>
    </w:p>
    <w:p w14:paraId="11554564" w14:textId="77777777" w:rsidR="00E51A5A" w:rsidRPr="001A0EEE" w:rsidRDefault="00E51A5A" w:rsidP="00E51A5A">
      <w:pPr>
        <w:spacing w:after="0" w:line="240" w:lineRule="auto"/>
        <w:jc w:val="center"/>
        <w:rPr>
          <w:rFonts w:cs="Times New Roman"/>
          <w:b/>
          <w:bCs/>
          <w:sz w:val="28"/>
          <w:szCs w:val="28"/>
          <w:lang w:eastAsia="lv-LV"/>
        </w:rPr>
      </w:pPr>
      <w:r w:rsidRPr="001A0EEE">
        <w:rPr>
          <w:rFonts w:cs="Times New Roman"/>
          <w:b/>
          <w:bCs/>
          <w:sz w:val="28"/>
          <w:szCs w:val="28"/>
          <w:lang w:eastAsia="lv-LV"/>
        </w:rPr>
        <w:t>III. Sevišķi svarīgu lietu izmeklēšanas nodaļas darba rādītāji 2020. gadā</w:t>
      </w:r>
    </w:p>
    <w:p w14:paraId="0F53DA22" w14:textId="77777777" w:rsidR="00E51A5A" w:rsidRPr="001A0EEE" w:rsidRDefault="00E51A5A" w:rsidP="00E51A5A">
      <w:pPr>
        <w:spacing w:after="0" w:line="240" w:lineRule="auto"/>
        <w:rPr>
          <w:rFonts w:cs="Times New Roman"/>
          <w:b/>
          <w:bCs/>
          <w:szCs w:val="24"/>
          <w:lang w:eastAsia="lv-LV"/>
        </w:rPr>
      </w:pPr>
    </w:p>
    <w:p w14:paraId="55DCDB70" w14:textId="5F66E6F3" w:rsidR="0057580D" w:rsidRPr="00DB7EC5" w:rsidRDefault="00E51A5A" w:rsidP="00DB7EC5">
      <w:pPr>
        <w:spacing w:after="0" w:line="240" w:lineRule="auto"/>
        <w:ind w:firstLine="720"/>
        <w:jc w:val="both"/>
        <w:rPr>
          <w:rFonts w:cs="Times New Roman"/>
          <w:bCs/>
          <w:szCs w:val="24"/>
        </w:rPr>
      </w:pPr>
      <w:r w:rsidRPr="001A0EEE">
        <w:rPr>
          <w:rFonts w:cs="Times New Roman"/>
          <w:bCs/>
          <w:szCs w:val="24"/>
        </w:rPr>
        <w:t xml:space="preserve">Sevišķi svarīgu lietu izmeklēšanas nodaļa šobrīd ir vienīgā prokuratūras struktūrvienība Ģenerālprokuratūrā, kas veic izmeklēšanas un kriminālvajāšanas funkcijas. Tai piekritīgi ir Korupcijas novēršanas un apkarošanas birojā uzsāktie kriminālprocesi, kuros pamatā tiek izmeklēti valsts amatpersonu koruptīvie noziedzīgie nodarījumi un ar tiem saistītie mantiskie noziedzīgie nodarījumi, kā arī noziedzīgi iegūtu līdzekļu legalizēšana. </w:t>
      </w:r>
    </w:p>
    <w:p w14:paraId="3A46BFDA" w14:textId="77777777" w:rsidR="0057580D" w:rsidRDefault="0057580D" w:rsidP="00E51A5A">
      <w:pPr>
        <w:spacing w:after="0" w:line="240" w:lineRule="auto"/>
        <w:jc w:val="both"/>
        <w:rPr>
          <w:rFonts w:cs="Times New Roman"/>
          <w:b/>
          <w:szCs w:val="24"/>
        </w:rPr>
      </w:pPr>
    </w:p>
    <w:p w14:paraId="7DFCD428" w14:textId="77777777" w:rsidR="00E51A5A" w:rsidRPr="00EB078B" w:rsidRDefault="00E51A5A" w:rsidP="00E329FC">
      <w:pPr>
        <w:pStyle w:val="ListParagraph"/>
        <w:numPr>
          <w:ilvl w:val="0"/>
          <w:numId w:val="46"/>
        </w:numPr>
        <w:spacing w:after="0" w:line="240" w:lineRule="auto"/>
        <w:jc w:val="both"/>
        <w:rPr>
          <w:rFonts w:cs="Times New Roman"/>
          <w:b/>
          <w:szCs w:val="24"/>
        </w:rPr>
      </w:pPr>
      <w:r w:rsidRPr="00EB078B">
        <w:rPr>
          <w:rFonts w:cs="Times New Roman"/>
          <w:b/>
          <w:szCs w:val="24"/>
        </w:rPr>
        <w:t>Uzraudzība</w:t>
      </w:r>
    </w:p>
    <w:p w14:paraId="6763F399" w14:textId="4568EA2D" w:rsidR="00E51A5A" w:rsidRDefault="00E51A5A" w:rsidP="00E51A5A">
      <w:pPr>
        <w:spacing w:after="0" w:line="240" w:lineRule="auto"/>
        <w:ind w:firstLine="720"/>
        <w:jc w:val="both"/>
        <w:rPr>
          <w:rFonts w:cs="Times New Roman"/>
          <w:bCs/>
          <w:szCs w:val="24"/>
        </w:rPr>
      </w:pPr>
      <w:r w:rsidRPr="001A0EEE">
        <w:rPr>
          <w:rFonts w:cs="Times New Roman"/>
          <w:bCs/>
          <w:szCs w:val="24"/>
        </w:rPr>
        <w:t>Sevišķi svarīgu lietu izmeklēšanas nodaļ</w:t>
      </w:r>
      <w:r>
        <w:rPr>
          <w:rFonts w:cs="Times New Roman"/>
          <w:bCs/>
          <w:szCs w:val="24"/>
        </w:rPr>
        <w:t>as prokurori 2020. gadā uzraudzībā pieņēmuši 30</w:t>
      </w:r>
      <w:r w:rsidR="00DB7EC5">
        <w:rPr>
          <w:rFonts w:cs="Times New Roman"/>
          <w:bCs/>
          <w:szCs w:val="24"/>
        </w:rPr>
        <w:t> </w:t>
      </w:r>
      <w:r>
        <w:rPr>
          <w:rFonts w:cs="Times New Roman"/>
          <w:bCs/>
          <w:szCs w:val="24"/>
        </w:rPr>
        <w:t>kriminālprocesus.</w:t>
      </w:r>
    </w:p>
    <w:p w14:paraId="0085122C" w14:textId="77777777" w:rsidR="00E51A5A" w:rsidRPr="0049266C" w:rsidRDefault="00E51A5A" w:rsidP="00E51A5A">
      <w:pPr>
        <w:spacing w:after="0" w:line="240" w:lineRule="auto"/>
        <w:ind w:firstLine="360"/>
        <w:jc w:val="both"/>
        <w:rPr>
          <w:rFonts w:cs="Times New Roman"/>
          <w:b/>
          <w:szCs w:val="24"/>
        </w:rPr>
      </w:pPr>
    </w:p>
    <w:p w14:paraId="0C16D072" w14:textId="0F7CAB62" w:rsidR="00E51A5A" w:rsidRDefault="00E51A5A" w:rsidP="00957057">
      <w:pPr>
        <w:spacing w:after="0" w:line="240" w:lineRule="auto"/>
        <w:jc w:val="center"/>
        <w:rPr>
          <w:rFonts w:cs="Times New Roman"/>
          <w:b/>
          <w:szCs w:val="24"/>
        </w:rPr>
      </w:pPr>
      <w:r>
        <w:rPr>
          <w:noProof/>
        </w:rPr>
        <w:drawing>
          <wp:inline distT="0" distB="0" distL="0" distR="0" wp14:anchorId="0E3749BF" wp14:editId="50256BFA">
            <wp:extent cx="4305300" cy="1845733"/>
            <wp:effectExtent l="0" t="0" r="0" b="2540"/>
            <wp:docPr id="178" name="Chart 178">
              <a:extLst xmlns:a="http://schemas.openxmlformats.org/drawingml/2006/main">
                <a:ext uri="{FF2B5EF4-FFF2-40B4-BE49-F238E27FC236}">
                  <a16:creationId xmlns:a16="http://schemas.microsoft.com/office/drawing/2014/main" id="{20521CE5-E00D-4034-A1A3-6BAA1458B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62474A34" w14:textId="77777777" w:rsidR="00E51A5A" w:rsidRPr="001A0EEE" w:rsidRDefault="00E51A5A" w:rsidP="00E51A5A">
      <w:pPr>
        <w:spacing w:after="0" w:line="240" w:lineRule="auto"/>
        <w:jc w:val="both"/>
        <w:rPr>
          <w:rFonts w:cs="Times New Roman"/>
          <w:b/>
          <w:szCs w:val="24"/>
        </w:rPr>
      </w:pPr>
    </w:p>
    <w:p w14:paraId="63F69959" w14:textId="77777777" w:rsidR="00E51A5A" w:rsidRDefault="00E51A5A" w:rsidP="00E51A5A">
      <w:pPr>
        <w:spacing w:after="0" w:line="240" w:lineRule="auto"/>
        <w:ind w:firstLine="720"/>
        <w:jc w:val="both"/>
        <w:rPr>
          <w:rFonts w:cs="Times New Roman"/>
          <w:bCs/>
          <w:szCs w:val="24"/>
        </w:rPr>
      </w:pPr>
      <w:r w:rsidRPr="008D1E0D">
        <w:rPr>
          <w:rFonts w:cs="Times New Roman"/>
          <w:bCs/>
          <w:szCs w:val="24"/>
        </w:rPr>
        <w:t xml:space="preserve">Gan 2019., gan 2020. gadā Sevišķi svarīgu lietu izmeklēšanas nodaļas prokurori vienlīdz daudz devuši prokurora norādījumus uzraudzībā esošajos kriminālprocesos (2019. gadā – </w:t>
      </w:r>
      <w:r w:rsidRPr="006965A3">
        <w:rPr>
          <w:rFonts w:cs="Times New Roman"/>
          <w:bCs/>
          <w:szCs w:val="24"/>
        </w:rPr>
        <w:t>22 mutiski un 33 rakstiski; 2020. gadā – 24 mutiski un 34 rakstiski)</w:t>
      </w:r>
      <w:r w:rsidRPr="008D1E0D">
        <w:rPr>
          <w:rFonts w:cs="Times New Roman"/>
          <w:bCs/>
          <w:szCs w:val="24"/>
        </w:rPr>
        <w:t>.</w:t>
      </w:r>
    </w:p>
    <w:p w14:paraId="0665D56F" w14:textId="6D278611" w:rsidR="00E51A5A" w:rsidRDefault="00E51A5A" w:rsidP="00E51A5A">
      <w:pPr>
        <w:spacing w:after="0" w:line="240" w:lineRule="auto"/>
        <w:ind w:firstLine="720"/>
        <w:jc w:val="both"/>
        <w:rPr>
          <w:rFonts w:cs="Times New Roman"/>
          <w:bCs/>
          <w:szCs w:val="24"/>
        </w:rPr>
      </w:pPr>
      <w:r>
        <w:rPr>
          <w:rFonts w:cs="Times New Roman"/>
          <w:bCs/>
          <w:szCs w:val="24"/>
        </w:rPr>
        <w:t>2020. gadā notikušas 42 apspriedes nodaļas virsprokuroram kopā ar uzraugošiem prokuroriem un procesa virzītājiem, izmeklēšanas iestāžu struktūrvienību vadītājiem, lai veicinātu kriminālprocesu ātrāku virzību un risinātu izmeklēšanai aktuālus jautājumus. 26 šādas apspriedes notikušas</w:t>
      </w:r>
      <w:r w:rsidR="006965A3">
        <w:rPr>
          <w:rFonts w:cs="Times New Roman"/>
          <w:bCs/>
          <w:szCs w:val="24"/>
        </w:rPr>
        <w:t>,</w:t>
      </w:r>
      <w:r>
        <w:rPr>
          <w:rFonts w:cs="Times New Roman"/>
          <w:bCs/>
          <w:szCs w:val="24"/>
        </w:rPr>
        <w:t xml:space="preserve"> piedaloties Krimināltiesiskā departamenta virsprokuroram.  </w:t>
      </w:r>
    </w:p>
    <w:p w14:paraId="0BB9BE99" w14:textId="77777777" w:rsidR="00E51A5A" w:rsidRDefault="00E51A5A" w:rsidP="00E51A5A">
      <w:pPr>
        <w:spacing w:after="0" w:line="240" w:lineRule="auto"/>
        <w:jc w:val="both"/>
        <w:rPr>
          <w:rFonts w:cs="Times New Roman"/>
          <w:bCs/>
          <w:szCs w:val="24"/>
        </w:rPr>
      </w:pPr>
    </w:p>
    <w:p w14:paraId="57287175" w14:textId="6829311C" w:rsidR="00E51A5A" w:rsidRDefault="00E51A5A" w:rsidP="00E329FC">
      <w:pPr>
        <w:pStyle w:val="ListParagraph"/>
        <w:numPr>
          <w:ilvl w:val="0"/>
          <w:numId w:val="46"/>
        </w:numPr>
        <w:spacing w:after="0" w:line="240" w:lineRule="auto"/>
        <w:jc w:val="both"/>
        <w:rPr>
          <w:rFonts w:cs="Times New Roman"/>
          <w:b/>
          <w:szCs w:val="24"/>
        </w:rPr>
      </w:pPr>
      <w:r w:rsidRPr="00EB078B">
        <w:rPr>
          <w:rFonts w:cs="Times New Roman"/>
          <w:b/>
          <w:szCs w:val="24"/>
        </w:rPr>
        <w:t>Kriminālvajāšana</w:t>
      </w:r>
    </w:p>
    <w:p w14:paraId="0F4DE048" w14:textId="77777777" w:rsidR="00824567" w:rsidRPr="003B7F31" w:rsidRDefault="00824567" w:rsidP="00824567">
      <w:pPr>
        <w:pStyle w:val="ListParagraph"/>
        <w:spacing w:after="0" w:line="240" w:lineRule="auto"/>
        <w:jc w:val="both"/>
        <w:rPr>
          <w:rFonts w:cs="Times New Roman"/>
          <w:b/>
          <w:szCs w:val="24"/>
        </w:rPr>
      </w:pPr>
    </w:p>
    <w:p w14:paraId="45958AC4" w14:textId="2FCE7C28" w:rsidR="00E51A5A" w:rsidRDefault="00E51A5A" w:rsidP="00957057">
      <w:pPr>
        <w:spacing w:after="0" w:line="240" w:lineRule="auto"/>
        <w:jc w:val="center"/>
        <w:rPr>
          <w:rFonts w:cs="Times New Roman"/>
          <w:bCs/>
          <w:szCs w:val="24"/>
        </w:rPr>
      </w:pPr>
      <w:r>
        <w:rPr>
          <w:noProof/>
        </w:rPr>
        <w:drawing>
          <wp:inline distT="0" distB="0" distL="0" distR="0" wp14:anchorId="0F33ADBC" wp14:editId="264F8316">
            <wp:extent cx="4305300" cy="1532467"/>
            <wp:effectExtent l="0" t="0" r="0" b="10795"/>
            <wp:docPr id="179" name="Chart 179">
              <a:extLst xmlns:a="http://schemas.openxmlformats.org/drawingml/2006/main">
                <a:ext uri="{FF2B5EF4-FFF2-40B4-BE49-F238E27FC236}">
                  <a16:creationId xmlns:a16="http://schemas.microsoft.com/office/drawing/2014/main" id="{F255B90B-31CC-41CA-BC10-98AB75A14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14F9654F" w14:textId="77777777" w:rsidR="00E51A5A" w:rsidRDefault="00E51A5A" w:rsidP="00E51A5A">
      <w:pPr>
        <w:spacing w:after="0" w:line="240" w:lineRule="auto"/>
        <w:ind w:firstLine="720"/>
        <w:jc w:val="both"/>
        <w:rPr>
          <w:rFonts w:cs="Times New Roman"/>
          <w:bCs/>
          <w:szCs w:val="24"/>
        </w:rPr>
      </w:pPr>
    </w:p>
    <w:p w14:paraId="3EB054F3" w14:textId="77777777" w:rsidR="00E51A5A" w:rsidRDefault="00E51A5A" w:rsidP="00E51A5A">
      <w:pPr>
        <w:spacing w:after="0" w:line="240" w:lineRule="auto"/>
        <w:ind w:firstLine="720"/>
        <w:jc w:val="both"/>
        <w:rPr>
          <w:rFonts w:cs="Times New Roman"/>
          <w:bCs/>
          <w:szCs w:val="24"/>
        </w:rPr>
      </w:pPr>
      <w:r w:rsidRPr="008D1E0D">
        <w:rPr>
          <w:rFonts w:cs="Times New Roman"/>
          <w:bCs/>
          <w:szCs w:val="24"/>
        </w:rPr>
        <w:t xml:space="preserve">2020. gadā būtiski pieaudzis nodaļas prokuroru lietvedībā pieņemto kriminālprocesu skaits: ja 2019. gadā lietvedībā pieņemti </w:t>
      </w:r>
      <w:r w:rsidRPr="003B7F31">
        <w:rPr>
          <w:rFonts w:cs="Times New Roman"/>
          <w:bCs/>
          <w:szCs w:val="24"/>
        </w:rPr>
        <w:t>8</w:t>
      </w:r>
      <w:r w:rsidRPr="008D1E0D">
        <w:rPr>
          <w:rFonts w:cs="Times New Roman"/>
          <w:bCs/>
          <w:szCs w:val="24"/>
        </w:rPr>
        <w:t xml:space="preserve"> kriminālprocesi, tad 2020. gadā – </w:t>
      </w:r>
      <w:r w:rsidRPr="003B7F31">
        <w:rPr>
          <w:rFonts w:cs="Times New Roman"/>
          <w:bCs/>
          <w:szCs w:val="24"/>
        </w:rPr>
        <w:t>17 </w:t>
      </w:r>
      <w:r w:rsidRPr="008D1E0D">
        <w:rPr>
          <w:rFonts w:cs="Times New Roman"/>
          <w:bCs/>
          <w:szCs w:val="24"/>
        </w:rPr>
        <w:t>kriminālprocesi. Minētais pieaugums saistāms ar prokuroru aktīvāku iesaisti pirmstiesas kriminālprocesa izmeklēšanas uzraudzībā, kā arī intensīvāku kriminālprocesu virzības apspriedi nodaļas ietvaros (ar nodaļas virsprokuroru un izmeklētājiem), kā arī ar departamenta virsprokuroru un ģenerālprokuroru</w:t>
      </w:r>
      <w:r>
        <w:rPr>
          <w:rFonts w:cs="Times New Roman"/>
          <w:bCs/>
          <w:szCs w:val="24"/>
        </w:rPr>
        <w:t>.</w:t>
      </w:r>
    </w:p>
    <w:p w14:paraId="0DB7D289" w14:textId="77777777" w:rsidR="00E51A5A" w:rsidRDefault="00E51A5A" w:rsidP="00E51A5A">
      <w:pPr>
        <w:spacing w:after="0" w:line="240" w:lineRule="auto"/>
        <w:ind w:firstLine="720"/>
        <w:jc w:val="both"/>
        <w:rPr>
          <w:rFonts w:cs="Times New Roman"/>
          <w:bCs/>
          <w:szCs w:val="24"/>
        </w:rPr>
      </w:pPr>
      <w:r w:rsidRPr="00A51E0F">
        <w:rPr>
          <w:rFonts w:cs="Times New Roman"/>
          <w:bCs/>
          <w:szCs w:val="24"/>
        </w:rPr>
        <w:t>No Sevišķi svarīgu lietu izmeklēšanas nodaļas lietvedībā pieņemtajiem kriminālprocesiem salīdzinoši vairāk ir kriminālprocesu par kukuļa došanu (</w:t>
      </w:r>
      <w:r w:rsidRPr="003B7F31">
        <w:rPr>
          <w:rFonts w:cs="Times New Roman"/>
          <w:bCs/>
          <w:szCs w:val="24"/>
        </w:rPr>
        <w:t>6</w:t>
      </w:r>
      <w:r w:rsidRPr="00A51E0F">
        <w:rPr>
          <w:rFonts w:cs="Times New Roman"/>
          <w:bCs/>
          <w:szCs w:val="24"/>
        </w:rPr>
        <w:t> kriminālprocesi) un krāpšanu (</w:t>
      </w:r>
      <w:r w:rsidRPr="003B7F31">
        <w:rPr>
          <w:rFonts w:cs="Times New Roman"/>
          <w:bCs/>
          <w:szCs w:val="24"/>
        </w:rPr>
        <w:t>3</w:t>
      </w:r>
      <w:r w:rsidRPr="00A51E0F">
        <w:rPr>
          <w:rFonts w:cs="Times New Roman"/>
          <w:bCs/>
          <w:szCs w:val="24"/>
        </w:rPr>
        <w:t> kriminālprocesi).</w:t>
      </w:r>
    </w:p>
    <w:p w14:paraId="60148698" w14:textId="3E0DC33B" w:rsidR="00E51A5A" w:rsidRDefault="003B7F31" w:rsidP="00E51A5A">
      <w:pPr>
        <w:spacing w:after="0" w:line="240" w:lineRule="auto"/>
        <w:ind w:firstLine="720"/>
        <w:jc w:val="both"/>
        <w:rPr>
          <w:rFonts w:cs="Times New Roman"/>
          <w:bCs/>
          <w:szCs w:val="24"/>
        </w:rPr>
      </w:pPr>
      <w:r>
        <w:rPr>
          <w:rFonts w:cs="Times New Roman"/>
          <w:bCs/>
          <w:szCs w:val="24"/>
        </w:rPr>
        <w:t xml:space="preserve">Sevišķi svarīgu lietu izmeklēšanas nodaļas </w:t>
      </w:r>
      <w:r w:rsidR="00E51A5A" w:rsidRPr="00A51E0F">
        <w:rPr>
          <w:rFonts w:cs="Times New Roman"/>
          <w:bCs/>
          <w:szCs w:val="24"/>
        </w:rPr>
        <w:t>lietvedībā pieņemto kriminālprocesu vidū ir kriminālprocess Nr.</w:t>
      </w:r>
      <w:r w:rsidR="00E51A5A" w:rsidRPr="00A51E0F">
        <w:rPr>
          <w:rFonts w:cs="Times New Roman"/>
          <w:szCs w:val="24"/>
        </w:rPr>
        <w:t xml:space="preserve">12812000910 par Lattelecom digitālas televīzijas projektu Latvijā, kas skar valstij piederošu uzņēmumu </w:t>
      </w:r>
      <w:r w:rsidR="00E51A5A" w:rsidRPr="00A51E0F">
        <w:rPr>
          <w:rFonts w:cs="Times New Roman"/>
          <w:i/>
          <w:iCs/>
          <w:szCs w:val="24"/>
        </w:rPr>
        <w:t>Lattelecom</w:t>
      </w:r>
      <w:r w:rsidR="00E51A5A" w:rsidRPr="00A51E0F">
        <w:rPr>
          <w:rFonts w:cs="Times New Roman"/>
          <w:szCs w:val="24"/>
        </w:rPr>
        <w:t xml:space="preserve"> un LVRTC intereses</w:t>
      </w:r>
      <w:r w:rsidR="00E51A5A" w:rsidRPr="00A51E0F">
        <w:rPr>
          <w:rFonts w:cs="Times New Roman"/>
          <w:bCs/>
          <w:szCs w:val="24"/>
        </w:rPr>
        <w:t xml:space="preserve">. Kriminālprocess </w:t>
      </w:r>
      <w:r w:rsidR="00E51A5A" w:rsidRPr="00A51E0F">
        <w:rPr>
          <w:rFonts w:cs="Times New Roman"/>
          <w:szCs w:val="24"/>
        </w:rPr>
        <w:t xml:space="preserve">izņemts no Korupcijas novēršanas un apkarošanas biroja lietvedības un tajā uzrādītas apsūdzības </w:t>
      </w:r>
      <w:r w:rsidR="00E51A5A" w:rsidRPr="003B7F31">
        <w:rPr>
          <w:rFonts w:cs="Times New Roman"/>
          <w:szCs w:val="24"/>
        </w:rPr>
        <w:t>5</w:t>
      </w:r>
      <w:r w:rsidR="00E51A5A" w:rsidRPr="00A51E0F">
        <w:rPr>
          <w:rFonts w:cs="Times New Roman"/>
          <w:szCs w:val="24"/>
        </w:rPr>
        <w:t xml:space="preserve"> personām no </w:t>
      </w:r>
      <w:r w:rsidR="00E51A5A" w:rsidRPr="00A51E0F">
        <w:rPr>
          <w:rFonts w:cs="Times New Roman"/>
          <w:i/>
          <w:iCs/>
          <w:szCs w:val="24"/>
        </w:rPr>
        <w:t>Lattelecom</w:t>
      </w:r>
      <w:r w:rsidR="00E51A5A" w:rsidRPr="00A51E0F">
        <w:rPr>
          <w:rFonts w:cs="Times New Roman"/>
          <w:szCs w:val="24"/>
        </w:rPr>
        <w:t xml:space="preserve"> un </w:t>
      </w:r>
      <w:r w:rsidR="00E51A5A" w:rsidRPr="00A51E0F">
        <w:rPr>
          <w:rFonts w:cs="Times New Roman"/>
          <w:i/>
          <w:iCs/>
          <w:szCs w:val="24"/>
        </w:rPr>
        <w:t xml:space="preserve">Hannu </w:t>
      </w:r>
      <w:proofErr w:type="spellStart"/>
      <w:r w:rsidR="00E51A5A" w:rsidRPr="00A51E0F">
        <w:rPr>
          <w:rFonts w:cs="Times New Roman"/>
          <w:i/>
          <w:iCs/>
          <w:szCs w:val="24"/>
        </w:rPr>
        <w:t>Digital</w:t>
      </w:r>
      <w:proofErr w:type="spellEnd"/>
      <w:r w:rsidR="00E51A5A" w:rsidRPr="00A51E0F">
        <w:rPr>
          <w:rFonts w:cs="Times New Roman"/>
          <w:szCs w:val="24"/>
        </w:rPr>
        <w:t xml:space="preserve"> par krāpšanu lielā apmērā un līdzdalību tajā (Krimināllikuma 177. panta trešā daļa).</w:t>
      </w:r>
      <w:r w:rsidR="00E51A5A" w:rsidRPr="00A51E0F">
        <w:rPr>
          <w:rFonts w:cs="Times New Roman"/>
          <w:bCs/>
          <w:szCs w:val="24"/>
        </w:rPr>
        <w:t xml:space="preserve"> Šis kriminālprocess šobrīd uzskatāms par nodaļas lietvedībā apjomīgāko un komplicētāko.</w:t>
      </w:r>
    </w:p>
    <w:p w14:paraId="0E7C513C" w14:textId="77777777" w:rsidR="00E51A5A" w:rsidRPr="00A51E0F" w:rsidRDefault="00E51A5A" w:rsidP="00E51A5A">
      <w:pPr>
        <w:spacing w:after="0" w:line="240" w:lineRule="auto"/>
        <w:ind w:firstLine="720"/>
        <w:jc w:val="both"/>
        <w:rPr>
          <w:rFonts w:cs="Times New Roman"/>
          <w:b/>
          <w:szCs w:val="24"/>
        </w:rPr>
      </w:pPr>
    </w:p>
    <w:p w14:paraId="5245205F" w14:textId="1F7DD743" w:rsidR="00E51A5A" w:rsidRPr="001A0EEE" w:rsidRDefault="00E51A5A" w:rsidP="00E51A5A">
      <w:pPr>
        <w:spacing w:after="0" w:line="240" w:lineRule="auto"/>
        <w:jc w:val="center"/>
        <w:rPr>
          <w:rFonts w:cs="Times New Roman"/>
          <w:b/>
          <w:szCs w:val="24"/>
        </w:rPr>
      </w:pPr>
      <w:r>
        <w:rPr>
          <w:noProof/>
        </w:rPr>
        <w:lastRenderedPageBreak/>
        <w:drawing>
          <wp:inline distT="0" distB="0" distL="0" distR="0" wp14:anchorId="31BFE8BE" wp14:editId="29C4DD09">
            <wp:extent cx="5437716" cy="1932305"/>
            <wp:effectExtent l="0" t="0" r="10795" b="10795"/>
            <wp:docPr id="180" name="Chart 180">
              <a:extLst xmlns:a="http://schemas.openxmlformats.org/drawingml/2006/main">
                <a:ext uri="{FF2B5EF4-FFF2-40B4-BE49-F238E27FC236}">
                  <a16:creationId xmlns:a16="http://schemas.microsoft.com/office/drawing/2014/main" id="{8790FBB5-681F-427F-84D6-6A084A3B10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40F7B17B" w14:textId="336D758D" w:rsidR="00E51A5A" w:rsidRPr="001A0EEE" w:rsidRDefault="00E51A5A" w:rsidP="00E51A5A">
      <w:pPr>
        <w:spacing w:after="0" w:line="240" w:lineRule="auto"/>
        <w:jc w:val="both"/>
        <w:rPr>
          <w:rFonts w:cs="Times New Roman"/>
          <w:b/>
          <w:szCs w:val="24"/>
        </w:rPr>
      </w:pPr>
    </w:p>
    <w:p w14:paraId="796094C5" w14:textId="4F26C024" w:rsidR="00E51A5A" w:rsidRPr="00482BD5" w:rsidRDefault="00E51A5A" w:rsidP="00E51A5A">
      <w:pPr>
        <w:spacing w:after="0" w:line="240" w:lineRule="auto"/>
        <w:ind w:firstLine="714"/>
        <w:jc w:val="both"/>
        <w:rPr>
          <w:rFonts w:cs="Times New Roman"/>
          <w:bCs/>
          <w:szCs w:val="24"/>
        </w:rPr>
      </w:pPr>
      <w:r w:rsidRPr="00482BD5">
        <w:rPr>
          <w:rFonts w:cs="Times New Roman"/>
          <w:bCs/>
          <w:szCs w:val="24"/>
        </w:rPr>
        <w:t xml:space="preserve">Neraugoties uz tendenci pēdējo gadu laikā samazināties Sevišķi svarīgu lietu izmeklēšanas nodaļā strādājošo prokuroru skaitam, 2020. gadā uz tiesu nosūtīto krimināllietu un tiesai nodoto apsūdzēto personu skaits salīdzinājumā ar 2019. gadu nav samazinājies, tiesai nodoto krimināllietu un apsūdzēto personu skaits ir pat pieaudzis: ja 2019. gadā uz tiesu nosūtītas </w:t>
      </w:r>
      <w:r w:rsidRPr="00B822D3">
        <w:rPr>
          <w:rFonts w:cs="Times New Roman"/>
          <w:bCs/>
          <w:szCs w:val="24"/>
        </w:rPr>
        <w:t>5 krimināllietas pret 6 apsūdzētajām personām par 31 noziedzīgu nodarījumu, tad 2020. gadā uz tiesu nosūtītas 11 krimināllietas pret 20 apsūdzētajām personām par 23 noziedzīgiem nodarījumiem</w:t>
      </w:r>
      <w:r w:rsidRPr="00482BD5">
        <w:rPr>
          <w:rFonts w:cs="Times New Roman"/>
          <w:bCs/>
          <w:szCs w:val="24"/>
        </w:rPr>
        <w:t>.</w:t>
      </w:r>
    </w:p>
    <w:p w14:paraId="093848A6" w14:textId="77777777" w:rsidR="00E51A5A" w:rsidRDefault="00E51A5A" w:rsidP="00E51A5A">
      <w:pPr>
        <w:spacing w:after="0" w:line="240" w:lineRule="auto"/>
        <w:ind w:firstLine="714"/>
        <w:jc w:val="both"/>
        <w:rPr>
          <w:rFonts w:cs="Times New Roman"/>
          <w:bCs/>
          <w:szCs w:val="24"/>
        </w:rPr>
      </w:pPr>
      <w:r w:rsidRPr="001A0EEE">
        <w:rPr>
          <w:rFonts w:cs="Times New Roman"/>
          <w:bCs/>
          <w:szCs w:val="24"/>
        </w:rPr>
        <w:t>Tiesai nodoto apsūdzēto vidū ir Saeimas deputāts (kriminālprocess Nr. 1687000519), Ģenerālprokuratūras prokurore (kriminālprocess Nr. 16870002220), divi pašvaldības priekšsēdētāji (kriminālprocess Nr. 16870002418, Nr. 12812000520).</w:t>
      </w:r>
    </w:p>
    <w:p w14:paraId="4F47BE2D" w14:textId="77777777" w:rsidR="00E51A5A" w:rsidRDefault="00E51A5A" w:rsidP="00B822D3">
      <w:pPr>
        <w:spacing w:after="0" w:line="240" w:lineRule="auto"/>
        <w:ind w:firstLine="714"/>
        <w:jc w:val="both"/>
        <w:rPr>
          <w:rFonts w:cs="Times New Roman"/>
          <w:bCs/>
          <w:szCs w:val="24"/>
        </w:rPr>
      </w:pPr>
    </w:p>
    <w:p w14:paraId="0E57B531" w14:textId="77777777" w:rsidR="00E51A5A" w:rsidRPr="00B822D3" w:rsidRDefault="00E51A5A" w:rsidP="00E51A5A">
      <w:pPr>
        <w:spacing w:after="0" w:line="240" w:lineRule="auto"/>
        <w:ind w:firstLine="714"/>
        <w:jc w:val="both"/>
        <w:rPr>
          <w:rFonts w:cs="Times New Roman"/>
          <w:bCs/>
          <w:szCs w:val="24"/>
        </w:rPr>
      </w:pPr>
      <w:r w:rsidRPr="00545DA4">
        <w:rPr>
          <w:rFonts w:cs="Times New Roman"/>
          <w:bCs/>
          <w:szCs w:val="24"/>
        </w:rPr>
        <w:t xml:space="preserve">Par kriminālvajāšanas termiņiem norādāms, ka tiesai nodotajās krimināllietās lielākajā daļā, proti, </w:t>
      </w:r>
      <w:r w:rsidRPr="00B822D3">
        <w:rPr>
          <w:rFonts w:cs="Times New Roman"/>
          <w:bCs/>
          <w:szCs w:val="24"/>
        </w:rPr>
        <w:t>8 krimināllietās kriminālprocess pabeigts termiņā līdz trim mēnešiem no kriminālvajāšanas uzsākšanas (3 kriminālprocesos kriminālvajāšanas termiņš bija līdz 1 mēnesim, 4 kriminālprocesos līdz 2 mēnešiem un 1 kriminālprocesā līdz 3 mēnešiem), 2 kriminālprocesi pabeigti termiņā līdz 1 gadam, 1 kriminālprocess pabeigts termiņā nedaudz virs 1 gada no kriminālvajāšanas uzsākšanas.</w:t>
      </w:r>
    </w:p>
    <w:p w14:paraId="55CEE168" w14:textId="7D483A74" w:rsidR="00E51A5A" w:rsidRPr="00545DA4" w:rsidRDefault="00E51A5A" w:rsidP="00E51A5A">
      <w:pPr>
        <w:spacing w:after="0" w:line="240" w:lineRule="auto"/>
        <w:ind w:firstLine="360"/>
        <w:jc w:val="both"/>
        <w:rPr>
          <w:rFonts w:cs="Times New Roman"/>
          <w:b/>
          <w:szCs w:val="24"/>
        </w:rPr>
      </w:pPr>
      <w:r w:rsidRPr="00B822D3">
        <w:rPr>
          <w:rFonts w:cs="Times New Roman"/>
          <w:bCs/>
          <w:szCs w:val="24"/>
        </w:rPr>
        <w:t>3 krimināllietas no 2020. gadā</w:t>
      </w:r>
      <w:r w:rsidRPr="00545DA4">
        <w:rPr>
          <w:rFonts w:cs="Times New Roman"/>
          <w:bCs/>
          <w:szCs w:val="24"/>
        </w:rPr>
        <w:t xml:space="preserve"> tiesai nodotajām iekļautas </w:t>
      </w:r>
      <w:r w:rsidR="00034C36">
        <w:rPr>
          <w:rFonts w:cs="Times New Roman"/>
          <w:szCs w:val="24"/>
        </w:rPr>
        <w:t xml:space="preserve">Ekonomiskās sadarbības un attīstības organizācijas </w:t>
      </w:r>
      <w:r w:rsidR="00034C36">
        <w:rPr>
          <w:rFonts w:cs="Times New Roman"/>
          <w:bCs/>
          <w:szCs w:val="24"/>
        </w:rPr>
        <w:t>(</w:t>
      </w:r>
      <w:r w:rsidRPr="00545DA4">
        <w:rPr>
          <w:rFonts w:cs="Times New Roman"/>
          <w:bCs/>
          <w:szCs w:val="24"/>
        </w:rPr>
        <w:t>OECD</w:t>
      </w:r>
      <w:r w:rsidR="00034C36">
        <w:rPr>
          <w:rFonts w:cs="Times New Roman"/>
          <w:bCs/>
          <w:szCs w:val="24"/>
        </w:rPr>
        <w:t>)</w:t>
      </w:r>
      <w:r w:rsidRPr="00545DA4">
        <w:rPr>
          <w:rFonts w:cs="Times New Roman"/>
          <w:bCs/>
          <w:szCs w:val="24"/>
        </w:rPr>
        <w:t xml:space="preserve"> </w:t>
      </w:r>
      <w:r w:rsidRPr="00545DA4">
        <w:rPr>
          <w:rFonts w:cs="Times New Roman"/>
          <w:szCs w:val="24"/>
        </w:rPr>
        <w:t xml:space="preserve">WGB platformas tabulā: kriminālprocess Nr. 16870001619 (AS “Latvijas tilti”); </w:t>
      </w:r>
      <w:r w:rsidRPr="00545DA4">
        <w:rPr>
          <w:rFonts w:cs="Times New Roman"/>
          <w:bCs/>
          <w:szCs w:val="24"/>
        </w:rPr>
        <w:t>kriminālprocess Nr. 16870001019 (</w:t>
      </w:r>
      <w:r w:rsidRPr="00545DA4">
        <w:rPr>
          <w:rFonts w:cs="Times New Roman"/>
          <w:bCs/>
          <w:i/>
          <w:iCs/>
          <w:szCs w:val="24"/>
        </w:rPr>
        <w:t xml:space="preserve">Belarus </w:t>
      </w:r>
      <w:proofErr w:type="spellStart"/>
      <w:r w:rsidRPr="00545DA4">
        <w:rPr>
          <w:rFonts w:cs="Times New Roman"/>
          <w:bCs/>
          <w:i/>
          <w:iCs/>
          <w:szCs w:val="24"/>
        </w:rPr>
        <w:t>Software</w:t>
      </w:r>
      <w:proofErr w:type="spellEnd"/>
      <w:r w:rsidRPr="00545DA4">
        <w:rPr>
          <w:rFonts w:cs="Times New Roman"/>
          <w:bCs/>
          <w:i/>
          <w:iCs/>
          <w:szCs w:val="24"/>
        </w:rPr>
        <w:t xml:space="preserve"> </w:t>
      </w:r>
      <w:proofErr w:type="spellStart"/>
      <w:r w:rsidRPr="00545DA4">
        <w:rPr>
          <w:rFonts w:cs="Times New Roman"/>
          <w:bCs/>
          <w:i/>
          <w:iCs/>
          <w:szCs w:val="24"/>
        </w:rPr>
        <w:t>Case</w:t>
      </w:r>
      <w:proofErr w:type="spellEnd"/>
      <w:r w:rsidRPr="00545DA4">
        <w:rPr>
          <w:rFonts w:cs="Times New Roman"/>
          <w:bCs/>
          <w:szCs w:val="24"/>
        </w:rPr>
        <w:t>); kriminālprocess Nr. 16870001016 (</w:t>
      </w:r>
      <w:proofErr w:type="spellStart"/>
      <w:r w:rsidRPr="00545DA4">
        <w:rPr>
          <w:rFonts w:cs="Times New Roman"/>
          <w:bCs/>
          <w:i/>
          <w:iCs/>
          <w:szCs w:val="24"/>
        </w:rPr>
        <w:t>Law</w:t>
      </w:r>
      <w:proofErr w:type="spellEnd"/>
      <w:r w:rsidRPr="00545DA4">
        <w:rPr>
          <w:rFonts w:cs="Times New Roman"/>
          <w:bCs/>
          <w:i/>
          <w:iCs/>
          <w:szCs w:val="24"/>
        </w:rPr>
        <w:t xml:space="preserve"> </w:t>
      </w:r>
      <w:proofErr w:type="spellStart"/>
      <w:r w:rsidRPr="00545DA4">
        <w:rPr>
          <w:rFonts w:cs="Times New Roman"/>
          <w:bCs/>
          <w:i/>
          <w:iCs/>
          <w:szCs w:val="24"/>
        </w:rPr>
        <w:t>Enforcement</w:t>
      </w:r>
      <w:proofErr w:type="spellEnd"/>
      <w:r w:rsidRPr="00545DA4">
        <w:rPr>
          <w:rFonts w:cs="Times New Roman"/>
          <w:bCs/>
          <w:i/>
          <w:iCs/>
          <w:szCs w:val="24"/>
        </w:rPr>
        <w:t xml:space="preserve"> </w:t>
      </w:r>
      <w:proofErr w:type="spellStart"/>
      <w:r w:rsidRPr="00545DA4">
        <w:rPr>
          <w:rFonts w:cs="Times New Roman"/>
          <w:bCs/>
          <w:i/>
          <w:iCs/>
          <w:szCs w:val="24"/>
        </w:rPr>
        <w:t>Agency</w:t>
      </w:r>
      <w:proofErr w:type="spellEnd"/>
      <w:r w:rsidRPr="00545DA4">
        <w:rPr>
          <w:rFonts w:cs="Times New Roman"/>
          <w:bCs/>
          <w:i/>
          <w:iCs/>
          <w:szCs w:val="24"/>
        </w:rPr>
        <w:t xml:space="preserve"> </w:t>
      </w:r>
      <w:proofErr w:type="spellStart"/>
      <w:r w:rsidRPr="00545DA4">
        <w:rPr>
          <w:rFonts w:cs="Times New Roman"/>
          <w:bCs/>
          <w:i/>
          <w:iCs/>
          <w:szCs w:val="24"/>
        </w:rPr>
        <w:t>Case</w:t>
      </w:r>
      <w:proofErr w:type="spellEnd"/>
      <w:r w:rsidRPr="00545DA4">
        <w:rPr>
          <w:rFonts w:cs="Times New Roman"/>
          <w:bCs/>
          <w:szCs w:val="24"/>
        </w:rPr>
        <w:t>).</w:t>
      </w:r>
    </w:p>
    <w:p w14:paraId="7CAA2CFE" w14:textId="6235A40A" w:rsidR="00E51A5A" w:rsidRPr="004727ED" w:rsidRDefault="00E51A5A" w:rsidP="00E51A5A">
      <w:pPr>
        <w:spacing w:after="0" w:line="240" w:lineRule="auto"/>
        <w:ind w:firstLine="720"/>
        <w:jc w:val="both"/>
        <w:rPr>
          <w:rFonts w:cs="Times New Roman"/>
          <w:bCs/>
          <w:szCs w:val="24"/>
        </w:rPr>
      </w:pPr>
      <w:r w:rsidRPr="004727ED">
        <w:rPr>
          <w:rFonts w:cs="Times New Roman"/>
          <w:bCs/>
          <w:szCs w:val="24"/>
        </w:rPr>
        <w:t xml:space="preserve">Tādējādi panākts būtisks progress šo kriminālprocesu virzībā. Turklāt minētie 3 kriminālprocesi sastāda lielāko daļu no Sevišķi svarīgu lietu izmeklēšanas nodaļas uzraudzībā un lietvedībā bijušajiem/esošajiem kriminālprocesiem, kas iekļauti </w:t>
      </w:r>
      <w:r w:rsidR="00034C36">
        <w:rPr>
          <w:rFonts w:cs="Times New Roman"/>
          <w:szCs w:val="24"/>
        </w:rPr>
        <w:t>Ekonomiskās sadarbības un attīstības organizācijas (</w:t>
      </w:r>
      <w:r w:rsidRPr="004727ED">
        <w:rPr>
          <w:rFonts w:cs="Times New Roman"/>
          <w:bCs/>
          <w:szCs w:val="24"/>
        </w:rPr>
        <w:t>OECD</w:t>
      </w:r>
      <w:r w:rsidR="00034C36">
        <w:rPr>
          <w:rFonts w:cs="Times New Roman"/>
          <w:bCs/>
          <w:szCs w:val="24"/>
        </w:rPr>
        <w:t>)</w:t>
      </w:r>
      <w:r w:rsidRPr="004727ED">
        <w:rPr>
          <w:rFonts w:cs="Times New Roman"/>
          <w:bCs/>
          <w:szCs w:val="24"/>
        </w:rPr>
        <w:t xml:space="preserve"> WGB platformas tabulā (kopumā tajā iekļauti 4 šīs nodaļas kriminālprocesi).</w:t>
      </w:r>
    </w:p>
    <w:p w14:paraId="2388C8A5" w14:textId="2EF19B90" w:rsidR="004727ED" w:rsidRDefault="00E51A5A" w:rsidP="004727ED">
      <w:pPr>
        <w:spacing w:after="0" w:line="240" w:lineRule="auto"/>
        <w:ind w:firstLine="720"/>
        <w:jc w:val="both"/>
        <w:rPr>
          <w:rFonts w:cs="Times New Roman"/>
          <w:bCs/>
          <w:szCs w:val="24"/>
        </w:rPr>
      </w:pPr>
      <w:r w:rsidRPr="004727ED">
        <w:rPr>
          <w:rFonts w:cs="Times New Roman"/>
          <w:bCs/>
          <w:szCs w:val="24"/>
        </w:rPr>
        <w:t>2 kriminālprocesi pabeigti ar priekšrakstu par sodu, 2 kriminālprocesi izbeigt</w:t>
      </w:r>
      <w:r w:rsidR="00E36B97">
        <w:rPr>
          <w:rFonts w:cs="Times New Roman"/>
          <w:bCs/>
          <w:szCs w:val="24"/>
        </w:rPr>
        <w:t>i.</w:t>
      </w:r>
    </w:p>
    <w:p w14:paraId="1CEEF290" w14:textId="77777777" w:rsidR="004727ED" w:rsidRDefault="004727ED" w:rsidP="00E51A5A">
      <w:pPr>
        <w:spacing w:after="0" w:line="240" w:lineRule="auto"/>
        <w:ind w:right="-144"/>
        <w:jc w:val="both"/>
        <w:rPr>
          <w:b/>
          <w:szCs w:val="24"/>
        </w:rPr>
      </w:pPr>
    </w:p>
    <w:p w14:paraId="6009A6F0" w14:textId="12556BDE" w:rsidR="00E51A5A" w:rsidRDefault="00E51A5A" w:rsidP="00E329FC">
      <w:pPr>
        <w:pStyle w:val="ListParagraph"/>
        <w:numPr>
          <w:ilvl w:val="0"/>
          <w:numId w:val="46"/>
        </w:numPr>
        <w:spacing w:after="120" w:line="240" w:lineRule="auto"/>
        <w:ind w:left="714" w:right="-142" w:hanging="357"/>
        <w:jc w:val="both"/>
        <w:rPr>
          <w:b/>
          <w:szCs w:val="24"/>
        </w:rPr>
      </w:pPr>
      <w:r w:rsidRPr="00EB078B">
        <w:rPr>
          <w:b/>
          <w:szCs w:val="24"/>
        </w:rPr>
        <w:t>Izlemt</w:t>
      </w:r>
      <w:r w:rsidR="00A81AC6">
        <w:rPr>
          <w:b/>
          <w:szCs w:val="24"/>
        </w:rPr>
        <w:t>a</w:t>
      </w:r>
      <w:r w:rsidRPr="00EB078B">
        <w:rPr>
          <w:b/>
          <w:szCs w:val="24"/>
        </w:rPr>
        <w:t>s sūdzības un iesniegumi</w:t>
      </w:r>
    </w:p>
    <w:p w14:paraId="1DDF8AF9" w14:textId="5DB5021E" w:rsidR="00E51A5A" w:rsidRDefault="00E51A5A" w:rsidP="00F62B7E">
      <w:pPr>
        <w:spacing w:after="0" w:line="240" w:lineRule="auto"/>
        <w:jc w:val="center"/>
        <w:rPr>
          <w:rFonts w:cs="Times New Roman"/>
          <w:b/>
          <w:bCs/>
          <w:szCs w:val="24"/>
        </w:rPr>
      </w:pPr>
      <w:r>
        <w:rPr>
          <w:noProof/>
        </w:rPr>
        <w:drawing>
          <wp:inline distT="0" distB="0" distL="0" distR="0" wp14:anchorId="70AB2975" wp14:editId="517206EE">
            <wp:extent cx="5378450" cy="1879600"/>
            <wp:effectExtent l="0" t="0" r="12700" b="6350"/>
            <wp:docPr id="181" name="Chart 181">
              <a:extLst xmlns:a="http://schemas.openxmlformats.org/drawingml/2006/main">
                <a:ext uri="{FF2B5EF4-FFF2-40B4-BE49-F238E27FC236}">
                  <a16:creationId xmlns:a16="http://schemas.microsoft.com/office/drawing/2014/main" id="{B5966F70-741E-4F69-B569-0BD8ACE048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041F1B95" w14:textId="77777777" w:rsidR="000D4222" w:rsidRPr="00E65E15" w:rsidRDefault="000D4222" w:rsidP="000D4222">
      <w:pPr>
        <w:spacing w:after="0" w:line="240" w:lineRule="auto"/>
        <w:rPr>
          <w:rFonts w:cs="Times New Roman"/>
          <w:b/>
          <w:bCs/>
          <w:szCs w:val="24"/>
        </w:rPr>
      </w:pPr>
    </w:p>
    <w:p w14:paraId="23E339B7" w14:textId="30A47AB8" w:rsidR="00E51A5A" w:rsidRDefault="00E51A5A" w:rsidP="00E51A5A">
      <w:pPr>
        <w:spacing w:after="0" w:line="240" w:lineRule="auto"/>
        <w:ind w:right="-144" w:firstLine="720"/>
        <w:jc w:val="both"/>
        <w:rPr>
          <w:bCs/>
          <w:szCs w:val="24"/>
        </w:rPr>
      </w:pPr>
      <w:r>
        <w:rPr>
          <w:bCs/>
          <w:szCs w:val="24"/>
        </w:rPr>
        <w:t>2018.gads – saņemti 178 iesniegumi/sūdzības, no kuriem izskatīti pēc būtības 151, atstāti bez izskatīšanas 6, nosūtīti pēc piekritības 13. No izskatītajiem iesniegumiem/sūdzībām 15</w:t>
      </w:r>
      <w:r w:rsidR="00C37ADE">
        <w:rPr>
          <w:bCs/>
          <w:szCs w:val="24"/>
        </w:rPr>
        <w:t> </w:t>
      </w:r>
      <w:r>
        <w:rPr>
          <w:bCs/>
          <w:szCs w:val="24"/>
        </w:rPr>
        <w:t>gadījumos pilnībā vai daļēji atcelts pārsūdzētais nolēmums.</w:t>
      </w:r>
    </w:p>
    <w:p w14:paraId="5F29F15A" w14:textId="1A9059BA" w:rsidR="00E51A5A" w:rsidRDefault="00E51A5A" w:rsidP="00E51A5A">
      <w:pPr>
        <w:spacing w:after="0" w:line="240" w:lineRule="auto"/>
        <w:ind w:right="-144" w:firstLine="720"/>
        <w:jc w:val="both"/>
        <w:rPr>
          <w:bCs/>
          <w:szCs w:val="24"/>
        </w:rPr>
      </w:pPr>
      <w:r>
        <w:rPr>
          <w:bCs/>
          <w:szCs w:val="24"/>
        </w:rPr>
        <w:t>2019.gads – saņemti 205 iesniegumi/sūdzības, no kuriem izskatīti pēc būtības 190, atstāti bez izskatīšanas 9, pārsūtīti pēc piekritības 13. No izskatītajiem iesniegumiem/sūdzībām 11</w:t>
      </w:r>
      <w:r w:rsidR="00C37ADE">
        <w:rPr>
          <w:bCs/>
          <w:szCs w:val="24"/>
        </w:rPr>
        <w:t> </w:t>
      </w:r>
      <w:r>
        <w:rPr>
          <w:bCs/>
          <w:szCs w:val="24"/>
        </w:rPr>
        <w:t>gadījumos pilnībā vai daļēji atcelts pārsūdzētais nolēmums.</w:t>
      </w:r>
    </w:p>
    <w:p w14:paraId="671CFBA9" w14:textId="562C9D8D" w:rsidR="00E51A5A" w:rsidRDefault="00E51A5A" w:rsidP="00E51A5A">
      <w:pPr>
        <w:spacing w:after="0" w:line="240" w:lineRule="auto"/>
        <w:ind w:right="-144" w:firstLine="720"/>
        <w:jc w:val="both"/>
        <w:rPr>
          <w:bCs/>
          <w:szCs w:val="24"/>
        </w:rPr>
      </w:pPr>
      <w:r>
        <w:rPr>
          <w:bCs/>
          <w:szCs w:val="24"/>
        </w:rPr>
        <w:t>2020.gads – saņemti 101 iesniegumi/sūdzības, no kuriem izskatīti pēc būtības 90, atstāti bez izskatīšanas 7, pārsūtīti pēc piekritības 4. No izskatītajiem iesniegumiem/sūdzībām 13</w:t>
      </w:r>
      <w:r w:rsidR="00C37ADE">
        <w:rPr>
          <w:bCs/>
          <w:szCs w:val="24"/>
        </w:rPr>
        <w:t> </w:t>
      </w:r>
      <w:r>
        <w:rPr>
          <w:bCs/>
          <w:szCs w:val="24"/>
        </w:rPr>
        <w:t>gadījumos pilnībā vai daļēji atcelts pārsūdzētais nolēmums.</w:t>
      </w:r>
    </w:p>
    <w:p w14:paraId="5DEF66CC" w14:textId="77777777" w:rsidR="00E51A5A" w:rsidRPr="001A0EEE" w:rsidRDefault="00E51A5A" w:rsidP="00E51A5A">
      <w:pPr>
        <w:spacing w:after="0" w:line="240" w:lineRule="auto"/>
        <w:ind w:left="360"/>
        <w:jc w:val="both"/>
        <w:rPr>
          <w:rFonts w:cs="Times New Roman"/>
          <w:b/>
          <w:bCs/>
          <w:szCs w:val="24"/>
        </w:rPr>
      </w:pPr>
    </w:p>
    <w:p w14:paraId="07689692" w14:textId="1DA09D67" w:rsidR="00E51A5A" w:rsidRPr="00A74AD1" w:rsidRDefault="00E51A5A" w:rsidP="00E329FC">
      <w:pPr>
        <w:pStyle w:val="ListParagraph"/>
        <w:numPr>
          <w:ilvl w:val="0"/>
          <w:numId w:val="46"/>
        </w:numPr>
        <w:spacing w:after="0" w:line="240" w:lineRule="auto"/>
        <w:jc w:val="both"/>
        <w:rPr>
          <w:rFonts w:cs="Times New Roman"/>
          <w:b/>
          <w:bCs/>
          <w:szCs w:val="24"/>
        </w:rPr>
      </w:pPr>
      <w:r w:rsidRPr="00EB078B">
        <w:rPr>
          <w:rFonts w:cs="Times New Roman"/>
          <w:b/>
          <w:szCs w:val="24"/>
        </w:rPr>
        <w:t>Iztiesāšana</w:t>
      </w:r>
    </w:p>
    <w:p w14:paraId="5265155C" w14:textId="77777777" w:rsidR="00E51A5A" w:rsidRPr="00545DA4" w:rsidRDefault="00E51A5A" w:rsidP="00E51A5A">
      <w:pPr>
        <w:spacing w:after="0" w:line="240" w:lineRule="auto"/>
        <w:ind w:right="-1" w:firstLine="714"/>
        <w:jc w:val="both"/>
        <w:rPr>
          <w:rFonts w:cs="Times New Roman"/>
          <w:bCs/>
          <w:szCs w:val="24"/>
        </w:rPr>
      </w:pPr>
      <w:r w:rsidRPr="00545DA4">
        <w:rPr>
          <w:rFonts w:cs="Times New Roman"/>
          <w:bCs/>
          <w:szCs w:val="24"/>
        </w:rPr>
        <w:t>Kriminālprocesā Nr. 16870001016 (</w:t>
      </w:r>
      <w:proofErr w:type="spellStart"/>
      <w:r w:rsidRPr="00545DA4">
        <w:rPr>
          <w:rFonts w:cs="Times New Roman"/>
          <w:bCs/>
          <w:i/>
          <w:iCs/>
          <w:szCs w:val="24"/>
        </w:rPr>
        <w:t>Law</w:t>
      </w:r>
      <w:proofErr w:type="spellEnd"/>
      <w:r w:rsidRPr="00545DA4">
        <w:rPr>
          <w:rFonts w:cs="Times New Roman"/>
          <w:bCs/>
          <w:i/>
          <w:iCs/>
          <w:szCs w:val="24"/>
        </w:rPr>
        <w:t xml:space="preserve"> </w:t>
      </w:r>
      <w:proofErr w:type="spellStart"/>
      <w:r w:rsidRPr="00545DA4">
        <w:rPr>
          <w:rFonts w:cs="Times New Roman"/>
          <w:bCs/>
          <w:i/>
          <w:iCs/>
          <w:szCs w:val="24"/>
        </w:rPr>
        <w:t>Enforcement</w:t>
      </w:r>
      <w:proofErr w:type="spellEnd"/>
      <w:r w:rsidRPr="00545DA4">
        <w:rPr>
          <w:rFonts w:cs="Times New Roman"/>
          <w:bCs/>
          <w:i/>
          <w:iCs/>
          <w:szCs w:val="24"/>
        </w:rPr>
        <w:t xml:space="preserve"> </w:t>
      </w:r>
      <w:proofErr w:type="spellStart"/>
      <w:r w:rsidRPr="00545DA4">
        <w:rPr>
          <w:rFonts w:cs="Times New Roman"/>
          <w:bCs/>
          <w:i/>
          <w:iCs/>
          <w:szCs w:val="24"/>
        </w:rPr>
        <w:t>Agency</w:t>
      </w:r>
      <w:proofErr w:type="spellEnd"/>
      <w:r w:rsidRPr="00545DA4">
        <w:rPr>
          <w:rFonts w:cs="Times New Roman"/>
          <w:bCs/>
          <w:i/>
          <w:iCs/>
          <w:szCs w:val="24"/>
        </w:rPr>
        <w:t xml:space="preserve"> </w:t>
      </w:r>
      <w:proofErr w:type="spellStart"/>
      <w:r w:rsidRPr="00545DA4">
        <w:rPr>
          <w:rFonts w:cs="Times New Roman"/>
          <w:bCs/>
          <w:i/>
          <w:iCs/>
          <w:szCs w:val="24"/>
        </w:rPr>
        <w:t>Case</w:t>
      </w:r>
      <w:proofErr w:type="spellEnd"/>
      <w:r w:rsidRPr="00545DA4">
        <w:rPr>
          <w:rFonts w:cs="Times New Roman"/>
          <w:bCs/>
          <w:szCs w:val="24"/>
        </w:rPr>
        <w:t xml:space="preserve">) iztiesāšanas stadijā prokurors noslēdza vienošanos ar juridisko personu – </w:t>
      </w:r>
      <w:r w:rsidRPr="00545DA4">
        <w:rPr>
          <w:rFonts w:cs="Times New Roman"/>
          <w:szCs w:val="24"/>
        </w:rPr>
        <w:t xml:space="preserve">AS “Latvijas tilti” – </w:t>
      </w:r>
      <w:r w:rsidRPr="00545DA4">
        <w:rPr>
          <w:rFonts w:cs="Times New Roman"/>
          <w:bCs/>
          <w:szCs w:val="24"/>
        </w:rPr>
        <w:t xml:space="preserve">par </w:t>
      </w:r>
      <w:r w:rsidRPr="00545DA4">
        <w:rPr>
          <w:rFonts w:cs="Times New Roman"/>
          <w:szCs w:val="24"/>
        </w:rPr>
        <w:t>piespiedu ietekmēšanas līdzekļa piemērošanu, ko tiesa apstiprināja. Tiesas spriedums stājies likumīgā spēkā. Saskaņā ar šo vienošanos, ko apstiprinājusi tiesa, juridiskajai personai – AS “Latvijas tilti” – par tās interesēs doto kukuli, kura apmērs nepārsniedz 11 000 EUR, noteikta naudas piedziņa 180 minimālo mēnešalgu apmērā, t. i., 77 400 EUR apmērā.</w:t>
      </w:r>
    </w:p>
    <w:p w14:paraId="0AF15EB7" w14:textId="77777777" w:rsidR="00E51A5A" w:rsidRPr="00A74AD1" w:rsidRDefault="00E51A5A" w:rsidP="00E51A5A">
      <w:pPr>
        <w:spacing w:after="0" w:line="240" w:lineRule="auto"/>
        <w:ind w:right="-1" w:firstLine="714"/>
        <w:jc w:val="both"/>
        <w:rPr>
          <w:rFonts w:cs="Times New Roman"/>
          <w:szCs w:val="24"/>
        </w:rPr>
      </w:pPr>
      <w:r w:rsidRPr="00545DA4">
        <w:rPr>
          <w:rFonts w:cs="Times New Roman"/>
          <w:bCs/>
          <w:szCs w:val="24"/>
        </w:rPr>
        <w:t xml:space="preserve">Iztiesātajās krimināllietās par vienu no būtiskākajiem atzīstams tiesas nolēmums kriminālprocesā Nr. 16870002509, kas pirmās instances tiesā atradās no 2011. gada 1. jūlija. Tiesa apstiprināja prokurora noslēgto vienošanos ar apsūdzētajiem. Saskaņā ar spiedumu </w:t>
      </w:r>
      <w:r w:rsidRPr="00545DA4">
        <w:rPr>
          <w:rFonts w:cs="Times New Roman"/>
          <w:szCs w:val="24"/>
        </w:rPr>
        <w:t xml:space="preserve">par krāpšanu un kukuļošanu kopumā notiesātas </w:t>
      </w:r>
      <w:r w:rsidRPr="00A74AD1">
        <w:rPr>
          <w:rFonts w:cs="Times New Roman"/>
          <w:szCs w:val="24"/>
        </w:rPr>
        <w:t>8 apsūdzētās personas. 5 apsūdzētajiem piemēroto mantisko sodu – naudas soda un mantas (naudas) konfiskācijas –, kā arī piedzītās kaitējuma kompensācijas apmērs sasniedza 461 621 EUR, kas gandrīz pieckārt pārsniedz ar krāpšanām nodarīto mantisko zaudējumu. Turklāt konfiscēti divi nekustamie īpašumi un viena automašīna. Pārējiem 3 apsūdzētajiem par kukuļošanu 1350 Ls apmērā piemērots piespiedu darbs. 2020. gada 3. martā šis spriedums stājies likumīgā spēkā.</w:t>
      </w:r>
    </w:p>
    <w:p w14:paraId="68CB425C" w14:textId="77777777" w:rsidR="00E51A5A" w:rsidRDefault="00E51A5A" w:rsidP="00E51A5A">
      <w:pPr>
        <w:spacing w:after="0" w:line="240" w:lineRule="auto"/>
        <w:ind w:firstLine="720"/>
        <w:jc w:val="both"/>
        <w:rPr>
          <w:rFonts w:cs="Times New Roman"/>
          <w:szCs w:val="24"/>
        </w:rPr>
      </w:pPr>
      <w:r w:rsidRPr="00215247">
        <w:rPr>
          <w:rFonts w:cs="Times New Roman"/>
          <w:bCs/>
          <w:szCs w:val="24"/>
        </w:rPr>
        <w:t xml:space="preserve">Pamatojoties uz prokurores pieteikumu, tiesa ir atjaunojusi procesu pret juridisko personu </w:t>
      </w:r>
      <w:r w:rsidRPr="00215247">
        <w:rPr>
          <w:rFonts w:cs="Times New Roman"/>
          <w:szCs w:val="24"/>
        </w:rPr>
        <w:t>A/S “SKINEST RAIL” (kriminālprocess Nr. 13904001719).</w:t>
      </w:r>
    </w:p>
    <w:p w14:paraId="58BD9FE2" w14:textId="77777777" w:rsidR="00E51A5A" w:rsidRDefault="00E51A5A" w:rsidP="00E51A5A">
      <w:pPr>
        <w:spacing w:after="0" w:line="240" w:lineRule="auto"/>
        <w:ind w:firstLine="720"/>
        <w:jc w:val="both"/>
        <w:rPr>
          <w:rFonts w:cs="Times New Roman"/>
          <w:szCs w:val="24"/>
        </w:rPr>
      </w:pPr>
    </w:p>
    <w:p w14:paraId="7DAB807B" w14:textId="26BC227E" w:rsidR="00E51A5A" w:rsidRDefault="00E51A5A" w:rsidP="00957057">
      <w:pPr>
        <w:spacing w:after="0" w:line="240" w:lineRule="auto"/>
        <w:jc w:val="center"/>
        <w:rPr>
          <w:rFonts w:cs="Times New Roman"/>
          <w:bCs/>
          <w:szCs w:val="24"/>
        </w:rPr>
      </w:pPr>
      <w:r>
        <w:rPr>
          <w:noProof/>
        </w:rPr>
        <w:drawing>
          <wp:inline distT="0" distB="0" distL="0" distR="0" wp14:anchorId="6399BE3B" wp14:editId="4EEECE99">
            <wp:extent cx="4318000" cy="1841500"/>
            <wp:effectExtent l="0" t="0" r="6350" b="6350"/>
            <wp:docPr id="182" name="Chart 182">
              <a:extLst xmlns:a="http://schemas.openxmlformats.org/drawingml/2006/main">
                <a:ext uri="{FF2B5EF4-FFF2-40B4-BE49-F238E27FC236}">
                  <a16:creationId xmlns:a16="http://schemas.microsoft.com/office/drawing/2014/main" id="{EE05816F-4D32-4B0D-B6F0-347D2835F9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376CF7A7" w14:textId="77777777" w:rsidR="00E51A5A" w:rsidRDefault="00E51A5A" w:rsidP="00E51A5A">
      <w:pPr>
        <w:spacing w:after="0" w:line="240" w:lineRule="auto"/>
        <w:ind w:firstLine="720"/>
        <w:jc w:val="both"/>
        <w:rPr>
          <w:rFonts w:cs="Times New Roman"/>
          <w:bCs/>
          <w:szCs w:val="24"/>
        </w:rPr>
      </w:pPr>
    </w:p>
    <w:p w14:paraId="6A659D01" w14:textId="77777777" w:rsidR="00E51A5A" w:rsidRPr="00795C41" w:rsidRDefault="00E51A5A" w:rsidP="00E51A5A">
      <w:pPr>
        <w:spacing w:after="0" w:line="240" w:lineRule="auto"/>
        <w:ind w:right="-144" w:firstLine="720"/>
        <w:jc w:val="both"/>
        <w:rPr>
          <w:bCs/>
          <w:szCs w:val="24"/>
        </w:rPr>
      </w:pPr>
      <w:r w:rsidRPr="005B4EE4">
        <w:rPr>
          <w:bCs/>
          <w:szCs w:val="24"/>
        </w:rPr>
        <w:t>2018.gads</w:t>
      </w:r>
      <w:r>
        <w:rPr>
          <w:bCs/>
          <w:szCs w:val="24"/>
        </w:rPr>
        <w:t xml:space="preserve"> – </w:t>
      </w:r>
      <w:r w:rsidRPr="00795C41">
        <w:rPr>
          <w:bCs/>
          <w:szCs w:val="24"/>
        </w:rPr>
        <w:t xml:space="preserve">iesniegti 1 apelācijas un 1 kasācijas protests, apmierināti 3 apelācijas protesti </w:t>
      </w:r>
    </w:p>
    <w:p w14:paraId="57451950" w14:textId="77777777" w:rsidR="00E51A5A" w:rsidRPr="00795C41" w:rsidRDefault="00E51A5A" w:rsidP="00E51A5A">
      <w:pPr>
        <w:spacing w:after="0" w:line="240" w:lineRule="auto"/>
        <w:ind w:right="-144" w:firstLine="720"/>
        <w:jc w:val="both"/>
        <w:rPr>
          <w:bCs/>
          <w:szCs w:val="24"/>
        </w:rPr>
      </w:pPr>
      <w:r w:rsidRPr="00795C41">
        <w:rPr>
          <w:bCs/>
          <w:szCs w:val="24"/>
        </w:rPr>
        <w:t>2019.gads – iesniegti 1 apelācijas un 1 kasācijas protests, apmierināts 1 apelācijas protests</w:t>
      </w:r>
    </w:p>
    <w:p w14:paraId="10E8E5C3" w14:textId="77777777" w:rsidR="00E51A5A" w:rsidRPr="00795C41" w:rsidRDefault="00E51A5A" w:rsidP="00E51A5A">
      <w:pPr>
        <w:spacing w:after="0" w:line="240" w:lineRule="auto"/>
        <w:ind w:right="-144" w:firstLine="720"/>
        <w:jc w:val="both"/>
        <w:rPr>
          <w:bCs/>
          <w:szCs w:val="24"/>
        </w:rPr>
      </w:pPr>
      <w:r w:rsidRPr="00795C41">
        <w:rPr>
          <w:bCs/>
          <w:szCs w:val="24"/>
        </w:rPr>
        <w:t xml:space="preserve">2020.gads – iesniegti 3 apelācijas protesti un 1 kasācijas protests, apmierināti 2 apelācijas protesti </w:t>
      </w:r>
    </w:p>
    <w:p w14:paraId="51C31932" w14:textId="77777777" w:rsidR="00E51A5A" w:rsidRPr="001A0EEE" w:rsidRDefault="00E51A5A" w:rsidP="00E51A5A">
      <w:pPr>
        <w:spacing w:after="0" w:line="240" w:lineRule="auto"/>
        <w:jc w:val="both"/>
        <w:rPr>
          <w:rFonts w:cs="Times New Roman"/>
          <w:bCs/>
          <w:szCs w:val="24"/>
        </w:rPr>
      </w:pPr>
    </w:p>
    <w:p w14:paraId="57F99E7C" w14:textId="4033BB86" w:rsidR="00E51A5A" w:rsidRPr="00716C06" w:rsidRDefault="00E51A5A" w:rsidP="00E329FC">
      <w:pPr>
        <w:pStyle w:val="ListParagraph"/>
        <w:numPr>
          <w:ilvl w:val="0"/>
          <w:numId w:val="46"/>
        </w:numPr>
        <w:spacing w:after="0" w:line="240" w:lineRule="auto"/>
        <w:jc w:val="both"/>
        <w:rPr>
          <w:rFonts w:cs="Times New Roman"/>
          <w:b/>
          <w:bCs/>
          <w:szCs w:val="24"/>
        </w:rPr>
      </w:pPr>
      <w:r w:rsidRPr="00EB078B">
        <w:rPr>
          <w:rFonts w:cs="Times New Roman"/>
          <w:b/>
          <w:bCs/>
          <w:szCs w:val="24"/>
        </w:rPr>
        <w:t>Informācija par tiesās neizskatītajām Sevišķi svarīgu lietu izmeklēšanas nodaļas krimināllietām uz 2020. gada 31.decembri</w:t>
      </w:r>
    </w:p>
    <w:p w14:paraId="1E41DB08" w14:textId="77777777" w:rsidR="00E51A5A" w:rsidRPr="00795C41" w:rsidRDefault="00E51A5A" w:rsidP="00E51A5A">
      <w:pPr>
        <w:spacing w:after="0" w:line="240" w:lineRule="auto"/>
        <w:ind w:firstLine="360"/>
        <w:jc w:val="both"/>
        <w:rPr>
          <w:rFonts w:cs="Times New Roman"/>
          <w:szCs w:val="24"/>
        </w:rPr>
      </w:pPr>
      <w:r w:rsidRPr="00EB078B">
        <w:rPr>
          <w:rFonts w:cs="Times New Roman"/>
          <w:szCs w:val="24"/>
        </w:rPr>
        <w:t xml:space="preserve">Kopumā tiesās neizskatītas </w:t>
      </w:r>
      <w:r w:rsidRPr="00795C41">
        <w:rPr>
          <w:rFonts w:cs="Times New Roman"/>
          <w:szCs w:val="24"/>
        </w:rPr>
        <w:t>ir 53 krimināllietas uz 7 nodaļas prokuroriem un virsprokuroru. Lielākā daļa krimināllietu atrodas pirmās instances tiesā (42 krimināllietas), 5 krimināllietas – apelācijas instances tiesā, 6 krimināllietas – Senātā.</w:t>
      </w:r>
    </w:p>
    <w:p w14:paraId="5F7C8F88"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lastRenderedPageBreak/>
        <w:t>No 2007. gadā tiesai nosūtītajām krimināllietām nav izskatītas 2 krimināllietas: Nr. </w:t>
      </w:r>
      <w:r w:rsidRPr="00795C41">
        <w:rPr>
          <w:rFonts w:cs="Times New Roman"/>
          <w:color w:val="000000"/>
          <w:szCs w:val="24"/>
        </w:rPr>
        <w:t>13870001105, kas atrodas pirmās instances tiesā (iepriekš līdz 2020. gada 15. decembrim tā bija apturēta sakarā ar apsūdzētā meklēšanu); Nr. 13870001003 (Digitālās TV krimināllieta), kas atrodas apelācijas instances tiesā.</w:t>
      </w:r>
    </w:p>
    <w:p w14:paraId="489B3523"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 xml:space="preserve">No 2008. gadā tiesai nosūtītajām krimināllietām </w:t>
      </w:r>
      <w:bookmarkStart w:id="45" w:name="_Hlk63872443"/>
      <w:r w:rsidRPr="00795C41">
        <w:rPr>
          <w:rFonts w:cs="Times New Roman"/>
          <w:szCs w:val="24"/>
        </w:rPr>
        <w:t>nav izskatīta 1 krimināllieta</w:t>
      </w:r>
      <w:bookmarkEnd w:id="45"/>
      <w:r w:rsidRPr="00795C41">
        <w:rPr>
          <w:rFonts w:cs="Times New Roman"/>
          <w:szCs w:val="24"/>
        </w:rPr>
        <w:t>, kas atrodas pirmās instances tiesā (A. Lemberga krimināllieta).</w:t>
      </w:r>
    </w:p>
    <w:p w14:paraId="05526CAA"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2009. gadā tiesai nosūtītajām krimināllietām nav izskatīta 1 krimināllieta, kas atrodas Senātā.</w:t>
      </w:r>
    </w:p>
    <w:p w14:paraId="461F6D48"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2010. gadā tiesai nosūtītajām krimināllietām nav izskatītas 2 krimināllietas (abas krimināllietas atrodas Senātā).</w:t>
      </w:r>
    </w:p>
    <w:p w14:paraId="3EB02D7C"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2012. gadā tiesai nosūtītajām krimināllietām nav izskatītas 3 krimināllietas (visas krimināllietas atrodas pirmās instances tiesā).</w:t>
      </w:r>
    </w:p>
    <w:p w14:paraId="07CDCF15"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2013. gadā tiesai nosūtītajām krimināllietām nav izskatītas 3</w:t>
      </w:r>
      <w:r w:rsidRPr="00795C41">
        <w:rPr>
          <w:rFonts w:cs="Times New Roman"/>
        </w:rPr>
        <w:t> krimināllietas</w:t>
      </w:r>
      <w:r w:rsidRPr="00795C41">
        <w:rPr>
          <w:rFonts w:cs="Times New Roman"/>
          <w:szCs w:val="24"/>
        </w:rPr>
        <w:t xml:space="preserve"> (2 krimināllietas atrodas pirmās instances tiesā, 1 – Senātā).</w:t>
      </w:r>
    </w:p>
    <w:p w14:paraId="7D8E14B8"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2014. gadā tiesai nosūtītajām krimināllietām nav izskatītas 4 krimināllietas (visas krimināllietas atrodas pirmās instances tiesā).</w:t>
      </w:r>
    </w:p>
    <w:p w14:paraId="4EBDCA9B"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2015. gadā tiesai nosūtītajām krimināllietām nav izskatītas 2 krimināllietas (1 krimināllieta atrodas pirmās instances tiesā, 1 – apelācijas instances tiesā).</w:t>
      </w:r>
    </w:p>
    <w:p w14:paraId="62128E93"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2016. gadā tiesai nosūtītajām krimināllietām nav izskatītas 3 krimināllietas (visas krimināllietas atrodas pirmās instances tiesā).</w:t>
      </w:r>
    </w:p>
    <w:p w14:paraId="7CF47750"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2017. gadā tiesai nosūtītajām krimināllietām nav izskatītas 8 krimināllietas (6 krimināllietas atrodas pirmās instances tiesā, 2 – apelācijas instances tiesā).</w:t>
      </w:r>
    </w:p>
    <w:p w14:paraId="49923711"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1A0EEE">
        <w:rPr>
          <w:rFonts w:cs="Times New Roman"/>
          <w:szCs w:val="24"/>
        </w:rPr>
        <w:t xml:space="preserve">No 2018. gadā tiesai nosūtītajām krimināllietām nav izskatītas </w:t>
      </w:r>
      <w:r w:rsidRPr="00795C41">
        <w:rPr>
          <w:rFonts w:cs="Times New Roman"/>
          <w:szCs w:val="24"/>
        </w:rPr>
        <w:t>10 krimināllietas (8 krimināllietas atrodas pirmās instances tiesā, 1 krimināllieta – apelācijas instances tiesā, 1 krimināllieta – Senātā).</w:t>
      </w:r>
    </w:p>
    <w:p w14:paraId="09575C86"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2019. gadā tiesai nosūtītajām krimināllietām nav izskatītas 4 krimināllietas (visas krimināllietas atrodas pirmās instances tiesā).</w:t>
      </w:r>
    </w:p>
    <w:p w14:paraId="77852FE2" w14:textId="77777777" w:rsidR="00E51A5A" w:rsidRPr="00795C41" w:rsidRDefault="00E51A5A" w:rsidP="00E329FC">
      <w:pPr>
        <w:pStyle w:val="ListParagraph"/>
        <w:numPr>
          <w:ilvl w:val="0"/>
          <w:numId w:val="47"/>
        </w:numPr>
        <w:spacing w:after="0" w:line="240" w:lineRule="auto"/>
        <w:jc w:val="both"/>
        <w:rPr>
          <w:rFonts w:cs="Times New Roman"/>
          <w:szCs w:val="24"/>
        </w:rPr>
      </w:pPr>
      <w:r w:rsidRPr="00795C41">
        <w:rPr>
          <w:rFonts w:cs="Times New Roman"/>
          <w:szCs w:val="24"/>
        </w:rPr>
        <w:t>No 2020. gadā tiesai nosūtītajām krimināllietām nav izskatītas 10 krimināllietas (9 krimināllietas atrodas pirmās instances tiesā, 1 krimināllieta – Senātā).</w:t>
      </w:r>
    </w:p>
    <w:p w14:paraId="4B8ADB93" w14:textId="77777777" w:rsidR="00E51A5A" w:rsidRDefault="00E51A5A" w:rsidP="00E51A5A">
      <w:pPr>
        <w:pStyle w:val="ListParagraph"/>
        <w:spacing w:after="0" w:line="240" w:lineRule="auto"/>
        <w:ind w:left="0" w:firstLine="720"/>
        <w:jc w:val="both"/>
        <w:rPr>
          <w:rFonts w:cs="Times New Roman"/>
          <w:b/>
          <w:bCs/>
          <w:szCs w:val="24"/>
        </w:rPr>
      </w:pPr>
    </w:p>
    <w:p w14:paraId="29167497" w14:textId="77777777" w:rsidR="00E51A5A" w:rsidRPr="00577BF3" w:rsidRDefault="00E51A5A" w:rsidP="00E51A5A">
      <w:pPr>
        <w:spacing w:after="0" w:line="240" w:lineRule="auto"/>
        <w:jc w:val="center"/>
        <w:rPr>
          <w:rFonts w:cs="Times New Roman"/>
          <w:b/>
          <w:bCs/>
          <w:sz w:val="28"/>
          <w:szCs w:val="28"/>
          <w:lang w:eastAsia="lv-LV"/>
        </w:rPr>
      </w:pPr>
      <w:r w:rsidRPr="00577BF3">
        <w:rPr>
          <w:rFonts w:cs="Times New Roman"/>
          <w:b/>
          <w:bCs/>
          <w:sz w:val="28"/>
          <w:szCs w:val="28"/>
          <w:lang w:eastAsia="lv-LV"/>
        </w:rPr>
        <w:t>I</w:t>
      </w:r>
      <w:r>
        <w:rPr>
          <w:rFonts w:cs="Times New Roman"/>
          <w:b/>
          <w:bCs/>
          <w:sz w:val="28"/>
          <w:szCs w:val="28"/>
          <w:lang w:eastAsia="lv-LV"/>
        </w:rPr>
        <w:t>V</w:t>
      </w:r>
      <w:r w:rsidRPr="00577BF3">
        <w:rPr>
          <w:rFonts w:cs="Times New Roman"/>
          <w:b/>
          <w:bCs/>
          <w:sz w:val="28"/>
          <w:szCs w:val="28"/>
          <w:lang w:eastAsia="lv-LV"/>
        </w:rPr>
        <w:t>. Tiesās izskatāmo krimināllietu nodaļas darba rādītāji 2020. gadā</w:t>
      </w:r>
    </w:p>
    <w:p w14:paraId="5D8384B1" w14:textId="77777777" w:rsidR="00E51A5A" w:rsidRPr="00577BF3" w:rsidRDefault="00E51A5A" w:rsidP="00E51A5A">
      <w:pPr>
        <w:spacing w:after="0" w:line="240" w:lineRule="auto"/>
        <w:rPr>
          <w:rFonts w:cs="Times New Roman"/>
          <w:b/>
          <w:bCs/>
          <w:sz w:val="28"/>
          <w:szCs w:val="28"/>
          <w:lang w:eastAsia="lv-LV"/>
        </w:rPr>
      </w:pPr>
    </w:p>
    <w:p w14:paraId="55B20892" w14:textId="47F6FC91" w:rsidR="00E51A5A" w:rsidRPr="00FE5678" w:rsidRDefault="00E51A5A" w:rsidP="00E329FC">
      <w:pPr>
        <w:pStyle w:val="ListParagraph"/>
        <w:numPr>
          <w:ilvl w:val="0"/>
          <w:numId w:val="15"/>
        </w:numPr>
        <w:spacing w:after="0" w:line="240" w:lineRule="auto"/>
        <w:jc w:val="both"/>
        <w:rPr>
          <w:rFonts w:cs="Times New Roman"/>
          <w:b/>
          <w:bCs/>
          <w:szCs w:val="24"/>
          <w:lang w:eastAsia="lv-LV"/>
        </w:rPr>
      </w:pPr>
      <w:r>
        <w:rPr>
          <w:rFonts w:cs="Times New Roman"/>
          <w:b/>
          <w:bCs/>
          <w:szCs w:val="24"/>
          <w:lang w:eastAsia="lv-LV"/>
        </w:rPr>
        <w:t>I</w:t>
      </w:r>
      <w:r w:rsidRPr="00B819BF">
        <w:rPr>
          <w:rFonts w:cs="Times New Roman"/>
          <w:b/>
          <w:bCs/>
          <w:szCs w:val="24"/>
          <w:lang w:eastAsia="lv-LV"/>
        </w:rPr>
        <w:t>esniegum</w:t>
      </w:r>
      <w:r>
        <w:rPr>
          <w:rFonts w:cs="Times New Roman"/>
          <w:b/>
          <w:bCs/>
          <w:szCs w:val="24"/>
          <w:lang w:eastAsia="lv-LV"/>
        </w:rPr>
        <w:t>u un sūdzību izlemšana</w:t>
      </w:r>
    </w:p>
    <w:p w14:paraId="50DE8EFA" w14:textId="0584BAAF" w:rsidR="00E51A5A" w:rsidRDefault="00E51A5A" w:rsidP="00BE187D">
      <w:pPr>
        <w:spacing w:after="0" w:line="240" w:lineRule="auto"/>
        <w:ind w:firstLine="720"/>
        <w:jc w:val="both"/>
        <w:rPr>
          <w:rFonts w:cs="Times New Roman"/>
          <w:szCs w:val="24"/>
          <w:lang w:eastAsia="lv-LV"/>
        </w:rPr>
      </w:pPr>
      <w:r>
        <w:rPr>
          <w:rFonts w:cs="Times New Roman"/>
          <w:szCs w:val="24"/>
          <w:lang w:eastAsia="lv-LV"/>
        </w:rPr>
        <w:t>Tiesās izskatāmo krimināllietu nodaļas kompetencē ir izskatīt personu iesniegumus un sūdzības par prokuroru rīcību iztiesāšanā, tostarp virsprokuroru atbilžu pārvērtēšana pārsūdzības gadījumos, sūdzību izskatīšana jautājumos, kas skar spēkā stājušos nolēmumus.</w:t>
      </w:r>
    </w:p>
    <w:p w14:paraId="4FFA7BC1" w14:textId="77777777" w:rsidR="000B6C35" w:rsidRPr="00BE187D" w:rsidRDefault="000B6C35" w:rsidP="00BE187D">
      <w:pPr>
        <w:spacing w:after="0" w:line="240" w:lineRule="auto"/>
        <w:ind w:firstLine="720"/>
        <w:jc w:val="both"/>
        <w:rPr>
          <w:rFonts w:cs="Times New Roman"/>
          <w:szCs w:val="24"/>
          <w:lang w:eastAsia="lv-LV"/>
        </w:rPr>
      </w:pPr>
    </w:p>
    <w:p w14:paraId="051FE743" w14:textId="1A840222" w:rsidR="00E51A5A" w:rsidRPr="006E138B" w:rsidRDefault="00E51A5A" w:rsidP="00957057">
      <w:pPr>
        <w:spacing w:after="0" w:line="240" w:lineRule="auto"/>
        <w:jc w:val="center"/>
        <w:rPr>
          <w:rFonts w:cs="Times New Roman"/>
          <w:szCs w:val="24"/>
          <w:lang w:eastAsia="lv-LV"/>
        </w:rPr>
      </w:pPr>
      <w:r>
        <w:rPr>
          <w:noProof/>
        </w:rPr>
        <w:drawing>
          <wp:inline distT="0" distB="0" distL="0" distR="0" wp14:anchorId="2209C0CB" wp14:editId="241F4BC5">
            <wp:extent cx="5003800" cy="1619250"/>
            <wp:effectExtent l="0" t="0" r="6350" b="0"/>
            <wp:docPr id="183" name="Chart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33F7B208" w14:textId="77777777" w:rsidR="00E51A5A" w:rsidRDefault="00E51A5A" w:rsidP="00E51A5A">
      <w:pPr>
        <w:pStyle w:val="ListParagraph"/>
        <w:spacing w:after="0" w:line="240" w:lineRule="auto"/>
        <w:jc w:val="both"/>
        <w:rPr>
          <w:rFonts w:cs="Times New Roman"/>
          <w:color w:val="000000"/>
          <w:szCs w:val="24"/>
          <w:lang w:eastAsia="lv-LV"/>
        </w:rPr>
      </w:pPr>
    </w:p>
    <w:p w14:paraId="4075BBB1" w14:textId="6EA0764E" w:rsidR="00E51A5A" w:rsidRDefault="00E51A5A" w:rsidP="00E51A5A">
      <w:pPr>
        <w:spacing w:after="0" w:line="240" w:lineRule="auto"/>
        <w:ind w:firstLine="720"/>
        <w:jc w:val="both"/>
        <w:rPr>
          <w:rFonts w:cs="Times New Roman"/>
          <w:color w:val="000000"/>
          <w:szCs w:val="24"/>
          <w:lang w:eastAsia="lv-LV"/>
        </w:rPr>
      </w:pPr>
      <w:r w:rsidRPr="002A001B">
        <w:rPr>
          <w:rFonts w:cs="Times New Roman"/>
          <w:color w:val="000000"/>
          <w:szCs w:val="24"/>
          <w:lang w:eastAsia="lv-LV"/>
        </w:rPr>
        <w:t>Vērtējot izskatīto sūdzību un iesniegumu dinamiku, redzams, ka tā turpina gadu no gada pieaugt</w:t>
      </w:r>
      <w:r>
        <w:rPr>
          <w:rFonts w:cs="Times New Roman"/>
          <w:color w:val="000000"/>
          <w:szCs w:val="24"/>
          <w:lang w:eastAsia="lv-LV"/>
        </w:rPr>
        <w:t>.</w:t>
      </w:r>
    </w:p>
    <w:p w14:paraId="7FAE4685" w14:textId="77777777" w:rsidR="00E51A5A" w:rsidRDefault="00E51A5A" w:rsidP="00E51A5A">
      <w:pPr>
        <w:spacing w:after="0" w:line="240" w:lineRule="auto"/>
        <w:jc w:val="both"/>
        <w:rPr>
          <w:rFonts w:cs="Times New Roman"/>
          <w:color w:val="000000"/>
          <w:szCs w:val="24"/>
        </w:rPr>
      </w:pPr>
    </w:p>
    <w:p w14:paraId="7C58B2C9" w14:textId="5DE9DF94" w:rsidR="00E51A5A" w:rsidRDefault="00E51A5A" w:rsidP="00E329FC">
      <w:pPr>
        <w:pStyle w:val="ListParagraph"/>
        <w:numPr>
          <w:ilvl w:val="0"/>
          <w:numId w:val="15"/>
        </w:numPr>
        <w:spacing w:after="0" w:line="240" w:lineRule="auto"/>
        <w:rPr>
          <w:rFonts w:cs="Times New Roman"/>
          <w:b/>
          <w:bCs/>
          <w:color w:val="000000"/>
          <w:szCs w:val="24"/>
        </w:rPr>
      </w:pPr>
      <w:r>
        <w:rPr>
          <w:rFonts w:cs="Times New Roman"/>
          <w:b/>
          <w:bCs/>
          <w:color w:val="000000"/>
          <w:szCs w:val="24"/>
        </w:rPr>
        <w:lastRenderedPageBreak/>
        <w:t>P</w:t>
      </w:r>
      <w:r w:rsidRPr="002A6759">
        <w:rPr>
          <w:rFonts w:cs="Times New Roman"/>
          <w:b/>
          <w:bCs/>
          <w:color w:val="000000"/>
          <w:szCs w:val="24"/>
        </w:rPr>
        <w:t>rotest</w:t>
      </w:r>
      <w:r>
        <w:rPr>
          <w:rFonts w:cs="Times New Roman"/>
          <w:b/>
          <w:bCs/>
          <w:color w:val="000000"/>
          <w:szCs w:val="24"/>
        </w:rPr>
        <w:t xml:space="preserve">i </w:t>
      </w:r>
      <w:r w:rsidRPr="002A6759">
        <w:rPr>
          <w:rFonts w:cs="Times New Roman"/>
          <w:b/>
          <w:bCs/>
          <w:color w:val="000000"/>
          <w:szCs w:val="24"/>
        </w:rPr>
        <w:t>Kriminālprocesa likuma 63. nodaļas kārtībā – par spēkā stājušiem tiesu nolēmumiem</w:t>
      </w:r>
    </w:p>
    <w:p w14:paraId="70332401" w14:textId="77777777" w:rsidR="000E6513" w:rsidRPr="00BE187D" w:rsidRDefault="000E6513" w:rsidP="000E6513">
      <w:pPr>
        <w:pStyle w:val="ListParagraph"/>
        <w:spacing w:after="0" w:line="240" w:lineRule="auto"/>
        <w:rPr>
          <w:rFonts w:cs="Times New Roman"/>
          <w:b/>
          <w:bCs/>
          <w:color w:val="000000"/>
          <w:szCs w:val="24"/>
        </w:rPr>
      </w:pPr>
    </w:p>
    <w:p w14:paraId="71CFBFDA" w14:textId="5D1DE292" w:rsidR="00E51A5A" w:rsidRPr="00F94064" w:rsidRDefault="00E51A5A" w:rsidP="00916CC1">
      <w:pPr>
        <w:pStyle w:val="ListParagraph"/>
        <w:spacing w:after="0" w:line="240" w:lineRule="auto"/>
        <w:ind w:left="0"/>
        <w:jc w:val="center"/>
        <w:rPr>
          <w:rFonts w:cs="Times New Roman"/>
          <w:b/>
          <w:bCs/>
          <w:color w:val="000000"/>
          <w:szCs w:val="24"/>
        </w:rPr>
      </w:pPr>
      <w:r>
        <w:rPr>
          <w:noProof/>
        </w:rPr>
        <w:drawing>
          <wp:inline distT="0" distB="0" distL="0" distR="0" wp14:anchorId="0E370E92" wp14:editId="1FFFA284">
            <wp:extent cx="5048250" cy="1593850"/>
            <wp:effectExtent l="0" t="0" r="0" b="6350"/>
            <wp:docPr id="184" name="Chart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4A0011B2" w14:textId="77777777" w:rsidR="00E51A5A" w:rsidRDefault="00E51A5A" w:rsidP="00E51A5A">
      <w:pPr>
        <w:pStyle w:val="ListParagraph"/>
        <w:spacing w:after="0" w:line="240" w:lineRule="auto"/>
        <w:jc w:val="both"/>
        <w:rPr>
          <w:rFonts w:cs="Times New Roman"/>
          <w:color w:val="000000"/>
          <w:szCs w:val="24"/>
          <w:lang w:eastAsia="lv-LV"/>
        </w:rPr>
      </w:pPr>
    </w:p>
    <w:p w14:paraId="6E115C9E" w14:textId="6FE47D03" w:rsidR="00E51A5A" w:rsidRPr="00BE187D" w:rsidRDefault="00E51A5A" w:rsidP="00BE187D">
      <w:pPr>
        <w:pStyle w:val="ListParagraph"/>
        <w:spacing w:after="0" w:line="240" w:lineRule="auto"/>
        <w:ind w:left="0" w:firstLine="709"/>
        <w:jc w:val="both"/>
        <w:rPr>
          <w:rFonts w:cs="Times New Roman"/>
          <w:color w:val="000000"/>
          <w:szCs w:val="24"/>
          <w:lang w:eastAsia="lv-LV"/>
        </w:rPr>
      </w:pPr>
      <w:r>
        <w:rPr>
          <w:rFonts w:cs="Times New Roman"/>
          <w:color w:val="000000"/>
          <w:szCs w:val="24"/>
          <w:lang w:eastAsia="lv-LV"/>
        </w:rPr>
        <w:t xml:space="preserve">Tiesās izskatāmo krimināllietu </w:t>
      </w:r>
      <w:r w:rsidRPr="00577BF3">
        <w:rPr>
          <w:rFonts w:cs="Times New Roman"/>
          <w:color w:val="000000"/>
          <w:szCs w:val="24"/>
          <w:lang w:eastAsia="lv-LV"/>
        </w:rPr>
        <w:t xml:space="preserve">nodaļā sagatavoti </w:t>
      </w:r>
      <w:r w:rsidRPr="002645FD">
        <w:rPr>
          <w:rFonts w:cs="Times New Roman"/>
          <w:color w:val="000000"/>
          <w:szCs w:val="24"/>
          <w:lang w:eastAsia="lv-LV"/>
        </w:rPr>
        <w:t>30 protesti</w:t>
      </w:r>
      <w:r>
        <w:rPr>
          <w:rFonts w:cs="Times New Roman"/>
          <w:b/>
          <w:bCs/>
          <w:color w:val="000000"/>
          <w:szCs w:val="24"/>
          <w:lang w:eastAsia="lv-LV"/>
        </w:rPr>
        <w:t xml:space="preserve"> </w:t>
      </w:r>
      <w:r w:rsidRPr="00577BF3">
        <w:rPr>
          <w:rFonts w:cs="Times New Roman"/>
          <w:color w:val="000000"/>
          <w:szCs w:val="24"/>
          <w:lang w:eastAsia="lv-LV"/>
        </w:rPr>
        <w:t xml:space="preserve">Kriminālprocesa likuma 63. nodaļas kārtībā </w:t>
      </w:r>
      <w:r w:rsidRPr="002645FD">
        <w:rPr>
          <w:rFonts w:cs="Times New Roman"/>
          <w:color w:val="000000"/>
          <w:szCs w:val="24"/>
          <w:lang w:eastAsia="lv-LV"/>
        </w:rPr>
        <w:t>par spēkā stājušiem tiesu nolēmumiem</w:t>
      </w:r>
      <w:r w:rsidRPr="00577BF3">
        <w:rPr>
          <w:rFonts w:cs="Times New Roman"/>
          <w:color w:val="000000"/>
          <w:szCs w:val="24"/>
          <w:lang w:eastAsia="lv-LV"/>
        </w:rPr>
        <w:t>, konstatējot Krimināllikuma</w:t>
      </w:r>
      <w:r w:rsidR="002645FD">
        <w:rPr>
          <w:rFonts w:cs="Times New Roman"/>
          <w:color w:val="000000"/>
          <w:szCs w:val="24"/>
          <w:lang w:eastAsia="lv-LV"/>
        </w:rPr>
        <w:t xml:space="preserve"> </w:t>
      </w:r>
      <w:r w:rsidRPr="00577BF3">
        <w:rPr>
          <w:rFonts w:cs="Times New Roman"/>
          <w:color w:val="000000"/>
          <w:szCs w:val="24"/>
          <w:lang w:eastAsia="lv-LV"/>
        </w:rPr>
        <w:t>vai Kriminālprocesa likuma pārkāpumu, kas pasliktināja notiesātās personas stāvokli</w:t>
      </w:r>
      <w:r>
        <w:rPr>
          <w:rFonts w:cs="Times New Roman"/>
          <w:color w:val="000000"/>
          <w:szCs w:val="24"/>
          <w:lang w:eastAsia="lv-LV"/>
        </w:rPr>
        <w:t xml:space="preserve"> (pārsvarā</w:t>
      </w:r>
      <w:r w:rsidR="00FA4462">
        <w:rPr>
          <w:rFonts w:cs="Times New Roman"/>
          <w:color w:val="000000"/>
          <w:szCs w:val="24"/>
          <w:lang w:eastAsia="lv-LV"/>
        </w:rPr>
        <w:t xml:space="preserve"> par</w:t>
      </w:r>
      <w:r>
        <w:rPr>
          <w:rFonts w:cs="Times New Roman"/>
          <w:color w:val="000000"/>
          <w:szCs w:val="24"/>
          <w:lang w:eastAsia="lv-LV"/>
        </w:rPr>
        <w:t xml:space="preserve"> </w:t>
      </w:r>
      <w:r w:rsidRPr="00A93CED">
        <w:rPr>
          <w:rFonts w:cs="Times New Roman"/>
          <w:color w:val="000000"/>
          <w:szCs w:val="24"/>
          <w:lang w:eastAsia="lv-LV"/>
        </w:rPr>
        <w:t>Kriminālprocesa likuma 25.</w:t>
      </w:r>
      <w:r>
        <w:rPr>
          <w:rFonts w:cs="Times New Roman"/>
          <w:color w:val="000000"/>
          <w:szCs w:val="24"/>
          <w:lang w:eastAsia="lv-LV"/>
        </w:rPr>
        <w:t> </w:t>
      </w:r>
      <w:r w:rsidRPr="00A93CED">
        <w:rPr>
          <w:rFonts w:cs="Times New Roman"/>
          <w:color w:val="000000"/>
          <w:szCs w:val="24"/>
          <w:lang w:eastAsia="lv-LV"/>
        </w:rPr>
        <w:t>pantā noteiktā dubultās sodīšanas principa pārkāpumu</w:t>
      </w:r>
      <w:r>
        <w:rPr>
          <w:rFonts w:cs="Times New Roman"/>
          <w:color w:val="000000"/>
          <w:szCs w:val="24"/>
          <w:lang w:eastAsia="lv-LV"/>
        </w:rPr>
        <w:t xml:space="preserve"> vai nepamatotu galīgā soda noteikšanu pēc noziedzīgu nodarījumu vai spriedumu kopības, t.</w:t>
      </w:r>
      <w:r w:rsidR="00FA4462">
        <w:rPr>
          <w:rFonts w:cs="Times New Roman"/>
          <w:color w:val="000000"/>
          <w:szCs w:val="24"/>
          <w:lang w:eastAsia="lv-LV"/>
        </w:rPr>
        <w:t> </w:t>
      </w:r>
      <w:r>
        <w:rPr>
          <w:rFonts w:cs="Times New Roman"/>
          <w:color w:val="000000"/>
          <w:szCs w:val="24"/>
          <w:lang w:eastAsia="lv-LV"/>
        </w:rPr>
        <w:t>i., pēc Krimināllikuma 50. vai 51. panta)</w:t>
      </w:r>
      <w:r>
        <w:rPr>
          <w:rFonts w:cs="Times New Roman"/>
          <w:i/>
          <w:iCs/>
          <w:color w:val="000000"/>
          <w:szCs w:val="24"/>
          <w:lang w:eastAsia="lv-LV"/>
        </w:rPr>
        <w:t>.</w:t>
      </w:r>
    </w:p>
    <w:p w14:paraId="2B1AFA0F" w14:textId="274B7C15" w:rsidR="00E51A5A" w:rsidRPr="00BE187D" w:rsidRDefault="00E51A5A" w:rsidP="00BE187D">
      <w:pPr>
        <w:pStyle w:val="ListParagraph"/>
        <w:spacing w:after="0" w:line="240" w:lineRule="auto"/>
        <w:ind w:left="0" w:firstLine="709"/>
        <w:jc w:val="both"/>
        <w:rPr>
          <w:rFonts w:cs="Times New Roman"/>
          <w:color w:val="000000"/>
          <w:szCs w:val="24"/>
          <w:lang w:eastAsia="lv-LV"/>
        </w:rPr>
      </w:pPr>
      <w:r>
        <w:rPr>
          <w:rFonts w:cs="Times New Roman"/>
          <w:color w:val="000000"/>
          <w:szCs w:val="24"/>
          <w:lang w:eastAsia="lv-LV"/>
        </w:rPr>
        <w:t xml:space="preserve">2020. gadā Senātā </w:t>
      </w:r>
      <w:r w:rsidR="005B65EE">
        <w:rPr>
          <w:rFonts w:cs="Times New Roman"/>
          <w:color w:val="000000"/>
          <w:szCs w:val="24"/>
          <w:lang w:eastAsia="lv-LV"/>
        </w:rPr>
        <w:t xml:space="preserve">tika </w:t>
      </w:r>
      <w:r w:rsidRPr="00BE187D">
        <w:rPr>
          <w:rFonts w:cs="Times New Roman"/>
          <w:color w:val="000000"/>
          <w:szCs w:val="24"/>
          <w:lang w:eastAsia="lv-LV"/>
        </w:rPr>
        <w:t>izskatīti 30 protesti</w:t>
      </w:r>
      <w:r>
        <w:rPr>
          <w:rFonts w:cs="Times New Roman"/>
          <w:color w:val="000000"/>
          <w:szCs w:val="24"/>
          <w:lang w:eastAsia="lv-LV"/>
        </w:rPr>
        <w:t xml:space="preserve"> Kriminālprocesa likuma 63. nodaļas kārtībā un </w:t>
      </w:r>
      <w:r w:rsidRPr="00BE187D">
        <w:rPr>
          <w:rFonts w:cs="Times New Roman"/>
          <w:color w:val="000000"/>
          <w:szCs w:val="24"/>
          <w:lang w:eastAsia="lv-LV"/>
        </w:rPr>
        <w:t xml:space="preserve">visi tika apmierināti.  </w:t>
      </w:r>
    </w:p>
    <w:p w14:paraId="44F7D137" w14:textId="77777777" w:rsidR="00E51A5A" w:rsidRDefault="00E51A5A" w:rsidP="0063684A">
      <w:pPr>
        <w:spacing w:after="0" w:line="240" w:lineRule="auto"/>
        <w:jc w:val="both"/>
        <w:rPr>
          <w:rFonts w:cs="Times New Roman"/>
          <w:color w:val="000000"/>
          <w:szCs w:val="24"/>
          <w:lang w:eastAsia="lv-LV"/>
        </w:rPr>
      </w:pPr>
    </w:p>
    <w:p w14:paraId="7221F48F" w14:textId="6654D546" w:rsidR="00E51A5A" w:rsidRPr="008E7BEA" w:rsidRDefault="00E51A5A" w:rsidP="00E329FC">
      <w:pPr>
        <w:pStyle w:val="ListParagraph"/>
        <w:numPr>
          <w:ilvl w:val="0"/>
          <w:numId w:val="15"/>
        </w:numPr>
        <w:spacing w:after="0" w:line="240" w:lineRule="auto"/>
        <w:rPr>
          <w:rFonts w:cs="Times New Roman"/>
          <w:color w:val="000000"/>
          <w:szCs w:val="24"/>
          <w:lang w:eastAsia="lv-LV"/>
        </w:rPr>
      </w:pPr>
      <w:r>
        <w:rPr>
          <w:rFonts w:cs="Times New Roman"/>
          <w:b/>
          <w:bCs/>
          <w:color w:val="000000"/>
          <w:szCs w:val="24"/>
          <w:lang w:eastAsia="lv-LV"/>
        </w:rPr>
        <w:t>Piedalīšanās krimināllietu izskatīšanā kasācijas instanc</w:t>
      </w:r>
      <w:r w:rsidR="00FA4462">
        <w:rPr>
          <w:rFonts w:cs="Times New Roman"/>
          <w:b/>
          <w:bCs/>
          <w:color w:val="000000"/>
          <w:szCs w:val="24"/>
          <w:lang w:eastAsia="lv-LV"/>
        </w:rPr>
        <w:t>es tiesā</w:t>
      </w:r>
    </w:p>
    <w:p w14:paraId="1BAFFA07" w14:textId="77777777" w:rsidR="00E51A5A" w:rsidRPr="008E7BEA" w:rsidRDefault="00E51A5A" w:rsidP="00E51A5A">
      <w:pPr>
        <w:pStyle w:val="ListParagraph"/>
        <w:spacing w:after="0" w:line="240" w:lineRule="auto"/>
        <w:jc w:val="both"/>
        <w:rPr>
          <w:rFonts w:cs="Times New Roman"/>
          <w:color w:val="000000"/>
          <w:szCs w:val="24"/>
          <w:lang w:eastAsia="lv-LV"/>
        </w:rPr>
      </w:pPr>
    </w:p>
    <w:p w14:paraId="49179D8F" w14:textId="5E89DAF2" w:rsidR="00E51A5A" w:rsidRDefault="00E51A5A" w:rsidP="00916CC1">
      <w:pPr>
        <w:pStyle w:val="ListParagraph"/>
        <w:spacing w:after="0" w:line="240" w:lineRule="auto"/>
        <w:ind w:left="0"/>
        <w:jc w:val="center"/>
        <w:rPr>
          <w:rFonts w:cs="Times New Roman"/>
          <w:b/>
          <w:bCs/>
          <w:color w:val="000000"/>
          <w:szCs w:val="24"/>
          <w:lang w:eastAsia="lv-LV"/>
        </w:rPr>
      </w:pPr>
      <w:r>
        <w:rPr>
          <w:rFonts w:cs="Times New Roman"/>
          <w:b/>
          <w:bCs/>
          <w:noProof/>
          <w:color w:val="000000"/>
          <w:szCs w:val="24"/>
          <w:lang w:eastAsia="lv-LV"/>
        </w:rPr>
        <w:drawing>
          <wp:inline distT="0" distB="0" distL="0" distR="0" wp14:anchorId="23DB325B" wp14:editId="21537C01">
            <wp:extent cx="5041900" cy="1574800"/>
            <wp:effectExtent l="0" t="0" r="6350" b="6350"/>
            <wp:docPr id="186" name="Chart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2A044793" w14:textId="77777777" w:rsidR="00E51A5A" w:rsidRDefault="00E51A5A" w:rsidP="00EF6881">
      <w:pPr>
        <w:pStyle w:val="ListParagraph"/>
        <w:spacing w:after="0" w:line="240" w:lineRule="auto"/>
        <w:jc w:val="both"/>
        <w:rPr>
          <w:rFonts w:cs="Times New Roman"/>
          <w:color w:val="000000"/>
          <w:szCs w:val="24"/>
          <w:lang w:eastAsia="lv-LV"/>
        </w:rPr>
      </w:pPr>
    </w:p>
    <w:p w14:paraId="6500DAC3" w14:textId="5B01806B" w:rsidR="001F2C4E" w:rsidRDefault="00E51A5A" w:rsidP="0063684A">
      <w:pPr>
        <w:pStyle w:val="ListParagraph"/>
        <w:spacing w:after="0" w:line="240" w:lineRule="auto"/>
        <w:ind w:left="0" w:firstLine="709"/>
        <w:jc w:val="both"/>
        <w:rPr>
          <w:rFonts w:cs="Times New Roman"/>
          <w:color w:val="000000"/>
          <w:szCs w:val="24"/>
          <w:lang w:eastAsia="lv-LV"/>
        </w:rPr>
      </w:pPr>
      <w:r w:rsidRPr="00577BF3">
        <w:rPr>
          <w:rFonts w:cs="Times New Roman"/>
          <w:color w:val="000000"/>
          <w:szCs w:val="24"/>
          <w:lang w:eastAsia="lv-LV"/>
        </w:rPr>
        <w:t xml:space="preserve">Ņemot vērā, ka Senāta Krimināllietu departamentā gandrīz visas </w:t>
      </w:r>
      <w:r w:rsidR="00237261">
        <w:rPr>
          <w:rFonts w:cs="Times New Roman"/>
          <w:color w:val="000000"/>
          <w:szCs w:val="24"/>
          <w:lang w:eastAsia="lv-LV"/>
        </w:rPr>
        <w:t>krimināl</w:t>
      </w:r>
      <w:r w:rsidRPr="00577BF3">
        <w:rPr>
          <w:rFonts w:cs="Times New Roman"/>
          <w:color w:val="000000"/>
          <w:szCs w:val="24"/>
          <w:lang w:eastAsia="lv-LV"/>
        </w:rPr>
        <w:t>lietas tiek skatītas rakstveida procesā</w:t>
      </w:r>
      <w:r>
        <w:rPr>
          <w:rFonts w:cs="Times New Roman"/>
          <w:color w:val="000000"/>
          <w:szCs w:val="24"/>
          <w:lang w:eastAsia="lv-LV"/>
        </w:rPr>
        <w:t xml:space="preserve"> un </w:t>
      </w:r>
      <w:r w:rsidRPr="00577BF3">
        <w:rPr>
          <w:rFonts w:cs="Times New Roman"/>
          <w:color w:val="000000"/>
          <w:szCs w:val="24"/>
          <w:lang w:eastAsia="lv-LV"/>
        </w:rPr>
        <w:t>senatori neizmanto Kriminālprocesa likuma 585. panta otrajā daļā paredzēt</w:t>
      </w:r>
      <w:r>
        <w:rPr>
          <w:rFonts w:cs="Times New Roman"/>
          <w:color w:val="000000"/>
          <w:szCs w:val="24"/>
          <w:lang w:eastAsia="lv-LV"/>
        </w:rPr>
        <w:t>ās</w:t>
      </w:r>
      <w:r w:rsidRPr="00577BF3">
        <w:rPr>
          <w:rFonts w:cs="Times New Roman"/>
          <w:color w:val="000000"/>
          <w:szCs w:val="24"/>
          <w:lang w:eastAsia="lv-LV"/>
        </w:rPr>
        <w:t xml:space="preserve"> tiesīb</w:t>
      </w:r>
      <w:r>
        <w:rPr>
          <w:rFonts w:cs="Times New Roman"/>
          <w:color w:val="000000"/>
          <w:szCs w:val="24"/>
          <w:lang w:eastAsia="lv-LV"/>
        </w:rPr>
        <w:t>as</w:t>
      </w:r>
      <w:r w:rsidRPr="00577BF3">
        <w:rPr>
          <w:rFonts w:cs="Times New Roman"/>
          <w:color w:val="000000"/>
          <w:szCs w:val="24"/>
          <w:lang w:eastAsia="lv-LV"/>
        </w:rPr>
        <w:t xml:space="preserve"> pieprasīt prokuroram sniegt viedokli, </w:t>
      </w:r>
      <w:bookmarkStart w:id="46" w:name="_Hlk64118309"/>
      <w:r>
        <w:rPr>
          <w:rFonts w:cs="Times New Roman"/>
          <w:color w:val="000000"/>
          <w:szCs w:val="24"/>
          <w:lang w:eastAsia="lv-LV"/>
        </w:rPr>
        <w:t xml:space="preserve">Tiesās izskatāmo krimināllietu </w:t>
      </w:r>
      <w:bookmarkEnd w:id="46"/>
      <w:r w:rsidRPr="00577BF3">
        <w:rPr>
          <w:rFonts w:cs="Times New Roman"/>
          <w:color w:val="000000"/>
          <w:szCs w:val="24"/>
          <w:lang w:eastAsia="lv-LV"/>
        </w:rPr>
        <w:t xml:space="preserve">nodaļas prokurori </w:t>
      </w:r>
      <w:r>
        <w:rPr>
          <w:rFonts w:cs="Times New Roman"/>
          <w:color w:val="000000"/>
          <w:szCs w:val="24"/>
          <w:lang w:eastAsia="lv-LV"/>
        </w:rPr>
        <w:t xml:space="preserve">2020. gadā </w:t>
      </w:r>
      <w:r w:rsidRPr="00577BF3">
        <w:rPr>
          <w:rFonts w:cs="Times New Roman"/>
          <w:color w:val="000000"/>
          <w:szCs w:val="24"/>
          <w:lang w:eastAsia="lv-LV"/>
        </w:rPr>
        <w:t>snieguši</w:t>
      </w:r>
      <w:r>
        <w:rPr>
          <w:rFonts w:cs="Times New Roman"/>
          <w:color w:val="000000"/>
          <w:szCs w:val="24"/>
          <w:lang w:eastAsia="lv-LV"/>
        </w:rPr>
        <w:t xml:space="preserve"> tikai</w:t>
      </w:r>
      <w:r w:rsidRPr="00577BF3">
        <w:rPr>
          <w:rFonts w:cs="Times New Roman"/>
          <w:b/>
          <w:bCs/>
          <w:color w:val="000000"/>
          <w:szCs w:val="24"/>
          <w:lang w:eastAsia="lv-LV"/>
        </w:rPr>
        <w:t xml:space="preserve"> 3 </w:t>
      </w:r>
      <w:r w:rsidRPr="00577BF3">
        <w:rPr>
          <w:rFonts w:cs="Times New Roman"/>
          <w:color w:val="000000"/>
          <w:szCs w:val="24"/>
          <w:lang w:eastAsia="lv-LV"/>
        </w:rPr>
        <w:t>viedokļus un piedalījušies</w:t>
      </w:r>
      <w:r w:rsidRPr="00577BF3">
        <w:rPr>
          <w:rFonts w:cs="Times New Roman"/>
          <w:b/>
          <w:bCs/>
          <w:color w:val="000000"/>
          <w:szCs w:val="24"/>
          <w:lang w:eastAsia="lv-LV"/>
        </w:rPr>
        <w:t xml:space="preserve"> </w:t>
      </w:r>
      <w:r w:rsidRPr="00D156A9">
        <w:rPr>
          <w:rFonts w:cs="Times New Roman"/>
          <w:b/>
          <w:bCs/>
          <w:color w:val="000000"/>
          <w:szCs w:val="24"/>
          <w:lang w:eastAsia="lv-LV"/>
        </w:rPr>
        <w:t>1</w:t>
      </w:r>
      <w:r>
        <w:rPr>
          <w:rFonts w:cs="Times New Roman"/>
          <w:color w:val="000000"/>
          <w:szCs w:val="24"/>
          <w:lang w:eastAsia="lv-LV"/>
        </w:rPr>
        <w:t> krimināl</w:t>
      </w:r>
      <w:r w:rsidRPr="0081130B">
        <w:rPr>
          <w:rFonts w:cs="Times New Roman"/>
          <w:color w:val="000000"/>
          <w:szCs w:val="24"/>
          <w:lang w:eastAsia="lv-LV"/>
        </w:rPr>
        <w:t>lietas</w:t>
      </w:r>
      <w:r w:rsidRPr="00577BF3">
        <w:rPr>
          <w:rFonts w:cs="Times New Roman"/>
          <w:color w:val="000000"/>
          <w:szCs w:val="24"/>
          <w:lang w:eastAsia="lv-LV"/>
        </w:rPr>
        <w:t xml:space="preserve"> izskatīšanā Senātā.</w:t>
      </w:r>
    </w:p>
    <w:p w14:paraId="4EDAC04F" w14:textId="77777777" w:rsidR="001F2C4E" w:rsidRPr="0061322A" w:rsidRDefault="001F2C4E" w:rsidP="0063684A">
      <w:pPr>
        <w:spacing w:after="0" w:line="240" w:lineRule="auto"/>
        <w:jc w:val="both"/>
        <w:rPr>
          <w:rFonts w:cs="Times New Roman"/>
          <w:color w:val="000000"/>
          <w:szCs w:val="24"/>
          <w:lang w:eastAsia="lv-LV"/>
        </w:rPr>
      </w:pPr>
    </w:p>
    <w:p w14:paraId="0034169C" w14:textId="5A878D70" w:rsidR="00E51A5A" w:rsidRDefault="00E51A5A" w:rsidP="00E329FC">
      <w:pPr>
        <w:pStyle w:val="ListParagraph"/>
        <w:numPr>
          <w:ilvl w:val="0"/>
          <w:numId w:val="15"/>
        </w:numPr>
        <w:spacing w:after="0" w:line="240" w:lineRule="auto"/>
        <w:rPr>
          <w:rFonts w:cs="Times New Roman"/>
          <w:color w:val="000000"/>
          <w:szCs w:val="24"/>
          <w:lang w:eastAsia="lv-LV"/>
        </w:rPr>
      </w:pPr>
      <w:r>
        <w:rPr>
          <w:rFonts w:cs="Times New Roman"/>
          <w:b/>
          <w:bCs/>
          <w:color w:val="000000"/>
          <w:szCs w:val="24"/>
          <w:lang w:eastAsia="lv-LV"/>
        </w:rPr>
        <w:t xml:space="preserve">Atzinumu par </w:t>
      </w:r>
      <w:r w:rsidR="00F62B7E">
        <w:rPr>
          <w:rFonts w:cs="Times New Roman"/>
          <w:b/>
          <w:bCs/>
          <w:color w:val="000000"/>
          <w:szCs w:val="24"/>
          <w:lang w:eastAsia="lv-LV"/>
        </w:rPr>
        <w:t xml:space="preserve">apsūdzēto </w:t>
      </w:r>
      <w:r>
        <w:rPr>
          <w:rFonts w:cs="Times New Roman"/>
          <w:b/>
          <w:bCs/>
          <w:color w:val="000000"/>
          <w:szCs w:val="24"/>
          <w:lang w:eastAsia="lv-LV"/>
        </w:rPr>
        <w:t>attaisnošanas iemesliem sagatavošana</w:t>
      </w:r>
    </w:p>
    <w:p w14:paraId="69541AB0" w14:textId="77777777" w:rsidR="00E51A5A" w:rsidRDefault="00E51A5A" w:rsidP="00E51A5A">
      <w:pPr>
        <w:pStyle w:val="ListParagraph"/>
        <w:spacing w:after="0" w:line="240" w:lineRule="auto"/>
        <w:jc w:val="both"/>
        <w:rPr>
          <w:rFonts w:cs="Times New Roman"/>
          <w:color w:val="000000"/>
          <w:szCs w:val="24"/>
          <w:lang w:eastAsia="lv-LV"/>
        </w:rPr>
      </w:pPr>
    </w:p>
    <w:p w14:paraId="4A74E4A0" w14:textId="3871DF13" w:rsidR="00E51A5A" w:rsidRDefault="00E51A5A" w:rsidP="00916CC1">
      <w:pPr>
        <w:pStyle w:val="ListParagraph"/>
        <w:spacing w:after="0" w:line="240" w:lineRule="auto"/>
        <w:ind w:left="0"/>
        <w:jc w:val="center"/>
        <w:rPr>
          <w:rFonts w:cs="Times New Roman"/>
          <w:color w:val="000000"/>
          <w:szCs w:val="24"/>
          <w:lang w:eastAsia="lv-LV"/>
        </w:rPr>
      </w:pPr>
      <w:r>
        <w:rPr>
          <w:noProof/>
        </w:rPr>
        <w:drawing>
          <wp:inline distT="0" distB="0" distL="0" distR="0" wp14:anchorId="274C847E" wp14:editId="3CF8D0F3">
            <wp:extent cx="5048250" cy="1565564"/>
            <wp:effectExtent l="0" t="0" r="0" b="15875"/>
            <wp:docPr id="187" name="Chart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03879B5F" w14:textId="77777777" w:rsidR="000D4222" w:rsidRPr="00EF6881" w:rsidRDefault="000D4222" w:rsidP="000D4222">
      <w:pPr>
        <w:pStyle w:val="ListParagraph"/>
        <w:spacing w:after="0" w:line="240" w:lineRule="auto"/>
        <w:ind w:left="0"/>
        <w:rPr>
          <w:rFonts w:cs="Times New Roman"/>
          <w:color w:val="000000"/>
          <w:szCs w:val="24"/>
          <w:lang w:eastAsia="lv-LV"/>
        </w:rPr>
      </w:pPr>
    </w:p>
    <w:p w14:paraId="0173BCF3" w14:textId="675C0925" w:rsidR="00E51A5A" w:rsidRDefault="00E51A5A" w:rsidP="00E51A5A">
      <w:pPr>
        <w:pStyle w:val="ListParagraph"/>
        <w:spacing w:after="0" w:line="240" w:lineRule="auto"/>
        <w:ind w:left="0" w:firstLine="709"/>
        <w:jc w:val="both"/>
        <w:rPr>
          <w:rFonts w:cs="Times New Roman"/>
          <w:color w:val="000000"/>
          <w:szCs w:val="24"/>
          <w:lang w:eastAsia="lv-LV"/>
        </w:rPr>
      </w:pPr>
      <w:r w:rsidRPr="00E25F90">
        <w:rPr>
          <w:rFonts w:cs="Times New Roman"/>
          <w:color w:val="000000"/>
          <w:szCs w:val="24"/>
          <w:lang w:eastAsia="lv-LV"/>
        </w:rPr>
        <w:lastRenderedPageBreak/>
        <w:t>Tiesās izskatāmo krimināllietu nodaļā sagatavoti</w:t>
      </w:r>
      <w:r>
        <w:rPr>
          <w:rFonts w:cs="Times New Roman"/>
          <w:color w:val="000000"/>
          <w:szCs w:val="24"/>
          <w:lang w:eastAsia="lv-LV"/>
        </w:rPr>
        <w:t xml:space="preserve"> </w:t>
      </w:r>
      <w:r w:rsidRPr="00EF6881">
        <w:rPr>
          <w:rFonts w:cs="Times New Roman"/>
          <w:color w:val="000000"/>
          <w:szCs w:val="24"/>
          <w:lang w:eastAsia="lv-LV"/>
        </w:rPr>
        <w:t>50</w:t>
      </w:r>
      <w:r w:rsidRPr="00E25F90">
        <w:rPr>
          <w:rFonts w:cs="Times New Roman"/>
          <w:b/>
          <w:bCs/>
          <w:color w:val="000000"/>
          <w:szCs w:val="24"/>
          <w:lang w:eastAsia="lv-LV"/>
        </w:rPr>
        <w:t> </w:t>
      </w:r>
      <w:r w:rsidRPr="00E25F90">
        <w:rPr>
          <w:rFonts w:cs="Times New Roman"/>
          <w:color w:val="000000"/>
          <w:szCs w:val="24"/>
          <w:lang w:eastAsia="lv-LV"/>
        </w:rPr>
        <w:t>atzinumi par apsūdzēto attaisnošanas (</w:t>
      </w:r>
      <w:r w:rsidRPr="00EF6881">
        <w:rPr>
          <w:rFonts w:cs="Times New Roman"/>
          <w:color w:val="000000"/>
          <w:szCs w:val="24"/>
          <w:lang w:eastAsia="lv-LV"/>
        </w:rPr>
        <w:t>40</w:t>
      </w:r>
      <w:r w:rsidRPr="00E25F90">
        <w:rPr>
          <w:rFonts w:cs="Times New Roman"/>
          <w:color w:val="000000"/>
          <w:szCs w:val="24"/>
          <w:lang w:eastAsia="lv-LV"/>
        </w:rPr>
        <w:t> krimināllietās) vai prokurora atteikšanās no</w:t>
      </w:r>
      <w:r w:rsidR="00FA4462">
        <w:rPr>
          <w:rFonts w:cs="Times New Roman"/>
          <w:color w:val="000000"/>
          <w:szCs w:val="24"/>
          <w:lang w:eastAsia="lv-LV"/>
        </w:rPr>
        <w:t xml:space="preserve"> </w:t>
      </w:r>
      <w:r w:rsidRPr="00E25F90">
        <w:rPr>
          <w:rFonts w:cs="Times New Roman"/>
          <w:color w:val="000000"/>
          <w:szCs w:val="24"/>
          <w:lang w:eastAsia="lv-LV"/>
        </w:rPr>
        <w:t>apsūdzības</w:t>
      </w:r>
      <w:r w:rsidR="00FA4462">
        <w:rPr>
          <w:rFonts w:cs="Times New Roman"/>
          <w:color w:val="000000"/>
          <w:szCs w:val="24"/>
          <w:lang w:eastAsia="lv-LV"/>
        </w:rPr>
        <w:t xml:space="preserve"> </w:t>
      </w:r>
      <w:r w:rsidRPr="00E25F90">
        <w:rPr>
          <w:rFonts w:cs="Times New Roman"/>
          <w:color w:val="000000"/>
          <w:szCs w:val="24"/>
          <w:lang w:eastAsia="lv-LV"/>
        </w:rPr>
        <w:t>(</w:t>
      </w:r>
      <w:r w:rsidRPr="00EF6881">
        <w:rPr>
          <w:rFonts w:cs="Times New Roman"/>
          <w:color w:val="000000"/>
          <w:szCs w:val="24"/>
          <w:lang w:eastAsia="lv-LV"/>
        </w:rPr>
        <w:t>10</w:t>
      </w:r>
      <w:r>
        <w:rPr>
          <w:rFonts w:cs="Times New Roman"/>
          <w:color w:val="000000"/>
          <w:szCs w:val="24"/>
          <w:lang w:eastAsia="lv-LV"/>
        </w:rPr>
        <w:t> </w:t>
      </w:r>
      <w:r w:rsidRPr="00E25F90">
        <w:rPr>
          <w:rFonts w:cs="Times New Roman"/>
          <w:color w:val="000000"/>
          <w:szCs w:val="24"/>
          <w:lang w:eastAsia="lv-LV"/>
        </w:rPr>
        <w:t>krimināllietās) iemesliem kopumā par</w:t>
      </w:r>
      <w:r w:rsidRPr="00E25F90">
        <w:rPr>
          <w:rFonts w:cs="Times New Roman"/>
          <w:b/>
          <w:bCs/>
          <w:color w:val="000000"/>
          <w:szCs w:val="24"/>
          <w:lang w:eastAsia="lv-LV"/>
        </w:rPr>
        <w:t xml:space="preserve"> </w:t>
      </w:r>
      <w:r w:rsidRPr="00EF6881">
        <w:rPr>
          <w:rFonts w:cs="Times New Roman"/>
          <w:color w:val="000000"/>
          <w:szCs w:val="24"/>
          <w:lang w:eastAsia="lv-LV"/>
        </w:rPr>
        <w:t>59</w:t>
      </w:r>
      <w:r w:rsidRPr="00E25F90">
        <w:rPr>
          <w:rFonts w:cs="Times New Roman"/>
          <w:b/>
          <w:bCs/>
          <w:color w:val="000000"/>
          <w:szCs w:val="24"/>
          <w:lang w:eastAsia="lv-LV"/>
        </w:rPr>
        <w:t> </w:t>
      </w:r>
      <w:r w:rsidR="00FA4462">
        <w:rPr>
          <w:rFonts w:cs="Times New Roman"/>
          <w:color w:val="000000"/>
          <w:szCs w:val="24"/>
          <w:lang w:eastAsia="lv-LV"/>
        </w:rPr>
        <w:t>apsūdzētaj</w:t>
      </w:r>
      <w:r w:rsidR="00933914">
        <w:rPr>
          <w:rFonts w:cs="Times New Roman"/>
          <w:color w:val="000000"/>
          <w:szCs w:val="24"/>
          <w:lang w:eastAsia="lv-LV"/>
        </w:rPr>
        <w:t>iem</w:t>
      </w:r>
      <w:r>
        <w:rPr>
          <w:rFonts w:cs="Times New Roman"/>
          <w:color w:val="000000"/>
          <w:szCs w:val="24"/>
          <w:lang w:eastAsia="lv-LV"/>
        </w:rPr>
        <w:t>.</w:t>
      </w:r>
    </w:p>
    <w:p w14:paraId="50245C31" w14:textId="77777777" w:rsidR="00E51A5A" w:rsidRDefault="00E51A5A" w:rsidP="00E51A5A">
      <w:pPr>
        <w:pStyle w:val="ListParagraph"/>
        <w:spacing w:after="0" w:line="240" w:lineRule="auto"/>
        <w:jc w:val="both"/>
        <w:rPr>
          <w:rFonts w:cs="Times New Roman"/>
          <w:color w:val="000000"/>
          <w:szCs w:val="24"/>
          <w:lang w:eastAsia="lv-LV"/>
        </w:rPr>
      </w:pPr>
    </w:p>
    <w:p w14:paraId="1DF19A32" w14:textId="3074D3AB" w:rsidR="00E51A5A" w:rsidRPr="004B6DBA" w:rsidRDefault="00E51A5A" w:rsidP="00916CC1">
      <w:pPr>
        <w:pStyle w:val="ListParagraph"/>
        <w:spacing w:after="0" w:line="240" w:lineRule="auto"/>
        <w:ind w:left="0"/>
        <w:jc w:val="center"/>
        <w:rPr>
          <w:rFonts w:cs="Times New Roman"/>
          <w:b/>
          <w:bCs/>
          <w:color w:val="000000"/>
          <w:szCs w:val="24"/>
          <w:lang w:eastAsia="lv-LV"/>
        </w:rPr>
      </w:pPr>
      <w:r>
        <w:rPr>
          <w:rFonts w:cs="Times New Roman"/>
          <w:b/>
          <w:bCs/>
          <w:noProof/>
          <w:color w:val="000000"/>
          <w:szCs w:val="24"/>
          <w:lang w:eastAsia="lv-LV"/>
        </w:rPr>
        <w:drawing>
          <wp:inline distT="0" distB="0" distL="0" distR="0" wp14:anchorId="7D93871F" wp14:editId="4E3E5C22">
            <wp:extent cx="4997450" cy="2819400"/>
            <wp:effectExtent l="0" t="0" r="12700" b="0"/>
            <wp:docPr id="188" name="Chart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58B53FA9" w14:textId="77777777" w:rsidR="00E51A5A" w:rsidRPr="00E25F90" w:rsidRDefault="00E51A5A" w:rsidP="00E51A5A">
      <w:pPr>
        <w:pStyle w:val="ListParagraph"/>
        <w:spacing w:after="0" w:line="240" w:lineRule="auto"/>
        <w:jc w:val="both"/>
        <w:rPr>
          <w:rFonts w:cs="Times New Roman"/>
          <w:color w:val="000000"/>
          <w:szCs w:val="24"/>
          <w:lang w:eastAsia="lv-LV"/>
        </w:rPr>
      </w:pPr>
    </w:p>
    <w:p w14:paraId="3C582BE2" w14:textId="7FD87A34" w:rsidR="00E51A5A" w:rsidRDefault="00E51A5A" w:rsidP="00E51A5A">
      <w:pPr>
        <w:spacing w:after="0" w:line="240" w:lineRule="auto"/>
        <w:ind w:firstLine="714"/>
        <w:jc w:val="both"/>
        <w:rPr>
          <w:rFonts w:cs="Times New Roman"/>
          <w:color w:val="000000"/>
          <w:szCs w:val="24"/>
        </w:rPr>
      </w:pPr>
      <w:r w:rsidRPr="006E6CB6">
        <w:rPr>
          <w:rFonts w:cs="Times New Roman"/>
          <w:color w:val="000000"/>
          <w:szCs w:val="24"/>
        </w:rPr>
        <w:t>A</w:t>
      </w:r>
      <w:r w:rsidR="00F62B7E">
        <w:rPr>
          <w:rFonts w:cs="Times New Roman"/>
          <w:color w:val="000000"/>
          <w:szCs w:val="24"/>
        </w:rPr>
        <w:t>psūdzēto a</w:t>
      </w:r>
      <w:r w:rsidRPr="006E6CB6">
        <w:rPr>
          <w:rFonts w:cs="Times New Roman"/>
          <w:color w:val="000000"/>
          <w:szCs w:val="24"/>
        </w:rPr>
        <w:t xml:space="preserve">ttaisnošanas pamatā 40 </w:t>
      </w:r>
      <w:r w:rsidR="00BC68B2">
        <w:rPr>
          <w:rFonts w:cs="Times New Roman"/>
          <w:color w:val="000000"/>
          <w:szCs w:val="24"/>
        </w:rPr>
        <w:t>krimināl</w:t>
      </w:r>
      <w:r w:rsidRPr="006E6CB6">
        <w:rPr>
          <w:rFonts w:cs="Times New Roman"/>
          <w:color w:val="000000"/>
          <w:szCs w:val="24"/>
        </w:rPr>
        <w:t>lietās: dažāds prokuroru un tiesu pierādījumu vērtējums, to pieļaujamība un no tiem izdarītie secinājumi, t.</w:t>
      </w:r>
      <w:r w:rsidR="00151C89">
        <w:rPr>
          <w:rFonts w:cs="Times New Roman"/>
          <w:color w:val="000000"/>
          <w:szCs w:val="24"/>
        </w:rPr>
        <w:t> </w:t>
      </w:r>
      <w:r w:rsidRPr="006E6CB6">
        <w:rPr>
          <w:rFonts w:cs="Times New Roman"/>
          <w:color w:val="000000"/>
          <w:szCs w:val="24"/>
        </w:rPr>
        <w:t xml:space="preserve">sk. par noziedzīga nodarījuma sastāvu </w:t>
      </w:r>
      <w:r w:rsidR="006D0B93">
        <w:rPr>
          <w:rFonts w:cs="Times New Roman"/>
          <w:color w:val="000000"/>
          <w:szCs w:val="24"/>
        </w:rPr>
        <w:t>–</w:t>
      </w:r>
      <w:r w:rsidRPr="006E6CB6">
        <w:rPr>
          <w:rFonts w:cs="Times New Roman"/>
          <w:color w:val="000000"/>
          <w:szCs w:val="24"/>
        </w:rPr>
        <w:t xml:space="preserve"> 32</w:t>
      </w:r>
      <w:r w:rsidR="006D0B93">
        <w:rPr>
          <w:rFonts w:cs="Times New Roman"/>
          <w:color w:val="000000"/>
          <w:szCs w:val="24"/>
        </w:rPr>
        <w:t>;</w:t>
      </w:r>
      <w:r w:rsidRPr="006E6CB6">
        <w:rPr>
          <w:rFonts w:cs="Times New Roman"/>
          <w:color w:val="000000"/>
          <w:szCs w:val="24"/>
        </w:rPr>
        <w:t xml:space="preserve"> trūkumi un nepilnības pieļautas pirmstiesas procesa laikā - 5; judikatūrās nostiprināto atziņu nepiemērošana - 1; trūkumi lēmumā par personas saukšanu pie kriminālatbildības – 2.</w:t>
      </w:r>
    </w:p>
    <w:p w14:paraId="1D984FC0" w14:textId="78E92092" w:rsidR="00E51A5A" w:rsidRPr="006E6CB6" w:rsidRDefault="00E51A5A" w:rsidP="00E51A5A">
      <w:pPr>
        <w:spacing w:after="0" w:line="240" w:lineRule="auto"/>
        <w:ind w:firstLine="714"/>
        <w:jc w:val="both"/>
        <w:rPr>
          <w:rFonts w:cs="Times New Roman"/>
          <w:color w:val="000000"/>
          <w:szCs w:val="24"/>
        </w:rPr>
      </w:pPr>
    </w:p>
    <w:p w14:paraId="773839A3" w14:textId="22938AC2" w:rsidR="00E51A5A" w:rsidRPr="00F875A4" w:rsidRDefault="00E51A5A" w:rsidP="00916CC1">
      <w:pPr>
        <w:spacing w:after="0" w:line="240" w:lineRule="auto"/>
        <w:jc w:val="center"/>
        <w:rPr>
          <w:rFonts w:cs="Times New Roman"/>
          <w:color w:val="000000"/>
          <w:szCs w:val="24"/>
        </w:rPr>
      </w:pPr>
      <w:r>
        <w:rPr>
          <w:rFonts w:cs="Times New Roman"/>
          <w:b/>
          <w:bCs/>
          <w:noProof/>
          <w:color w:val="000000"/>
          <w:szCs w:val="24"/>
          <w:lang w:eastAsia="lv-LV"/>
        </w:rPr>
        <w:drawing>
          <wp:inline distT="0" distB="0" distL="0" distR="0" wp14:anchorId="4A26E6C1" wp14:editId="7C55B255">
            <wp:extent cx="5010150" cy="3020291"/>
            <wp:effectExtent l="0" t="0" r="0" b="8890"/>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43080798" w14:textId="77777777" w:rsidR="00E51A5A" w:rsidRDefault="00E51A5A" w:rsidP="00E51A5A">
      <w:pPr>
        <w:spacing w:after="0" w:line="240" w:lineRule="auto"/>
        <w:ind w:left="720" w:firstLine="714"/>
        <w:jc w:val="both"/>
        <w:rPr>
          <w:rFonts w:cs="Times New Roman"/>
          <w:i/>
          <w:iCs/>
          <w:color w:val="000000"/>
          <w:szCs w:val="24"/>
        </w:rPr>
      </w:pPr>
    </w:p>
    <w:p w14:paraId="261822EB" w14:textId="6E0C87A3" w:rsidR="00E51A5A" w:rsidRDefault="00E51A5A" w:rsidP="00E51A5A">
      <w:pPr>
        <w:spacing w:after="0" w:line="240" w:lineRule="auto"/>
        <w:ind w:firstLine="714"/>
        <w:jc w:val="both"/>
        <w:rPr>
          <w:rFonts w:cs="Times New Roman"/>
          <w:color w:val="000000"/>
          <w:szCs w:val="24"/>
        </w:rPr>
      </w:pPr>
      <w:r w:rsidRPr="006331DC">
        <w:rPr>
          <w:rFonts w:cs="Times New Roman"/>
          <w:color w:val="000000"/>
          <w:szCs w:val="24"/>
        </w:rPr>
        <w:t>Prokuroru atteikšanās no apsūdzības</w:t>
      </w:r>
      <w:r>
        <w:rPr>
          <w:rFonts w:cs="Times New Roman"/>
          <w:color w:val="000000"/>
          <w:szCs w:val="24"/>
        </w:rPr>
        <w:t xml:space="preserve"> 10 </w:t>
      </w:r>
      <w:r w:rsidR="009939FD">
        <w:rPr>
          <w:rFonts w:cs="Times New Roman"/>
          <w:color w:val="000000"/>
          <w:szCs w:val="24"/>
        </w:rPr>
        <w:t>krimināl</w:t>
      </w:r>
      <w:r>
        <w:rPr>
          <w:rFonts w:cs="Times New Roman"/>
          <w:color w:val="000000"/>
          <w:szCs w:val="24"/>
        </w:rPr>
        <w:t>lietās: trūkumi pirmstiesas procesā, nepietiekami pierādījumi – 6; grozījumi Krimināllikumā, kas saistīti ar atsevišķu noziedzīgu nodarījumu dekriminalizāciju – 2; jaunu apstākļu, t.</w:t>
      </w:r>
      <w:r w:rsidR="009939FD">
        <w:rPr>
          <w:rFonts w:cs="Times New Roman"/>
          <w:color w:val="000000"/>
          <w:szCs w:val="24"/>
        </w:rPr>
        <w:t> </w:t>
      </w:r>
      <w:r>
        <w:rPr>
          <w:rFonts w:cs="Times New Roman"/>
          <w:color w:val="000000"/>
          <w:szCs w:val="24"/>
        </w:rPr>
        <w:t>sk. cietušās atteikšanās no liecībām, konstatēšana iztiesāšanā – 2.</w:t>
      </w:r>
    </w:p>
    <w:p w14:paraId="07005CE7" w14:textId="5D006083" w:rsidR="00E51A5A" w:rsidRDefault="00E51A5A" w:rsidP="00CF3A8E">
      <w:pPr>
        <w:spacing w:after="0" w:line="240" w:lineRule="auto"/>
        <w:jc w:val="both"/>
        <w:rPr>
          <w:rFonts w:cs="Times New Roman"/>
          <w:color w:val="000000"/>
          <w:szCs w:val="24"/>
        </w:rPr>
      </w:pPr>
    </w:p>
    <w:p w14:paraId="33F8C0FE" w14:textId="77777777" w:rsidR="00E51A5A" w:rsidRDefault="00E51A5A" w:rsidP="00E329FC">
      <w:pPr>
        <w:pStyle w:val="ListParagraph"/>
        <w:numPr>
          <w:ilvl w:val="0"/>
          <w:numId w:val="15"/>
        </w:numPr>
        <w:spacing w:after="0" w:line="240" w:lineRule="auto"/>
        <w:jc w:val="both"/>
        <w:rPr>
          <w:rFonts w:cs="Times New Roman"/>
          <w:b/>
          <w:bCs/>
          <w:color w:val="000000"/>
          <w:szCs w:val="24"/>
        </w:rPr>
      </w:pPr>
      <w:r>
        <w:rPr>
          <w:rFonts w:cs="Times New Roman"/>
          <w:b/>
          <w:bCs/>
          <w:color w:val="000000"/>
          <w:szCs w:val="24"/>
        </w:rPr>
        <w:lastRenderedPageBreak/>
        <w:t>Lēmumu par personas saukšanu pie kriminālatbildības (apsūdzība) izvērtēšana prokuroru profesionālās darbības novērtēšanas ietvaros</w:t>
      </w:r>
    </w:p>
    <w:p w14:paraId="69109727" w14:textId="77777777" w:rsidR="00E51A5A" w:rsidRDefault="00E51A5A" w:rsidP="00E51A5A">
      <w:pPr>
        <w:pStyle w:val="ListParagraph"/>
        <w:spacing w:after="0" w:line="240" w:lineRule="auto"/>
        <w:jc w:val="both"/>
        <w:rPr>
          <w:rFonts w:cs="Times New Roman"/>
          <w:b/>
          <w:bCs/>
          <w:color w:val="000000"/>
          <w:szCs w:val="24"/>
        </w:rPr>
      </w:pPr>
    </w:p>
    <w:p w14:paraId="3C83ACED" w14:textId="6B645F7C" w:rsidR="00E51A5A" w:rsidRPr="004969B2" w:rsidRDefault="00E51A5A" w:rsidP="00916CC1">
      <w:pPr>
        <w:pStyle w:val="ListParagraph"/>
        <w:spacing w:after="0" w:line="240" w:lineRule="auto"/>
        <w:ind w:left="0"/>
        <w:jc w:val="center"/>
        <w:rPr>
          <w:rFonts w:cs="Times New Roman"/>
          <w:b/>
          <w:bCs/>
          <w:color w:val="000000"/>
          <w:szCs w:val="24"/>
        </w:rPr>
      </w:pPr>
      <w:r>
        <w:rPr>
          <w:noProof/>
        </w:rPr>
        <w:drawing>
          <wp:inline distT="0" distB="0" distL="0" distR="0" wp14:anchorId="3889D714" wp14:editId="421B68B6">
            <wp:extent cx="5022850" cy="1763486"/>
            <wp:effectExtent l="0" t="0" r="6350" b="8255"/>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228DE04F" w14:textId="77777777" w:rsidR="00E51A5A" w:rsidRDefault="00E51A5A" w:rsidP="00E51A5A">
      <w:pPr>
        <w:pStyle w:val="ListParagraph"/>
        <w:spacing w:after="0" w:line="240" w:lineRule="auto"/>
        <w:jc w:val="both"/>
        <w:rPr>
          <w:rFonts w:cs="Times New Roman"/>
          <w:b/>
          <w:bCs/>
          <w:color w:val="000000"/>
          <w:szCs w:val="24"/>
        </w:rPr>
      </w:pPr>
    </w:p>
    <w:p w14:paraId="37E2F2DE" w14:textId="63A881CE" w:rsidR="00E51A5A" w:rsidRDefault="00E51A5A" w:rsidP="00E51A5A">
      <w:pPr>
        <w:pStyle w:val="ListParagraph"/>
        <w:spacing w:after="0" w:line="240" w:lineRule="auto"/>
        <w:ind w:left="0" w:firstLine="709"/>
        <w:jc w:val="both"/>
        <w:rPr>
          <w:rFonts w:cs="Times New Roman"/>
          <w:color w:val="000000"/>
          <w:szCs w:val="24"/>
        </w:rPr>
      </w:pPr>
      <w:r>
        <w:rPr>
          <w:rFonts w:cs="Times New Roman"/>
          <w:color w:val="000000"/>
          <w:szCs w:val="24"/>
        </w:rPr>
        <w:t xml:space="preserve">Viens no dokumentu veidiem, kas tiek vērtēts prokuroru profesionālās </w:t>
      </w:r>
      <w:r w:rsidR="00052661">
        <w:rPr>
          <w:rFonts w:cs="Times New Roman"/>
          <w:color w:val="000000"/>
          <w:szCs w:val="24"/>
        </w:rPr>
        <w:t xml:space="preserve">darbības </w:t>
      </w:r>
      <w:r>
        <w:rPr>
          <w:rFonts w:cs="Times New Roman"/>
          <w:color w:val="000000"/>
          <w:szCs w:val="24"/>
        </w:rPr>
        <w:t>novērtēšanas ietvaros</w:t>
      </w:r>
      <w:r w:rsidR="00237261">
        <w:rPr>
          <w:rFonts w:cs="Times New Roman"/>
          <w:color w:val="000000"/>
          <w:szCs w:val="24"/>
        </w:rPr>
        <w:t>,</w:t>
      </w:r>
      <w:r>
        <w:rPr>
          <w:rFonts w:cs="Times New Roman"/>
          <w:color w:val="000000"/>
          <w:szCs w:val="24"/>
        </w:rPr>
        <w:t xml:space="preserve"> ir lēmums par personas saukšanu pie kriminālatbildības, kas ir viens no svarīgākajiem lēmumiem kriminālprocesā. Prokurora novērtēšanas laikā izvērtētās apsūdzības un tajā konstatētās kļūdas un nepilnības ne tikai tiek ņemtas vērā, vērtējot prokuroru, bet arī</w:t>
      </w:r>
      <w:r w:rsidR="00052661">
        <w:rPr>
          <w:rFonts w:cs="Times New Roman"/>
          <w:color w:val="000000"/>
          <w:szCs w:val="24"/>
        </w:rPr>
        <w:t>,</w:t>
      </w:r>
      <w:r>
        <w:rPr>
          <w:rFonts w:cs="Times New Roman"/>
          <w:color w:val="000000"/>
          <w:szCs w:val="24"/>
        </w:rPr>
        <w:t xml:space="preserve"> turpmāk prokuroram tās nepieļaujot</w:t>
      </w:r>
      <w:r w:rsidR="00052661">
        <w:rPr>
          <w:rFonts w:cs="Times New Roman"/>
          <w:color w:val="000000"/>
          <w:szCs w:val="24"/>
        </w:rPr>
        <w:t>,</w:t>
      </w:r>
      <w:r>
        <w:rPr>
          <w:rFonts w:cs="Times New Roman"/>
          <w:color w:val="000000"/>
          <w:szCs w:val="24"/>
        </w:rPr>
        <w:t xml:space="preserve"> tiek uzlabota prokurora nākamo apsūdzību kvalitāte. No apsūdzībās konstatēt</w:t>
      </w:r>
      <w:r w:rsidR="00336277">
        <w:rPr>
          <w:rFonts w:cs="Times New Roman"/>
          <w:color w:val="000000"/>
          <w:szCs w:val="24"/>
        </w:rPr>
        <w:t>aj</w:t>
      </w:r>
      <w:r>
        <w:rPr>
          <w:rFonts w:cs="Times New Roman"/>
          <w:color w:val="000000"/>
          <w:szCs w:val="24"/>
        </w:rPr>
        <w:t>ām kļūdām un nepilnībām tika izveidots apsūdzībās pieļauto kļūdu un nepilnību klasifikators, kuru apstiprināja Ģenerālprokurora padome</w:t>
      </w:r>
      <w:r w:rsidR="00052661">
        <w:rPr>
          <w:rFonts w:cs="Times New Roman"/>
          <w:color w:val="000000"/>
          <w:szCs w:val="24"/>
        </w:rPr>
        <w:t>,</w:t>
      </w:r>
      <w:r>
        <w:rPr>
          <w:rFonts w:cs="Times New Roman"/>
          <w:color w:val="000000"/>
          <w:szCs w:val="24"/>
        </w:rPr>
        <w:t xml:space="preserve"> un tas </w:t>
      </w:r>
      <w:r w:rsidR="00336277">
        <w:rPr>
          <w:rFonts w:cs="Times New Roman"/>
          <w:color w:val="000000"/>
          <w:szCs w:val="24"/>
        </w:rPr>
        <w:t xml:space="preserve">visiem prokuroriem </w:t>
      </w:r>
      <w:r>
        <w:rPr>
          <w:rFonts w:cs="Times New Roman"/>
          <w:color w:val="000000"/>
          <w:szCs w:val="24"/>
        </w:rPr>
        <w:t>ir pieejams elektroniski ar meklēšanas iespējām gan Prokuratūras informācijas sistēmā</w:t>
      </w:r>
      <w:r w:rsidR="00052661">
        <w:rPr>
          <w:rFonts w:cs="Times New Roman"/>
          <w:color w:val="000000"/>
          <w:szCs w:val="24"/>
        </w:rPr>
        <w:t xml:space="preserve"> (ProIS)</w:t>
      </w:r>
      <w:r>
        <w:rPr>
          <w:rFonts w:cs="Times New Roman"/>
          <w:color w:val="000000"/>
          <w:szCs w:val="24"/>
        </w:rPr>
        <w:t>, gan arī prokuratūras iekšējā mājaslapā, tādā veidā nodrošinot prokuror</w:t>
      </w:r>
      <w:r w:rsidR="00336277">
        <w:rPr>
          <w:rFonts w:cs="Times New Roman"/>
          <w:color w:val="000000"/>
          <w:szCs w:val="24"/>
        </w:rPr>
        <w:t>u</w:t>
      </w:r>
      <w:r>
        <w:rPr>
          <w:rFonts w:cs="Times New Roman"/>
          <w:color w:val="000000"/>
          <w:szCs w:val="24"/>
        </w:rPr>
        <w:t>s ar informāciju par biežāk pieļaut</w:t>
      </w:r>
      <w:r w:rsidR="00336277">
        <w:rPr>
          <w:rFonts w:cs="Times New Roman"/>
          <w:color w:val="000000"/>
          <w:szCs w:val="24"/>
        </w:rPr>
        <w:t>aj</w:t>
      </w:r>
      <w:r>
        <w:rPr>
          <w:rFonts w:cs="Times New Roman"/>
          <w:color w:val="000000"/>
          <w:szCs w:val="24"/>
        </w:rPr>
        <w:t>ām kļūdām un nepilnībām.</w:t>
      </w:r>
    </w:p>
    <w:p w14:paraId="188C0305" w14:textId="77777777" w:rsidR="00E51A5A" w:rsidRPr="007A1424" w:rsidRDefault="00E51A5A" w:rsidP="00E51A5A">
      <w:pPr>
        <w:pStyle w:val="ListParagraph"/>
        <w:spacing w:after="0" w:line="240" w:lineRule="auto"/>
        <w:ind w:left="0" w:firstLine="709"/>
        <w:jc w:val="both"/>
        <w:rPr>
          <w:rFonts w:cs="Times New Roman"/>
          <w:color w:val="000000"/>
          <w:szCs w:val="24"/>
        </w:rPr>
      </w:pPr>
    </w:p>
    <w:p w14:paraId="4E5C9E86" w14:textId="0076D1A3" w:rsidR="00E51A5A" w:rsidRDefault="00E51A5A" w:rsidP="00E329FC">
      <w:pPr>
        <w:pStyle w:val="ListParagraph"/>
        <w:numPr>
          <w:ilvl w:val="0"/>
          <w:numId w:val="15"/>
        </w:numPr>
        <w:spacing w:after="0" w:line="240" w:lineRule="auto"/>
        <w:jc w:val="both"/>
        <w:rPr>
          <w:rFonts w:cs="Times New Roman"/>
          <w:b/>
          <w:bCs/>
          <w:color w:val="000000"/>
          <w:szCs w:val="24"/>
        </w:rPr>
      </w:pPr>
      <w:r w:rsidRPr="003723D4">
        <w:rPr>
          <w:rFonts w:cs="Times New Roman"/>
          <w:b/>
          <w:bCs/>
          <w:color w:val="000000"/>
          <w:szCs w:val="24"/>
          <w:lang w:eastAsia="lv-LV"/>
        </w:rPr>
        <w:t xml:space="preserve">Ģenerālprokurora 2018. gada 1. novembra </w:t>
      </w:r>
      <w:r w:rsidR="00336277">
        <w:rPr>
          <w:rFonts w:cs="Times New Roman"/>
          <w:b/>
          <w:bCs/>
          <w:color w:val="000000"/>
          <w:szCs w:val="24"/>
          <w:lang w:eastAsia="lv-LV"/>
        </w:rPr>
        <w:t>r</w:t>
      </w:r>
      <w:r w:rsidRPr="00336277">
        <w:rPr>
          <w:rFonts w:cs="Times New Roman"/>
          <w:b/>
          <w:bCs/>
          <w:color w:val="000000"/>
          <w:szCs w:val="24"/>
          <w:lang w:eastAsia="lv-LV"/>
        </w:rPr>
        <w:t>īkojuma Nr.</w:t>
      </w:r>
      <w:r w:rsidR="00591C01">
        <w:rPr>
          <w:rFonts w:cs="Times New Roman"/>
          <w:b/>
          <w:bCs/>
          <w:color w:val="000000"/>
          <w:szCs w:val="24"/>
          <w:lang w:eastAsia="lv-LV"/>
        </w:rPr>
        <w:t> </w:t>
      </w:r>
      <w:r w:rsidRPr="00336277">
        <w:rPr>
          <w:rFonts w:cs="Times New Roman"/>
          <w:b/>
          <w:bCs/>
          <w:color w:val="000000"/>
          <w:szCs w:val="24"/>
          <w:lang w:eastAsia="lv-LV"/>
        </w:rPr>
        <w:t>P-101-101-2018-0014</w:t>
      </w:r>
      <w:r w:rsidRPr="003723D4">
        <w:rPr>
          <w:rFonts w:cs="Times New Roman"/>
          <w:b/>
          <w:bCs/>
          <w:color w:val="000000"/>
          <w:szCs w:val="24"/>
          <w:lang w:eastAsia="lv-LV"/>
        </w:rPr>
        <w:t xml:space="preserve">1 </w:t>
      </w:r>
      <w:r w:rsidRPr="003723D4">
        <w:rPr>
          <w:rFonts w:cs="Times New Roman"/>
          <w:b/>
          <w:bCs/>
          <w:i/>
          <w:iCs/>
          <w:color w:val="000000"/>
          <w:szCs w:val="24"/>
          <w:lang w:eastAsia="lv-LV"/>
        </w:rPr>
        <w:t xml:space="preserve">Par Ēnu ekonomikas apkarošanas, noziedzīgi iegūtu līdzekļu legalizācijas un terorisma finansēšanas novēršanas pasākumu plānā dotā uzdevuma izpildi </w:t>
      </w:r>
      <w:r>
        <w:rPr>
          <w:rFonts w:cs="Times New Roman"/>
          <w:b/>
          <w:bCs/>
          <w:color w:val="000000"/>
          <w:szCs w:val="24"/>
          <w:lang w:eastAsia="lv-LV"/>
        </w:rPr>
        <w:t xml:space="preserve"> kontrole</w:t>
      </w:r>
    </w:p>
    <w:p w14:paraId="523A4E00" w14:textId="77777777" w:rsidR="00E51A5A" w:rsidRDefault="00E51A5A" w:rsidP="00E51A5A">
      <w:pPr>
        <w:spacing w:after="0" w:line="240" w:lineRule="auto"/>
        <w:jc w:val="both"/>
        <w:rPr>
          <w:lang w:eastAsia="lv-LV"/>
        </w:rPr>
      </w:pPr>
    </w:p>
    <w:p w14:paraId="21CF2F3E" w14:textId="76A54CC0" w:rsidR="00E51A5A" w:rsidRDefault="00E51A5A" w:rsidP="00E51A5A">
      <w:pPr>
        <w:spacing w:after="0" w:line="240" w:lineRule="auto"/>
        <w:ind w:firstLine="720"/>
        <w:jc w:val="both"/>
        <w:rPr>
          <w:lang w:eastAsia="lv-LV"/>
        </w:rPr>
      </w:pPr>
      <w:r>
        <w:rPr>
          <w:lang w:eastAsia="lv-LV"/>
        </w:rPr>
        <w:t>Ģenerālprokurora</w:t>
      </w:r>
      <w:r w:rsidR="00336277">
        <w:rPr>
          <w:lang w:eastAsia="lv-LV"/>
        </w:rPr>
        <w:t xml:space="preserve"> </w:t>
      </w:r>
      <w:r w:rsidR="00701831">
        <w:rPr>
          <w:lang w:eastAsia="lv-LV"/>
        </w:rPr>
        <w:t>2018.</w:t>
      </w:r>
      <w:r w:rsidR="00701831">
        <w:t xml:space="preserve">gada 1. novembra </w:t>
      </w:r>
      <w:r w:rsidR="00336277">
        <w:rPr>
          <w:lang w:eastAsia="lv-LV"/>
        </w:rPr>
        <w:t>r</w:t>
      </w:r>
      <w:r w:rsidRPr="00336277">
        <w:rPr>
          <w:lang w:eastAsia="lv-LV"/>
        </w:rPr>
        <w:t xml:space="preserve">īkojums </w:t>
      </w:r>
      <w:r>
        <w:rPr>
          <w:lang w:eastAsia="lv-LV"/>
        </w:rPr>
        <w:t>izdots n</w:t>
      </w:r>
      <w:r w:rsidRPr="008A7568">
        <w:rPr>
          <w:lang w:eastAsia="lv-LV"/>
        </w:rPr>
        <w:t>olūkā nodrošināt 2016. gada 10. jūnija Ēnu ekonomikas apkarošanas padomes sēdē apstiprinātā Valsts iestāžu darba plāna ēnu ekonomikas ierobežošanai 2016.-2020.</w:t>
      </w:r>
      <w:r w:rsidR="00CF2691">
        <w:rPr>
          <w:lang w:eastAsia="lv-LV"/>
        </w:rPr>
        <w:t> </w:t>
      </w:r>
      <w:r w:rsidRPr="008A7568">
        <w:rPr>
          <w:lang w:eastAsia="lv-LV"/>
        </w:rPr>
        <w:t>gadam 50.</w:t>
      </w:r>
      <w:r w:rsidR="00CF2691">
        <w:rPr>
          <w:lang w:eastAsia="lv-LV"/>
        </w:rPr>
        <w:t> </w:t>
      </w:r>
      <w:r w:rsidRPr="008A7568">
        <w:rPr>
          <w:lang w:eastAsia="lv-LV"/>
        </w:rPr>
        <w:t>punktā noteiktā uzdevuma par samērīga soda piemērošanu par finanšu noziegumiem, kā arī ar 2018.</w:t>
      </w:r>
      <w:r w:rsidR="00CF2691">
        <w:rPr>
          <w:lang w:eastAsia="lv-LV"/>
        </w:rPr>
        <w:t> </w:t>
      </w:r>
      <w:r w:rsidRPr="008A7568">
        <w:rPr>
          <w:lang w:eastAsia="lv-LV"/>
        </w:rPr>
        <w:t>gada 11.</w:t>
      </w:r>
      <w:r w:rsidR="00CF2691">
        <w:rPr>
          <w:lang w:eastAsia="lv-LV"/>
        </w:rPr>
        <w:t> </w:t>
      </w:r>
      <w:r w:rsidRPr="008A7568">
        <w:rPr>
          <w:lang w:eastAsia="lv-LV"/>
        </w:rPr>
        <w:t>oktobra Ministru kabineta rīkojumu Nr.</w:t>
      </w:r>
      <w:r w:rsidR="00CF2691">
        <w:rPr>
          <w:lang w:eastAsia="lv-LV"/>
        </w:rPr>
        <w:t> </w:t>
      </w:r>
      <w:r w:rsidRPr="008A7568">
        <w:rPr>
          <w:lang w:eastAsia="lv-LV"/>
        </w:rPr>
        <w:t>512 apstiprinātā Pasākumu plāna noziedzīgi iegūtu līdzekļu legalizācijas un terorisma finansēšanas novēršanai laikposmam līdz 2019.</w:t>
      </w:r>
      <w:r w:rsidR="00CF2691">
        <w:rPr>
          <w:lang w:eastAsia="lv-LV"/>
        </w:rPr>
        <w:t> </w:t>
      </w:r>
      <w:r w:rsidRPr="008A7568">
        <w:rPr>
          <w:lang w:eastAsia="lv-LV"/>
        </w:rPr>
        <w:t>gada 31. decembrim izpildi un prokuroru rīcības vienveidību minēto kategoriju krimināllietās</w:t>
      </w:r>
      <w:r>
        <w:rPr>
          <w:lang w:eastAsia="lv-LV"/>
        </w:rPr>
        <w:t>.</w:t>
      </w:r>
    </w:p>
    <w:p w14:paraId="24541DD0" w14:textId="77777777" w:rsidR="00E51A5A" w:rsidRPr="008A7568" w:rsidRDefault="00E51A5A" w:rsidP="00E51A5A">
      <w:pPr>
        <w:spacing w:after="0" w:line="240" w:lineRule="auto"/>
        <w:ind w:right="43" w:firstLine="360"/>
        <w:jc w:val="both"/>
        <w:rPr>
          <w:b/>
          <w:lang w:eastAsia="lv-LV"/>
        </w:rPr>
      </w:pPr>
      <w:r>
        <w:rPr>
          <w:lang w:eastAsia="lv-LV"/>
        </w:rPr>
        <w:t xml:space="preserve">Visu līmeņu prokuratūru virsprokuroriem uzdots </w:t>
      </w:r>
      <w:r w:rsidRPr="008A7568">
        <w:rPr>
          <w:lang w:eastAsia="lv-LV"/>
        </w:rPr>
        <w:t>pastiprināti kontrolēt struktūrvienības prokuroru rīcību saistībā ar soda piemērošanu ar priekšrakstu par sodu, viedokļa izteikšanu par sodu tiesā un vienošanās procesā izvēlēto sodu, kā arī protestu iesniegšanu krimināllietās par:</w:t>
      </w:r>
    </w:p>
    <w:p w14:paraId="4A08888F" w14:textId="755093CF" w:rsidR="00E51A5A" w:rsidRPr="00D250D3" w:rsidRDefault="00E51A5A" w:rsidP="00E329FC">
      <w:pPr>
        <w:pStyle w:val="ListParagraph"/>
        <w:numPr>
          <w:ilvl w:val="0"/>
          <w:numId w:val="45"/>
        </w:numPr>
        <w:spacing w:after="0" w:line="240" w:lineRule="auto"/>
        <w:ind w:right="43"/>
        <w:jc w:val="both"/>
        <w:rPr>
          <w:b/>
          <w:lang w:eastAsia="lv-LV"/>
        </w:rPr>
      </w:pPr>
      <w:r w:rsidRPr="008A7568">
        <w:rPr>
          <w:lang w:eastAsia="lv-LV"/>
        </w:rPr>
        <w:t>finanšu un ekonomisk</w:t>
      </w:r>
      <w:r w:rsidR="00034C36">
        <w:rPr>
          <w:lang w:eastAsia="lv-LV"/>
        </w:rPr>
        <w:t>ajie</w:t>
      </w:r>
      <w:r w:rsidRPr="008A7568">
        <w:rPr>
          <w:lang w:eastAsia="lv-LV"/>
        </w:rPr>
        <w:t xml:space="preserve">m </w:t>
      </w:r>
      <w:r w:rsidR="00034C36">
        <w:rPr>
          <w:lang w:eastAsia="lv-LV"/>
        </w:rPr>
        <w:t xml:space="preserve">noziedzīgajiem </w:t>
      </w:r>
      <w:r w:rsidRPr="008A7568">
        <w:rPr>
          <w:lang w:eastAsia="lv-LV"/>
        </w:rPr>
        <w:t>no</w:t>
      </w:r>
      <w:r w:rsidR="00034C36">
        <w:rPr>
          <w:lang w:eastAsia="lv-LV"/>
        </w:rPr>
        <w:t>darījumiem</w:t>
      </w:r>
      <w:r w:rsidRPr="008A7568">
        <w:rPr>
          <w:lang w:eastAsia="lv-LV"/>
        </w:rPr>
        <w:t>, kā rezultātā valstij vai pašvaldībai nodarīti vai mēģināts nodarīt zaudējumus lielā apmērā, tai skaitā, ja konstatēta ļaunprātīga rīcība ar Eiropas Savienības fondu vai ārvalstu finanšu palīdzības līdzekļu izlietojumu, kā arī koruptīviem noziegumiem, it īpaši krimināllietās, kurās personu nodarījumi kvalificēti pēc K</w:t>
      </w:r>
      <w:r w:rsidR="00CC1D43">
        <w:rPr>
          <w:lang w:eastAsia="lv-LV"/>
        </w:rPr>
        <w:t>rimināllikuma</w:t>
      </w:r>
      <w:r w:rsidRPr="008A7568">
        <w:rPr>
          <w:lang w:eastAsia="lv-LV"/>
        </w:rPr>
        <w:t xml:space="preserve"> 177. panta trešās daļas,</w:t>
      </w:r>
      <w:r w:rsidR="00CC1D43">
        <w:rPr>
          <w:lang w:eastAsia="lv-LV"/>
        </w:rPr>
        <w:t xml:space="preserve"> </w:t>
      </w:r>
      <w:r w:rsidRPr="008A7568">
        <w:rPr>
          <w:lang w:eastAsia="lv-LV"/>
        </w:rPr>
        <w:t>177.</w:t>
      </w:r>
      <w:r w:rsidRPr="00D250D3">
        <w:rPr>
          <w:vertAlign w:val="superscript"/>
          <w:lang w:eastAsia="lv-LV"/>
        </w:rPr>
        <w:t>1 </w:t>
      </w:r>
      <w:r w:rsidRPr="008A7568">
        <w:rPr>
          <w:lang w:eastAsia="lv-LV"/>
        </w:rPr>
        <w:t>panta trešās daļas</w:t>
      </w:r>
      <w:r w:rsidR="00CC1D43">
        <w:rPr>
          <w:lang w:eastAsia="lv-LV"/>
        </w:rPr>
        <w:t xml:space="preserve">, </w:t>
      </w:r>
      <w:r w:rsidRPr="008A7568">
        <w:rPr>
          <w:lang w:eastAsia="lv-LV"/>
        </w:rPr>
        <w:t>179. panta trešās daļas,</w:t>
      </w:r>
      <w:r w:rsidR="00CC1D43">
        <w:rPr>
          <w:lang w:eastAsia="lv-LV"/>
        </w:rPr>
        <w:t xml:space="preserve"> </w:t>
      </w:r>
      <w:r w:rsidRPr="008A7568">
        <w:rPr>
          <w:lang w:eastAsia="lv-LV"/>
        </w:rPr>
        <w:t>218. panta otrās un trešās daļas, 320. panta trešās un ceturtās daļas, 321. panta otrās daļas,</w:t>
      </w:r>
      <w:r w:rsidR="00CC1D43">
        <w:rPr>
          <w:lang w:eastAsia="lv-LV"/>
        </w:rPr>
        <w:t xml:space="preserve"> </w:t>
      </w:r>
      <w:r w:rsidRPr="008A7568">
        <w:rPr>
          <w:lang w:eastAsia="lv-LV"/>
        </w:rPr>
        <w:t>322. panta otrās daļas, 323. panta otrās un trešās daļas, 326.</w:t>
      </w:r>
      <w:r w:rsidRPr="00D250D3">
        <w:rPr>
          <w:vertAlign w:val="superscript"/>
          <w:lang w:eastAsia="lv-LV"/>
        </w:rPr>
        <w:t>1</w:t>
      </w:r>
      <w:r w:rsidRPr="008A7568">
        <w:rPr>
          <w:lang w:eastAsia="lv-LV"/>
        </w:rPr>
        <w:t xml:space="preserve"> panta otrās daļas;</w:t>
      </w:r>
    </w:p>
    <w:p w14:paraId="446BA12D" w14:textId="4A3BD8BB" w:rsidR="00E51A5A" w:rsidRPr="00D250D3" w:rsidRDefault="00E51A5A" w:rsidP="00E329FC">
      <w:pPr>
        <w:pStyle w:val="ListParagraph"/>
        <w:numPr>
          <w:ilvl w:val="0"/>
          <w:numId w:val="45"/>
        </w:numPr>
        <w:spacing w:after="0" w:line="240" w:lineRule="auto"/>
        <w:ind w:right="43"/>
        <w:jc w:val="both"/>
        <w:rPr>
          <w:b/>
          <w:lang w:eastAsia="lv-LV"/>
        </w:rPr>
      </w:pPr>
      <w:r w:rsidRPr="008A7568">
        <w:rPr>
          <w:lang w:eastAsia="lv-LV"/>
        </w:rPr>
        <w:t>noziedzīgi iegūtu līdzekļu legalizēšanu – K</w:t>
      </w:r>
      <w:r w:rsidR="00701831">
        <w:rPr>
          <w:lang w:eastAsia="lv-LV"/>
        </w:rPr>
        <w:t>rimināllikuma</w:t>
      </w:r>
      <w:r w:rsidRPr="008A7568">
        <w:rPr>
          <w:lang w:eastAsia="lv-LV"/>
        </w:rPr>
        <w:t xml:space="preserve"> 195. panta pirmā, otrā un trešā daļa.</w:t>
      </w:r>
    </w:p>
    <w:p w14:paraId="70132345" w14:textId="04B00140" w:rsidR="00E51A5A" w:rsidRDefault="00E51A5A" w:rsidP="00E51A5A">
      <w:pPr>
        <w:spacing w:after="0" w:line="240" w:lineRule="auto"/>
        <w:ind w:firstLine="720"/>
        <w:jc w:val="both"/>
        <w:rPr>
          <w:lang w:eastAsia="lv-LV"/>
        </w:rPr>
      </w:pPr>
      <w:r>
        <w:rPr>
          <w:lang w:eastAsia="lv-LV"/>
        </w:rPr>
        <w:t xml:space="preserve">Savukārt Tiesās izskatāmo krimināllietu nodaļas virsprokuroram saskaņā ar </w:t>
      </w:r>
      <w:r w:rsidR="00701831">
        <w:rPr>
          <w:lang w:eastAsia="lv-LV"/>
        </w:rPr>
        <w:t xml:space="preserve">rīkojumu </w:t>
      </w:r>
      <w:r>
        <w:rPr>
          <w:lang w:eastAsia="lv-LV"/>
        </w:rPr>
        <w:t xml:space="preserve">uzdots </w:t>
      </w:r>
      <w:r w:rsidRPr="008A7568">
        <w:rPr>
          <w:lang w:eastAsia="lv-LV"/>
        </w:rPr>
        <w:t>organizēt</w:t>
      </w:r>
      <w:r>
        <w:rPr>
          <w:lang w:eastAsia="lv-LV"/>
        </w:rPr>
        <w:t xml:space="preserve"> </w:t>
      </w:r>
      <w:r w:rsidRPr="008A7568">
        <w:rPr>
          <w:lang w:eastAsia="lv-LV"/>
        </w:rPr>
        <w:t>saņemtās informācijas</w:t>
      </w:r>
      <w:r w:rsidRPr="008A7568">
        <w:rPr>
          <w:b/>
          <w:lang w:eastAsia="lv-LV"/>
        </w:rPr>
        <w:t xml:space="preserve"> </w:t>
      </w:r>
      <w:r w:rsidRPr="008A7568">
        <w:rPr>
          <w:lang w:eastAsia="lv-LV"/>
        </w:rPr>
        <w:t>izvērtēšanu un izlemt par nepieciešamo reaģēšanas pasākumu veikšanu</w:t>
      </w:r>
      <w:r>
        <w:rPr>
          <w:lang w:eastAsia="lv-LV"/>
        </w:rPr>
        <w:t>.</w:t>
      </w:r>
    </w:p>
    <w:p w14:paraId="6F2CA89F" w14:textId="77777777" w:rsidR="00916CC1" w:rsidRPr="009C7F93" w:rsidRDefault="00916CC1" w:rsidP="00E51A5A">
      <w:pPr>
        <w:spacing w:after="0" w:line="240" w:lineRule="auto"/>
        <w:ind w:firstLine="720"/>
        <w:jc w:val="both"/>
        <w:rPr>
          <w:rFonts w:cs="Times New Roman"/>
          <w:b/>
          <w:bCs/>
          <w:color w:val="000000"/>
          <w:szCs w:val="24"/>
        </w:rPr>
      </w:pPr>
    </w:p>
    <w:p w14:paraId="293D0BCC" w14:textId="1FB8A108" w:rsidR="00E51A5A" w:rsidRDefault="00E51A5A" w:rsidP="00916CC1">
      <w:pPr>
        <w:pStyle w:val="ListParagraph"/>
        <w:spacing w:after="0" w:line="240" w:lineRule="auto"/>
        <w:ind w:left="0"/>
        <w:jc w:val="center"/>
        <w:rPr>
          <w:rFonts w:cs="Times New Roman"/>
          <w:b/>
          <w:bCs/>
          <w:color w:val="000000"/>
          <w:szCs w:val="24"/>
          <w:lang w:eastAsia="lv-LV"/>
        </w:rPr>
      </w:pPr>
      <w:r>
        <w:rPr>
          <w:rFonts w:cs="Times New Roman"/>
          <w:noProof/>
          <w:color w:val="000000"/>
          <w:szCs w:val="24"/>
          <w:lang w:eastAsia="lv-LV"/>
        </w:rPr>
        <w:drawing>
          <wp:inline distT="0" distB="0" distL="0" distR="0" wp14:anchorId="5A14ABF4" wp14:editId="116D5AE6">
            <wp:extent cx="5016500" cy="1915886"/>
            <wp:effectExtent l="0" t="0" r="12700" b="8255"/>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389FB276" w14:textId="77777777" w:rsidR="00C23D5C" w:rsidRDefault="00C23D5C" w:rsidP="00E51A5A">
      <w:pPr>
        <w:pStyle w:val="ListParagraph"/>
        <w:spacing w:after="0" w:line="240" w:lineRule="auto"/>
        <w:jc w:val="both"/>
        <w:rPr>
          <w:rFonts w:cs="Times New Roman"/>
          <w:b/>
          <w:bCs/>
          <w:color w:val="000000"/>
          <w:szCs w:val="24"/>
          <w:lang w:eastAsia="lv-LV"/>
        </w:rPr>
      </w:pPr>
    </w:p>
    <w:p w14:paraId="25FA6328" w14:textId="4B52BBB1" w:rsidR="00E51A5A" w:rsidRPr="00F84736" w:rsidRDefault="00E51A5A" w:rsidP="00E51A5A">
      <w:pPr>
        <w:spacing w:after="0" w:line="240" w:lineRule="auto"/>
        <w:ind w:firstLine="720"/>
        <w:jc w:val="both"/>
        <w:rPr>
          <w:rFonts w:cs="Times New Roman"/>
          <w:b/>
          <w:bCs/>
          <w:color w:val="000000"/>
          <w:szCs w:val="24"/>
        </w:rPr>
      </w:pPr>
      <w:r w:rsidRPr="00F84736">
        <w:rPr>
          <w:rFonts w:cs="Times New Roman"/>
          <w:color w:val="000000"/>
          <w:szCs w:val="24"/>
          <w:lang w:eastAsia="lv-LV"/>
        </w:rPr>
        <w:t xml:space="preserve">Realizējot </w:t>
      </w:r>
      <w:r w:rsidR="00C23D5C">
        <w:rPr>
          <w:rFonts w:cs="Times New Roman"/>
          <w:color w:val="000000"/>
          <w:szCs w:val="24"/>
          <w:lang w:eastAsia="lv-LV"/>
        </w:rPr>
        <w:t xml:space="preserve">rīkojuma </w:t>
      </w:r>
      <w:r w:rsidRPr="00F84736">
        <w:rPr>
          <w:rFonts w:cs="Times New Roman"/>
          <w:color w:val="000000"/>
          <w:szCs w:val="24"/>
          <w:lang w:eastAsia="lv-LV"/>
        </w:rPr>
        <w:t>kontroli</w:t>
      </w:r>
      <w:r w:rsidR="00C23D5C">
        <w:rPr>
          <w:rFonts w:cs="Times New Roman"/>
          <w:color w:val="000000"/>
          <w:szCs w:val="24"/>
          <w:lang w:eastAsia="lv-LV"/>
        </w:rPr>
        <w:t>,</w:t>
      </w:r>
      <w:r w:rsidRPr="00F84736">
        <w:rPr>
          <w:rFonts w:cs="Times New Roman"/>
          <w:color w:val="000000"/>
          <w:szCs w:val="24"/>
          <w:lang w:eastAsia="lv-LV"/>
        </w:rPr>
        <w:t xml:space="preserve"> saņemtas un izvērtētas</w:t>
      </w:r>
      <w:r w:rsidRPr="00F84736">
        <w:rPr>
          <w:rFonts w:cs="Times New Roman"/>
          <w:b/>
          <w:bCs/>
          <w:color w:val="000000"/>
          <w:szCs w:val="24"/>
          <w:lang w:eastAsia="lv-LV"/>
        </w:rPr>
        <w:t xml:space="preserve"> </w:t>
      </w:r>
      <w:r w:rsidRPr="00C23D5C">
        <w:rPr>
          <w:rFonts w:cs="Times New Roman"/>
          <w:color w:val="000000"/>
          <w:szCs w:val="24"/>
          <w:lang w:eastAsia="lv-LV"/>
        </w:rPr>
        <w:t>106</w:t>
      </w:r>
      <w:r w:rsidRPr="00F84736">
        <w:rPr>
          <w:rFonts w:cs="Times New Roman"/>
          <w:b/>
          <w:bCs/>
          <w:color w:val="000000"/>
          <w:szCs w:val="24"/>
          <w:lang w:eastAsia="lv-LV"/>
        </w:rPr>
        <w:t> </w:t>
      </w:r>
      <w:r w:rsidRPr="00F84736">
        <w:rPr>
          <w:rFonts w:cs="Times New Roman"/>
          <w:color w:val="000000"/>
          <w:szCs w:val="24"/>
          <w:lang w:eastAsia="lv-LV"/>
        </w:rPr>
        <w:t xml:space="preserve">informācijas, no tām </w:t>
      </w:r>
      <w:r w:rsidRPr="00C23D5C">
        <w:rPr>
          <w:rFonts w:cs="Times New Roman"/>
          <w:color w:val="000000"/>
          <w:szCs w:val="24"/>
          <w:lang w:eastAsia="lv-LV"/>
        </w:rPr>
        <w:t>7</w:t>
      </w:r>
      <w:r w:rsidR="002B1CD8">
        <w:rPr>
          <w:rFonts w:cs="Times New Roman"/>
          <w:color w:val="000000"/>
          <w:szCs w:val="24"/>
          <w:lang w:eastAsia="lv-LV"/>
        </w:rPr>
        <w:t> </w:t>
      </w:r>
      <w:r w:rsidRPr="00F84736">
        <w:rPr>
          <w:rFonts w:cs="Times New Roman"/>
          <w:color w:val="000000"/>
          <w:szCs w:val="24"/>
          <w:lang w:eastAsia="lv-LV"/>
        </w:rPr>
        <w:t>gadījumos konstatēta nepieciešamība iniciēt virsprokuroru vai amatā augstāku prokuroru iesaisti par tiesas nolēmumu protestēšanu.</w:t>
      </w:r>
    </w:p>
    <w:p w14:paraId="11BACB67" w14:textId="77777777" w:rsidR="00E51A5A" w:rsidRPr="00F84736" w:rsidRDefault="00E51A5A" w:rsidP="00E51A5A">
      <w:pPr>
        <w:spacing w:after="0" w:line="240" w:lineRule="auto"/>
        <w:ind w:firstLine="720"/>
        <w:jc w:val="both"/>
        <w:rPr>
          <w:rFonts w:cs="Times New Roman"/>
          <w:color w:val="000000"/>
          <w:szCs w:val="24"/>
          <w:lang w:eastAsia="lv-LV"/>
        </w:rPr>
      </w:pPr>
      <w:r w:rsidRPr="00F84736">
        <w:rPr>
          <w:rFonts w:cs="Times New Roman"/>
          <w:color w:val="000000"/>
          <w:szCs w:val="24"/>
          <w:lang w:eastAsia="lv-LV"/>
        </w:rPr>
        <w:t>Tas, ka Tiesās izskatāmo krimināllietu nodaļas virsprokurors iniciējis attiecīgās prokuratūras struktūrvienības virsprokurora vai amatā augstāka prokurora iesaistīšanos un protesta iesniegšanu tikai 6,6 % gadījumu, skaidrojams ar lielākās daļas prokuroru izpratnes maiņu (salīdzinājumā ar 2017. gadu, kad tika uzsākta kontrole par nosakāmiem sodiem) par apstākļiem, kas ņemami vērā,  nosakot sodu, kā arī esošās kontroles realizāciju un informācijas sniegšanu minētā rīkojuma ietvaros.</w:t>
      </w:r>
    </w:p>
    <w:p w14:paraId="4619E80A" w14:textId="2861E262" w:rsidR="00E51A5A" w:rsidRPr="00F84736" w:rsidRDefault="00E51A5A" w:rsidP="00E51A5A">
      <w:pPr>
        <w:spacing w:after="0" w:line="240" w:lineRule="auto"/>
        <w:ind w:firstLine="720"/>
        <w:jc w:val="both"/>
        <w:rPr>
          <w:rFonts w:cs="Times New Roman"/>
          <w:i/>
          <w:iCs/>
          <w:color w:val="000000"/>
          <w:szCs w:val="24"/>
          <w:lang w:eastAsia="lv-LV"/>
        </w:rPr>
      </w:pPr>
      <w:r>
        <w:rPr>
          <w:rFonts w:cs="Times New Roman"/>
          <w:color w:val="000000"/>
          <w:szCs w:val="24"/>
          <w:lang w:eastAsia="lv-LV"/>
        </w:rPr>
        <w:t>K</w:t>
      </w:r>
      <w:r w:rsidRPr="00F84736">
        <w:rPr>
          <w:rFonts w:cs="Times New Roman"/>
          <w:color w:val="000000"/>
          <w:szCs w:val="24"/>
          <w:lang w:eastAsia="lv-LV"/>
        </w:rPr>
        <w:t xml:space="preserve">ontroles ieviešana un tās turpināšana, kā arī prokuroru attieksmes maiņa viedokļu izteikšanā par sodu tiesā, kad viens no būtiskiem vērtēšanas kritērijiem ir nodarītā kaitējuma atlīdzināšana valsts budžetam, mainījusi arī apsūdzēto personu attieksmi attiecībā uz nodarītā kaitējuma atlīdzināšanu, proti, </w:t>
      </w:r>
      <w:r w:rsidRPr="00414318">
        <w:rPr>
          <w:rFonts w:cs="Times New Roman"/>
          <w:color w:val="000000"/>
          <w:szCs w:val="24"/>
          <w:lang w:eastAsia="lv-LV"/>
        </w:rPr>
        <w:t>6 kriminālprocesos kaitējums atlīdzināts pilnā apmērā,</w:t>
      </w:r>
      <w:r w:rsidRPr="00F84736">
        <w:rPr>
          <w:rFonts w:cs="Times New Roman"/>
          <w:color w:val="000000"/>
          <w:szCs w:val="24"/>
          <w:lang w:eastAsia="lv-LV"/>
        </w:rPr>
        <w:t xml:space="preserve"> ieskaitot valsts budžetā:  41 775,82 </w:t>
      </w:r>
      <w:r w:rsidRPr="00F84736">
        <w:rPr>
          <w:rFonts w:cs="Times New Roman"/>
          <w:i/>
          <w:iCs/>
          <w:color w:val="000000"/>
          <w:szCs w:val="24"/>
          <w:lang w:eastAsia="lv-LV"/>
        </w:rPr>
        <w:t>euro</w:t>
      </w:r>
      <w:r w:rsidRPr="00F84736">
        <w:rPr>
          <w:rFonts w:cs="Times New Roman"/>
          <w:color w:val="000000"/>
          <w:szCs w:val="24"/>
          <w:lang w:eastAsia="lv-LV"/>
        </w:rPr>
        <w:t xml:space="preserve">, 26 663,04 </w:t>
      </w:r>
      <w:r w:rsidRPr="00F84736">
        <w:rPr>
          <w:rFonts w:cs="Times New Roman"/>
          <w:i/>
          <w:iCs/>
          <w:color w:val="000000"/>
          <w:szCs w:val="24"/>
          <w:lang w:eastAsia="lv-LV"/>
        </w:rPr>
        <w:t>euro</w:t>
      </w:r>
      <w:r w:rsidRPr="00F84736">
        <w:rPr>
          <w:rFonts w:cs="Times New Roman"/>
          <w:color w:val="000000"/>
          <w:szCs w:val="24"/>
          <w:lang w:eastAsia="lv-LV"/>
        </w:rPr>
        <w:t xml:space="preserve">, 57 380,65 </w:t>
      </w:r>
      <w:r w:rsidRPr="00F84736">
        <w:rPr>
          <w:rFonts w:cs="Times New Roman"/>
          <w:i/>
          <w:iCs/>
          <w:color w:val="000000"/>
          <w:szCs w:val="24"/>
          <w:lang w:eastAsia="lv-LV"/>
        </w:rPr>
        <w:t>euro</w:t>
      </w:r>
      <w:r w:rsidRPr="00F84736">
        <w:rPr>
          <w:rFonts w:cs="Times New Roman"/>
          <w:color w:val="000000"/>
          <w:szCs w:val="24"/>
          <w:lang w:eastAsia="lv-LV"/>
        </w:rPr>
        <w:t xml:space="preserve">, 16 480,57 </w:t>
      </w:r>
      <w:r w:rsidRPr="00F84736">
        <w:rPr>
          <w:rFonts w:cs="Times New Roman"/>
          <w:i/>
          <w:iCs/>
          <w:color w:val="000000"/>
          <w:szCs w:val="24"/>
          <w:lang w:eastAsia="lv-LV"/>
        </w:rPr>
        <w:t>euro</w:t>
      </w:r>
      <w:r w:rsidRPr="00F84736">
        <w:rPr>
          <w:rFonts w:cs="Times New Roman"/>
          <w:color w:val="000000"/>
          <w:szCs w:val="24"/>
          <w:lang w:eastAsia="lv-LV"/>
        </w:rPr>
        <w:t>, 105</w:t>
      </w:r>
      <w:r w:rsidR="00E00860">
        <w:rPr>
          <w:rFonts w:cs="Times New Roman"/>
          <w:color w:val="000000"/>
          <w:szCs w:val="24"/>
          <w:lang w:eastAsia="lv-LV"/>
        </w:rPr>
        <w:t> </w:t>
      </w:r>
      <w:r w:rsidRPr="00F84736">
        <w:rPr>
          <w:rFonts w:cs="Times New Roman"/>
          <w:color w:val="000000"/>
          <w:szCs w:val="24"/>
          <w:lang w:eastAsia="lv-LV"/>
        </w:rPr>
        <w:t>667,51</w:t>
      </w:r>
      <w:r w:rsidR="00E00860">
        <w:rPr>
          <w:rFonts w:cs="Times New Roman"/>
          <w:color w:val="000000"/>
          <w:szCs w:val="24"/>
          <w:lang w:eastAsia="lv-LV"/>
        </w:rPr>
        <w:t> </w:t>
      </w:r>
      <w:r w:rsidRPr="00F84736">
        <w:rPr>
          <w:rFonts w:cs="Times New Roman"/>
          <w:i/>
          <w:iCs/>
          <w:color w:val="000000"/>
          <w:szCs w:val="24"/>
          <w:lang w:eastAsia="lv-LV"/>
        </w:rPr>
        <w:t>euro</w:t>
      </w:r>
      <w:r w:rsidRPr="00F84736">
        <w:rPr>
          <w:rFonts w:cs="Times New Roman"/>
          <w:color w:val="000000"/>
          <w:szCs w:val="24"/>
          <w:lang w:eastAsia="lv-LV"/>
        </w:rPr>
        <w:t xml:space="preserve">, 26 192,25 </w:t>
      </w:r>
      <w:r w:rsidRPr="00F84736">
        <w:rPr>
          <w:rFonts w:cs="Times New Roman"/>
          <w:i/>
          <w:iCs/>
          <w:color w:val="000000"/>
          <w:szCs w:val="24"/>
          <w:lang w:eastAsia="lv-LV"/>
        </w:rPr>
        <w:t>euro</w:t>
      </w:r>
      <w:r w:rsidRPr="00F84736">
        <w:rPr>
          <w:rFonts w:cs="Times New Roman"/>
          <w:color w:val="000000"/>
          <w:szCs w:val="24"/>
          <w:lang w:eastAsia="lv-LV"/>
        </w:rPr>
        <w:t xml:space="preserve">, 70 939,47 </w:t>
      </w:r>
      <w:r w:rsidRPr="00F84736">
        <w:rPr>
          <w:rFonts w:cs="Times New Roman"/>
          <w:i/>
          <w:iCs/>
          <w:color w:val="000000"/>
          <w:szCs w:val="24"/>
          <w:lang w:eastAsia="lv-LV"/>
        </w:rPr>
        <w:t>euro</w:t>
      </w:r>
      <w:r w:rsidR="00E00860">
        <w:rPr>
          <w:rFonts w:cs="Times New Roman"/>
          <w:color w:val="000000"/>
          <w:szCs w:val="24"/>
          <w:lang w:eastAsia="lv-LV"/>
        </w:rPr>
        <w:t xml:space="preserve">. </w:t>
      </w:r>
      <w:r w:rsidRPr="00414318">
        <w:rPr>
          <w:rFonts w:cs="Times New Roman"/>
          <w:color w:val="000000"/>
          <w:szCs w:val="24"/>
          <w:lang w:eastAsia="lv-LV"/>
        </w:rPr>
        <w:t xml:space="preserve">23 kriminālprocesos </w:t>
      </w:r>
      <w:r w:rsidR="00E00860">
        <w:rPr>
          <w:rFonts w:cs="Times New Roman"/>
          <w:color w:val="000000"/>
          <w:szCs w:val="24"/>
          <w:lang w:eastAsia="lv-LV"/>
        </w:rPr>
        <w:t>kaitējums</w:t>
      </w:r>
      <w:r w:rsidRPr="00414318">
        <w:rPr>
          <w:rFonts w:cs="Times New Roman"/>
          <w:color w:val="000000"/>
          <w:szCs w:val="24"/>
          <w:lang w:eastAsia="lv-LV"/>
        </w:rPr>
        <w:t xml:space="preserve"> atlīdzināt</w:t>
      </w:r>
      <w:r w:rsidR="00E00860">
        <w:rPr>
          <w:rFonts w:cs="Times New Roman"/>
          <w:color w:val="000000"/>
          <w:szCs w:val="24"/>
          <w:lang w:eastAsia="lv-LV"/>
        </w:rPr>
        <w:t>s</w:t>
      </w:r>
      <w:r w:rsidRPr="00414318">
        <w:rPr>
          <w:rFonts w:cs="Times New Roman"/>
          <w:color w:val="000000"/>
          <w:szCs w:val="24"/>
          <w:lang w:eastAsia="lv-LV"/>
        </w:rPr>
        <w:t xml:space="preserve"> daļēji, </w:t>
      </w:r>
      <w:r w:rsidRPr="00F84736">
        <w:rPr>
          <w:rFonts w:cs="Times New Roman"/>
          <w:color w:val="000000"/>
          <w:szCs w:val="24"/>
          <w:lang w:eastAsia="lv-LV"/>
        </w:rPr>
        <w:t xml:space="preserve">taču ieskaitot valsts budžetā tādas summas kā: 22 100 </w:t>
      </w:r>
      <w:r w:rsidRPr="00F84736">
        <w:rPr>
          <w:rFonts w:cs="Times New Roman"/>
          <w:i/>
          <w:iCs/>
          <w:color w:val="000000"/>
          <w:szCs w:val="24"/>
          <w:lang w:eastAsia="lv-LV"/>
        </w:rPr>
        <w:t>euro</w:t>
      </w:r>
      <w:r w:rsidRPr="00F84736">
        <w:rPr>
          <w:rFonts w:cs="Times New Roman"/>
          <w:color w:val="000000"/>
          <w:szCs w:val="24"/>
          <w:lang w:eastAsia="lv-LV"/>
        </w:rPr>
        <w:t xml:space="preserve">, 60 700 </w:t>
      </w:r>
      <w:r w:rsidRPr="00F84736">
        <w:rPr>
          <w:rFonts w:cs="Times New Roman"/>
          <w:i/>
          <w:iCs/>
          <w:color w:val="000000"/>
          <w:szCs w:val="24"/>
          <w:lang w:eastAsia="lv-LV"/>
        </w:rPr>
        <w:t>euro</w:t>
      </w:r>
      <w:r w:rsidRPr="00F84736">
        <w:rPr>
          <w:rFonts w:cs="Times New Roman"/>
          <w:color w:val="000000"/>
          <w:szCs w:val="24"/>
          <w:lang w:eastAsia="lv-LV"/>
        </w:rPr>
        <w:t xml:space="preserve">, 79 094,84 </w:t>
      </w:r>
      <w:r w:rsidRPr="00F84736">
        <w:rPr>
          <w:rFonts w:cs="Times New Roman"/>
          <w:i/>
          <w:iCs/>
          <w:color w:val="000000"/>
          <w:szCs w:val="24"/>
          <w:lang w:eastAsia="lv-LV"/>
        </w:rPr>
        <w:t>euro</w:t>
      </w:r>
      <w:r w:rsidRPr="00F84736">
        <w:rPr>
          <w:rFonts w:cs="Times New Roman"/>
          <w:color w:val="000000"/>
          <w:szCs w:val="24"/>
          <w:lang w:eastAsia="lv-LV"/>
        </w:rPr>
        <w:t>,</w:t>
      </w:r>
      <w:r w:rsidRPr="00F84736">
        <w:rPr>
          <w:rFonts w:cs="Times New Roman"/>
          <w:szCs w:val="24"/>
        </w:rPr>
        <w:t xml:space="preserve"> </w:t>
      </w:r>
      <w:r w:rsidRPr="00F84736">
        <w:rPr>
          <w:rFonts w:cs="Times New Roman"/>
          <w:color w:val="000000"/>
          <w:szCs w:val="24"/>
          <w:lang w:eastAsia="lv-LV"/>
        </w:rPr>
        <w:t>127</w:t>
      </w:r>
      <w:r w:rsidR="00E00860">
        <w:rPr>
          <w:rFonts w:cs="Times New Roman"/>
          <w:color w:val="000000"/>
          <w:szCs w:val="24"/>
          <w:lang w:eastAsia="lv-LV"/>
        </w:rPr>
        <w:t> </w:t>
      </w:r>
      <w:r w:rsidRPr="00F84736">
        <w:rPr>
          <w:rFonts w:cs="Times New Roman"/>
          <w:color w:val="000000"/>
          <w:szCs w:val="24"/>
          <w:lang w:eastAsia="lv-LV"/>
        </w:rPr>
        <w:t>526,08</w:t>
      </w:r>
      <w:r w:rsidR="00E00860">
        <w:rPr>
          <w:rFonts w:cs="Times New Roman"/>
          <w:color w:val="000000"/>
          <w:szCs w:val="24"/>
          <w:lang w:eastAsia="lv-LV"/>
        </w:rPr>
        <w:t> </w:t>
      </w:r>
      <w:r w:rsidRPr="00F84736">
        <w:rPr>
          <w:rFonts w:cs="Times New Roman"/>
          <w:i/>
          <w:iCs/>
          <w:color w:val="000000"/>
          <w:szCs w:val="24"/>
          <w:lang w:eastAsia="lv-LV"/>
        </w:rPr>
        <w:t>euro</w:t>
      </w:r>
      <w:r w:rsidRPr="00F84736">
        <w:rPr>
          <w:rFonts w:cs="Times New Roman"/>
          <w:color w:val="000000"/>
          <w:szCs w:val="24"/>
          <w:lang w:eastAsia="lv-LV"/>
        </w:rPr>
        <w:t>, kā arī mazākas summas</w:t>
      </w:r>
      <w:r>
        <w:rPr>
          <w:rFonts w:cs="Times New Roman"/>
          <w:color w:val="000000"/>
          <w:szCs w:val="24"/>
          <w:lang w:eastAsia="lv-LV"/>
        </w:rPr>
        <w:t>.</w:t>
      </w:r>
    </w:p>
    <w:p w14:paraId="739E4EC8" w14:textId="77777777" w:rsidR="00BF0BD9" w:rsidRDefault="00E51A5A" w:rsidP="00E51A5A">
      <w:pPr>
        <w:spacing w:after="0" w:line="240" w:lineRule="auto"/>
        <w:ind w:firstLine="720"/>
        <w:jc w:val="both"/>
        <w:rPr>
          <w:rFonts w:cs="Times New Roman"/>
          <w:color w:val="000000"/>
          <w:szCs w:val="24"/>
          <w:lang w:eastAsia="lv-LV"/>
        </w:rPr>
      </w:pPr>
      <w:r>
        <w:rPr>
          <w:rFonts w:cs="Times New Roman"/>
          <w:color w:val="000000"/>
          <w:szCs w:val="24"/>
          <w:lang w:eastAsia="lv-LV"/>
        </w:rPr>
        <w:t>L</w:t>
      </w:r>
      <w:r w:rsidRPr="00BB6664">
        <w:rPr>
          <w:rFonts w:cs="Times New Roman"/>
          <w:color w:val="000000"/>
          <w:szCs w:val="24"/>
          <w:lang w:eastAsia="lv-LV"/>
        </w:rPr>
        <w:t>ietās, kurās kaitējums netika atlīdzināts</w:t>
      </w:r>
      <w:r w:rsidR="00414318">
        <w:rPr>
          <w:rFonts w:cs="Times New Roman"/>
          <w:color w:val="000000"/>
          <w:szCs w:val="24"/>
          <w:lang w:eastAsia="lv-LV"/>
        </w:rPr>
        <w:t>,</w:t>
      </w:r>
      <w:r w:rsidRPr="00BB6664">
        <w:rPr>
          <w:rFonts w:cs="Times New Roman"/>
          <w:color w:val="000000"/>
          <w:szCs w:val="24"/>
          <w:lang w:eastAsia="lv-LV"/>
        </w:rPr>
        <w:t xml:space="preserve"> tika piespriesti, piemēram, šādi sodi:</w:t>
      </w:r>
    </w:p>
    <w:p w14:paraId="710712F9" w14:textId="0C5B060F" w:rsidR="00BF0BD9" w:rsidRDefault="00E51A5A" w:rsidP="00E329FC">
      <w:pPr>
        <w:pStyle w:val="ListParagraph"/>
        <w:numPr>
          <w:ilvl w:val="0"/>
          <w:numId w:val="53"/>
        </w:numPr>
        <w:spacing w:after="0" w:line="240" w:lineRule="auto"/>
        <w:jc w:val="both"/>
        <w:rPr>
          <w:rFonts w:cs="Times New Roman"/>
          <w:color w:val="000000"/>
          <w:szCs w:val="24"/>
          <w:lang w:eastAsia="lv-LV"/>
        </w:rPr>
      </w:pPr>
      <w:r w:rsidRPr="00BF0BD9">
        <w:rPr>
          <w:rFonts w:cs="Times New Roman"/>
          <w:color w:val="000000"/>
          <w:szCs w:val="24"/>
          <w:lang w:eastAsia="lv-LV"/>
        </w:rPr>
        <w:t>Krimināllikuma 218. panta otrā daļa, nodarītais zaudējums 118</w:t>
      </w:r>
      <w:r w:rsidR="00551DDB">
        <w:rPr>
          <w:rFonts w:cs="Times New Roman"/>
          <w:color w:val="000000"/>
          <w:szCs w:val="24"/>
          <w:lang w:eastAsia="lv-LV"/>
        </w:rPr>
        <w:t> </w:t>
      </w:r>
      <w:r w:rsidRPr="00BF0BD9">
        <w:rPr>
          <w:rFonts w:cs="Times New Roman"/>
          <w:color w:val="000000"/>
          <w:szCs w:val="24"/>
          <w:lang w:eastAsia="lv-LV"/>
        </w:rPr>
        <w:t>926,02</w:t>
      </w:r>
      <w:r w:rsidR="00551DDB">
        <w:rPr>
          <w:rFonts w:cs="Times New Roman"/>
          <w:color w:val="000000"/>
          <w:szCs w:val="24"/>
          <w:lang w:eastAsia="lv-LV"/>
        </w:rPr>
        <w:t> </w:t>
      </w:r>
      <w:r w:rsidRPr="00BF0BD9">
        <w:rPr>
          <w:rFonts w:cs="Times New Roman"/>
          <w:i/>
          <w:iCs/>
          <w:color w:val="000000"/>
          <w:szCs w:val="24"/>
          <w:lang w:eastAsia="lv-LV"/>
        </w:rPr>
        <w:t>euro</w:t>
      </w:r>
      <w:r w:rsidR="00414318" w:rsidRPr="00BF0BD9">
        <w:rPr>
          <w:rFonts w:cs="Times New Roman"/>
          <w:color w:val="000000"/>
          <w:szCs w:val="24"/>
          <w:lang w:eastAsia="lv-LV"/>
        </w:rPr>
        <w:t xml:space="preserve">, </w:t>
      </w:r>
      <w:r w:rsidRPr="00BF0BD9">
        <w:rPr>
          <w:rFonts w:cs="Times New Roman"/>
          <w:color w:val="000000"/>
          <w:szCs w:val="24"/>
          <w:lang w:eastAsia="lv-LV"/>
        </w:rPr>
        <w:t>sods</w:t>
      </w:r>
      <w:r w:rsidR="00414318" w:rsidRPr="00BF0BD9">
        <w:rPr>
          <w:rFonts w:cs="Times New Roman"/>
          <w:color w:val="000000"/>
          <w:szCs w:val="24"/>
          <w:lang w:eastAsia="lv-LV"/>
        </w:rPr>
        <w:t xml:space="preserve"> – </w:t>
      </w:r>
      <w:r w:rsidRPr="00BF0BD9">
        <w:rPr>
          <w:rFonts w:cs="Times New Roman"/>
          <w:color w:val="000000"/>
          <w:szCs w:val="24"/>
          <w:lang w:eastAsia="lv-LV"/>
        </w:rPr>
        <w:t>brīvības</w:t>
      </w:r>
      <w:r w:rsidR="005B657D">
        <w:rPr>
          <w:rFonts w:cs="Times New Roman"/>
          <w:color w:val="000000"/>
          <w:szCs w:val="24"/>
          <w:lang w:eastAsia="lv-LV"/>
        </w:rPr>
        <w:t xml:space="preserve"> </w:t>
      </w:r>
      <w:r w:rsidRPr="00BF0BD9">
        <w:rPr>
          <w:rFonts w:cs="Times New Roman"/>
          <w:color w:val="000000"/>
          <w:szCs w:val="24"/>
          <w:lang w:eastAsia="lv-LV"/>
        </w:rPr>
        <w:t>atņemšana uz 6</w:t>
      </w:r>
      <w:r w:rsidR="005B657D">
        <w:rPr>
          <w:rFonts w:cs="Times New Roman"/>
          <w:color w:val="000000"/>
          <w:szCs w:val="24"/>
          <w:lang w:eastAsia="lv-LV"/>
        </w:rPr>
        <w:t> </w:t>
      </w:r>
      <w:r w:rsidRPr="00BF0BD9">
        <w:rPr>
          <w:rFonts w:cs="Times New Roman"/>
          <w:color w:val="000000"/>
          <w:szCs w:val="24"/>
          <w:lang w:eastAsia="lv-LV"/>
        </w:rPr>
        <w:t>mēneši</w:t>
      </w:r>
      <w:r w:rsidR="00414318" w:rsidRPr="00BF0BD9">
        <w:rPr>
          <w:rFonts w:cs="Times New Roman"/>
          <w:color w:val="000000"/>
          <w:szCs w:val="24"/>
          <w:lang w:eastAsia="lv-LV"/>
        </w:rPr>
        <w:t>em</w:t>
      </w:r>
      <w:r w:rsidRPr="00BF0BD9">
        <w:rPr>
          <w:rFonts w:cs="Times New Roman"/>
          <w:color w:val="000000"/>
          <w:szCs w:val="24"/>
          <w:lang w:eastAsia="lv-LV"/>
        </w:rPr>
        <w:t xml:space="preserve"> (prokurora viedoklis </w:t>
      </w:r>
      <w:r w:rsidR="00BF0BD9" w:rsidRPr="00BF0BD9">
        <w:rPr>
          <w:rFonts w:cs="Times New Roman"/>
          <w:color w:val="000000"/>
          <w:szCs w:val="24"/>
          <w:lang w:eastAsia="lv-LV"/>
        </w:rPr>
        <w:t xml:space="preserve">tiesā </w:t>
      </w:r>
      <w:r w:rsidR="00414318" w:rsidRPr="00BF0BD9">
        <w:rPr>
          <w:rFonts w:cs="Times New Roman"/>
          <w:color w:val="000000"/>
          <w:szCs w:val="24"/>
          <w:lang w:eastAsia="lv-LV"/>
        </w:rPr>
        <w:t xml:space="preserve">– </w:t>
      </w:r>
      <w:r w:rsidR="00BF0BD9" w:rsidRPr="00BF0BD9">
        <w:rPr>
          <w:rFonts w:cs="Times New Roman"/>
          <w:color w:val="000000"/>
          <w:szCs w:val="24"/>
          <w:lang w:eastAsia="lv-LV"/>
        </w:rPr>
        <w:t xml:space="preserve">brīvības atņemšana uz </w:t>
      </w:r>
      <w:r w:rsidRPr="00BF0BD9">
        <w:rPr>
          <w:rFonts w:cs="Times New Roman"/>
          <w:color w:val="000000"/>
          <w:szCs w:val="24"/>
          <w:lang w:eastAsia="lv-LV"/>
        </w:rPr>
        <w:t>1</w:t>
      </w:r>
      <w:r w:rsidR="00BF0BD9">
        <w:rPr>
          <w:rFonts w:cs="Times New Roman"/>
          <w:color w:val="000000"/>
          <w:szCs w:val="24"/>
          <w:lang w:eastAsia="lv-LV"/>
        </w:rPr>
        <w:t> </w:t>
      </w:r>
      <w:r w:rsidRPr="00BF0BD9">
        <w:rPr>
          <w:rFonts w:cs="Times New Roman"/>
          <w:color w:val="000000"/>
          <w:szCs w:val="24"/>
          <w:lang w:eastAsia="lv-LV"/>
        </w:rPr>
        <w:t>gad</w:t>
      </w:r>
      <w:r w:rsidR="00BF0BD9" w:rsidRPr="00BF0BD9">
        <w:rPr>
          <w:rFonts w:cs="Times New Roman"/>
          <w:color w:val="000000"/>
          <w:szCs w:val="24"/>
          <w:lang w:eastAsia="lv-LV"/>
        </w:rPr>
        <w:t>u</w:t>
      </w:r>
      <w:r w:rsidRPr="00BF0BD9">
        <w:rPr>
          <w:rFonts w:cs="Times New Roman"/>
          <w:color w:val="000000"/>
          <w:szCs w:val="24"/>
          <w:lang w:eastAsia="lv-LV"/>
        </w:rPr>
        <w:t>), atņemot tiesības veikt visu veidu komercdarbību uz 3</w:t>
      </w:r>
      <w:r w:rsidR="00577EBF">
        <w:rPr>
          <w:rFonts w:cs="Times New Roman"/>
          <w:color w:val="000000"/>
          <w:szCs w:val="24"/>
          <w:lang w:eastAsia="lv-LV"/>
        </w:rPr>
        <w:t> </w:t>
      </w:r>
      <w:r w:rsidRPr="00BF0BD9">
        <w:rPr>
          <w:rFonts w:cs="Times New Roman"/>
          <w:color w:val="000000"/>
          <w:szCs w:val="24"/>
          <w:lang w:eastAsia="lv-LV"/>
        </w:rPr>
        <w:t>gadiem, piedzenot valsts labā kaitējuma kompensāciju par mantisko zaudējumu 118</w:t>
      </w:r>
      <w:r w:rsidR="00551DDB">
        <w:rPr>
          <w:rFonts w:cs="Times New Roman"/>
          <w:color w:val="000000"/>
          <w:szCs w:val="24"/>
          <w:lang w:eastAsia="lv-LV"/>
        </w:rPr>
        <w:t> </w:t>
      </w:r>
      <w:r w:rsidRPr="00BF0BD9">
        <w:rPr>
          <w:rFonts w:cs="Times New Roman"/>
          <w:color w:val="000000"/>
          <w:szCs w:val="24"/>
          <w:lang w:eastAsia="lv-LV"/>
        </w:rPr>
        <w:t>842,90</w:t>
      </w:r>
      <w:r w:rsidR="00551DDB">
        <w:rPr>
          <w:rFonts w:cs="Times New Roman"/>
          <w:color w:val="000000"/>
          <w:szCs w:val="24"/>
          <w:lang w:eastAsia="lv-LV"/>
        </w:rPr>
        <w:t> </w:t>
      </w:r>
      <w:r w:rsidRPr="00BF0BD9">
        <w:rPr>
          <w:rFonts w:cs="Times New Roman"/>
          <w:i/>
          <w:iCs/>
          <w:color w:val="000000"/>
          <w:szCs w:val="24"/>
          <w:lang w:eastAsia="lv-LV"/>
        </w:rPr>
        <w:t>euro</w:t>
      </w:r>
      <w:r w:rsidRPr="00BF0BD9">
        <w:rPr>
          <w:rFonts w:cs="Times New Roman"/>
          <w:color w:val="000000"/>
          <w:szCs w:val="24"/>
          <w:lang w:eastAsia="lv-LV"/>
        </w:rPr>
        <w:t xml:space="preserve"> apmērā;</w:t>
      </w:r>
    </w:p>
    <w:p w14:paraId="20484A79" w14:textId="0AF0F8EF" w:rsidR="003E77EA" w:rsidRDefault="00E51A5A" w:rsidP="00E329FC">
      <w:pPr>
        <w:pStyle w:val="ListParagraph"/>
        <w:numPr>
          <w:ilvl w:val="0"/>
          <w:numId w:val="53"/>
        </w:numPr>
        <w:spacing w:after="0" w:line="240" w:lineRule="auto"/>
        <w:jc w:val="both"/>
        <w:rPr>
          <w:rFonts w:cs="Times New Roman"/>
          <w:color w:val="000000"/>
          <w:szCs w:val="24"/>
          <w:lang w:eastAsia="lv-LV"/>
        </w:rPr>
      </w:pPr>
      <w:r w:rsidRPr="00BF0BD9">
        <w:rPr>
          <w:rFonts w:cs="Times New Roman"/>
          <w:color w:val="000000"/>
          <w:szCs w:val="24"/>
          <w:lang w:eastAsia="lv-LV"/>
        </w:rPr>
        <w:t>Krimināllikuma 218. panta otrā daļa un 195. panta trešā daļa, nodarītais zaudējums 203</w:t>
      </w:r>
      <w:r w:rsidR="00551DDB">
        <w:rPr>
          <w:rFonts w:cs="Times New Roman"/>
          <w:color w:val="000000"/>
          <w:szCs w:val="24"/>
          <w:lang w:eastAsia="lv-LV"/>
        </w:rPr>
        <w:t> </w:t>
      </w:r>
      <w:r w:rsidRPr="00BF0BD9">
        <w:rPr>
          <w:rFonts w:cs="Times New Roman"/>
          <w:color w:val="000000"/>
          <w:szCs w:val="24"/>
          <w:lang w:eastAsia="lv-LV"/>
        </w:rPr>
        <w:t>914,01</w:t>
      </w:r>
      <w:r w:rsidR="00551DDB">
        <w:rPr>
          <w:rFonts w:cs="Times New Roman"/>
          <w:color w:val="000000"/>
          <w:szCs w:val="24"/>
          <w:lang w:eastAsia="lv-LV"/>
        </w:rPr>
        <w:t> </w:t>
      </w:r>
      <w:r w:rsidRPr="00BF0BD9">
        <w:rPr>
          <w:rFonts w:cs="Times New Roman"/>
          <w:i/>
          <w:iCs/>
          <w:color w:val="000000"/>
          <w:szCs w:val="24"/>
          <w:lang w:eastAsia="lv-LV"/>
        </w:rPr>
        <w:t>euro</w:t>
      </w:r>
      <w:r w:rsidR="005B657D">
        <w:rPr>
          <w:rFonts w:cs="Times New Roman"/>
          <w:color w:val="000000"/>
          <w:szCs w:val="24"/>
          <w:lang w:eastAsia="lv-LV"/>
        </w:rPr>
        <w:t>,</w:t>
      </w:r>
      <w:r w:rsidR="00414318" w:rsidRPr="00BF0BD9">
        <w:rPr>
          <w:rFonts w:cs="Times New Roman"/>
          <w:color w:val="000000"/>
          <w:szCs w:val="24"/>
          <w:lang w:eastAsia="lv-LV"/>
        </w:rPr>
        <w:t xml:space="preserve"> </w:t>
      </w:r>
      <w:r w:rsidRPr="00BF0BD9">
        <w:rPr>
          <w:rFonts w:cs="Times New Roman"/>
          <w:color w:val="000000"/>
          <w:szCs w:val="24"/>
          <w:lang w:eastAsia="lv-LV"/>
        </w:rPr>
        <w:t xml:space="preserve">sods </w:t>
      </w:r>
      <w:r w:rsidR="005B657D">
        <w:rPr>
          <w:rFonts w:cs="Times New Roman"/>
          <w:color w:val="000000"/>
          <w:szCs w:val="24"/>
          <w:lang w:eastAsia="lv-LV"/>
        </w:rPr>
        <w:t xml:space="preserve">– </w:t>
      </w:r>
      <w:r w:rsidRPr="00BF0BD9">
        <w:rPr>
          <w:rFonts w:cs="Times New Roman"/>
          <w:color w:val="000000"/>
          <w:szCs w:val="24"/>
          <w:lang w:eastAsia="lv-LV"/>
        </w:rPr>
        <w:t>brīvības atņemšana uz 1</w:t>
      </w:r>
      <w:r w:rsidR="005B657D">
        <w:rPr>
          <w:rFonts w:cs="Times New Roman"/>
          <w:color w:val="000000"/>
          <w:szCs w:val="24"/>
          <w:lang w:eastAsia="lv-LV"/>
        </w:rPr>
        <w:t> </w:t>
      </w:r>
      <w:r w:rsidRPr="00BF0BD9">
        <w:rPr>
          <w:rFonts w:cs="Times New Roman"/>
          <w:color w:val="000000"/>
          <w:szCs w:val="24"/>
          <w:lang w:eastAsia="lv-LV"/>
        </w:rPr>
        <w:t>gad</w:t>
      </w:r>
      <w:r w:rsidR="00414318" w:rsidRPr="00BF0BD9">
        <w:rPr>
          <w:rFonts w:cs="Times New Roman"/>
          <w:color w:val="000000"/>
          <w:szCs w:val="24"/>
          <w:lang w:eastAsia="lv-LV"/>
        </w:rPr>
        <w:t>u</w:t>
      </w:r>
      <w:r w:rsidRPr="00BF0BD9">
        <w:rPr>
          <w:rFonts w:cs="Times New Roman"/>
          <w:color w:val="000000"/>
          <w:szCs w:val="24"/>
          <w:lang w:eastAsia="lv-LV"/>
        </w:rPr>
        <w:t xml:space="preserve"> </w:t>
      </w:r>
      <w:r w:rsidR="005B657D">
        <w:rPr>
          <w:rFonts w:cs="Times New Roman"/>
          <w:color w:val="000000"/>
          <w:szCs w:val="24"/>
          <w:lang w:eastAsia="lv-LV"/>
        </w:rPr>
        <w:t xml:space="preserve">un </w:t>
      </w:r>
      <w:r w:rsidRPr="00BF0BD9">
        <w:rPr>
          <w:rFonts w:cs="Times New Roman"/>
          <w:color w:val="000000"/>
          <w:szCs w:val="24"/>
          <w:lang w:eastAsia="lv-LV"/>
        </w:rPr>
        <w:t>6</w:t>
      </w:r>
      <w:r w:rsidR="005B657D">
        <w:rPr>
          <w:rFonts w:cs="Times New Roman"/>
          <w:color w:val="000000"/>
          <w:szCs w:val="24"/>
          <w:lang w:eastAsia="lv-LV"/>
        </w:rPr>
        <w:t> </w:t>
      </w:r>
      <w:r w:rsidRPr="00BF0BD9">
        <w:rPr>
          <w:rFonts w:cs="Times New Roman"/>
          <w:color w:val="000000"/>
          <w:szCs w:val="24"/>
          <w:lang w:eastAsia="lv-LV"/>
        </w:rPr>
        <w:t>mēnešiem (prokurora viedoklis</w:t>
      </w:r>
      <w:r w:rsidR="00BF0BD9">
        <w:rPr>
          <w:rFonts w:cs="Times New Roman"/>
          <w:color w:val="000000"/>
          <w:szCs w:val="24"/>
          <w:lang w:eastAsia="lv-LV"/>
        </w:rPr>
        <w:t xml:space="preserve"> tiesā</w:t>
      </w:r>
      <w:r w:rsidRPr="00BF0BD9">
        <w:rPr>
          <w:rFonts w:cs="Times New Roman"/>
          <w:color w:val="000000"/>
          <w:szCs w:val="24"/>
          <w:lang w:eastAsia="lv-LV"/>
        </w:rPr>
        <w:t xml:space="preserve"> – </w:t>
      </w:r>
      <w:r w:rsidR="00BF0BD9">
        <w:rPr>
          <w:rFonts w:cs="Times New Roman"/>
          <w:color w:val="000000"/>
          <w:szCs w:val="24"/>
          <w:lang w:eastAsia="lv-LV"/>
        </w:rPr>
        <w:t xml:space="preserve">brīvības atņemšana uz </w:t>
      </w:r>
      <w:r w:rsidRPr="00BF0BD9">
        <w:rPr>
          <w:rFonts w:cs="Times New Roman"/>
          <w:color w:val="000000"/>
          <w:szCs w:val="24"/>
          <w:lang w:eastAsia="lv-LV"/>
        </w:rPr>
        <w:t>5</w:t>
      </w:r>
      <w:r w:rsidR="005B657D">
        <w:rPr>
          <w:rFonts w:cs="Times New Roman"/>
          <w:color w:val="000000"/>
          <w:szCs w:val="24"/>
          <w:lang w:eastAsia="lv-LV"/>
        </w:rPr>
        <w:t> </w:t>
      </w:r>
      <w:r w:rsidRPr="00BF0BD9">
        <w:rPr>
          <w:rFonts w:cs="Times New Roman"/>
          <w:color w:val="000000"/>
          <w:szCs w:val="24"/>
          <w:lang w:eastAsia="lv-LV"/>
        </w:rPr>
        <w:t>gadi</w:t>
      </w:r>
      <w:r w:rsidR="00BF0BD9">
        <w:rPr>
          <w:rFonts w:cs="Times New Roman"/>
          <w:color w:val="000000"/>
          <w:szCs w:val="24"/>
          <w:lang w:eastAsia="lv-LV"/>
        </w:rPr>
        <w:t>em</w:t>
      </w:r>
      <w:r w:rsidR="003E77EA">
        <w:rPr>
          <w:rFonts w:cs="Times New Roman"/>
          <w:color w:val="000000"/>
          <w:szCs w:val="24"/>
          <w:lang w:eastAsia="lv-LV"/>
        </w:rPr>
        <w:t xml:space="preserve">, bet, </w:t>
      </w:r>
      <w:r w:rsidRPr="00BF0BD9">
        <w:rPr>
          <w:rFonts w:cs="Times New Roman"/>
          <w:color w:val="000000"/>
          <w:szCs w:val="24"/>
          <w:lang w:eastAsia="lv-LV"/>
        </w:rPr>
        <w:t>ņemot vērā apsūdzētā saslimšanu un ievietošanu psihiatriskajā slimnīcā</w:t>
      </w:r>
      <w:r w:rsidR="003E77EA">
        <w:rPr>
          <w:rFonts w:cs="Times New Roman"/>
          <w:color w:val="000000"/>
          <w:szCs w:val="24"/>
          <w:lang w:eastAsia="lv-LV"/>
        </w:rPr>
        <w:t>,</w:t>
      </w:r>
      <w:r w:rsidRPr="00BF0BD9">
        <w:rPr>
          <w:rFonts w:cs="Times New Roman"/>
          <w:color w:val="000000"/>
          <w:szCs w:val="24"/>
          <w:lang w:eastAsia="lv-LV"/>
        </w:rPr>
        <w:t xml:space="preserve"> protests netika iesniegts</w:t>
      </w:r>
      <w:r w:rsidR="003E77EA">
        <w:rPr>
          <w:rFonts w:cs="Times New Roman"/>
          <w:color w:val="000000"/>
          <w:szCs w:val="24"/>
          <w:lang w:eastAsia="lv-LV"/>
        </w:rPr>
        <w:t>)</w:t>
      </w:r>
      <w:r w:rsidRPr="00BF0BD9">
        <w:rPr>
          <w:rFonts w:cs="Times New Roman"/>
          <w:color w:val="000000"/>
          <w:szCs w:val="24"/>
          <w:lang w:eastAsia="lv-LV"/>
        </w:rPr>
        <w:t>, atņemot tiesības veikt visu veidu komercdarbību uz 3</w:t>
      </w:r>
      <w:r w:rsidR="005B657D">
        <w:rPr>
          <w:rFonts w:cs="Times New Roman"/>
          <w:color w:val="000000"/>
          <w:szCs w:val="24"/>
          <w:lang w:eastAsia="lv-LV"/>
        </w:rPr>
        <w:t> </w:t>
      </w:r>
      <w:r w:rsidRPr="00BF0BD9">
        <w:rPr>
          <w:rFonts w:cs="Times New Roman"/>
          <w:color w:val="000000"/>
          <w:szCs w:val="24"/>
          <w:lang w:eastAsia="lv-LV"/>
        </w:rPr>
        <w:t>gadiem;</w:t>
      </w:r>
    </w:p>
    <w:p w14:paraId="29B7BEF4" w14:textId="35CBE572" w:rsidR="00D55CBA" w:rsidRDefault="00E51A5A" w:rsidP="00E329FC">
      <w:pPr>
        <w:pStyle w:val="ListParagraph"/>
        <w:numPr>
          <w:ilvl w:val="0"/>
          <w:numId w:val="53"/>
        </w:numPr>
        <w:spacing w:after="0" w:line="240" w:lineRule="auto"/>
        <w:jc w:val="both"/>
        <w:rPr>
          <w:rFonts w:cs="Times New Roman"/>
          <w:color w:val="000000"/>
          <w:szCs w:val="24"/>
          <w:lang w:eastAsia="lv-LV"/>
        </w:rPr>
      </w:pPr>
      <w:r w:rsidRPr="00BF0BD9">
        <w:rPr>
          <w:rFonts w:cs="Times New Roman"/>
          <w:color w:val="000000"/>
          <w:szCs w:val="24"/>
          <w:lang w:eastAsia="lv-LV"/>
        </w:rPr>
        <w:t>Krimināllikuma 218. panta otrā daļa un 177. panta trešā daļa, kopējā kaitējuma apmērs 362</w:t>
      </w:r>
      <w:r w:rsidR="00551DDB">
        <w:rPr>
          <w:rFonts w:cs="Times New Roman"/>
          <w:color w:val="000000"/>
          <w:szCs w:val="24"/>
          <w:lang w:eastAsia="lv-LV"/>
        </w:rPr>
        <w:t> </w:t>
      </w:r>
      <w:r w:rsidRPr="00BF0BD9">
        <w:rPr>
          <w:rFonts w:cs="Times New Roman"/>
          <w:color w:val="000000"/>
          <w:szCs w:val="24"/>
          <w:lang w:eastAsia="lv-LV"/>
        </w:rPr>
        <w:t>391,9</w:t>
      </w:r>
      <w:r w:rsidR="00577EBF">
        <w:rPr>
          <w:rFonts w:cs="Times New Roman"/>
          <w:color w:val="000000"/>
          <w:szCs w:val="24"/>
          <w:lang w:eastAsia="lv-LV"/>
        </w:rPr>
        <w:t>0</w:t>
      </w:r>
      <w:r w:rsidRPr="00BF0BD9">
        <w:rPr>
          <w:rFonts w:cs="Times New Roman"/>
          <w:color w:val="000000"/>
          <w:szCs w:val="24"/>
          <w:lang w:eastAsia="lv-LV"/>
        </w:rPr>
        <w:t xml:space="preserve"> </w:t>
      </w:r>
      <w:r w:rsidRPr="00BF0BD9">
        <w:rPr>
          <w:rFonts w:cs="Times New Roman"/>
          <w:i/>
          <w:iCs/>
          <w:color w:val="000000"/>
          <w:szCs w:val="24"/>
          <w:lang w:eastAsia="lv-LV"/>
        </w:rPr>
        <w:t>euro</w:t>
      </w:r>
      <w:r w:rsidR="00D55CBA">
        <w:rPr>
          <w:rFonts w:cs="Times New Roman"/>
          <w:color w:val="000000"/>
          <w:szCs w:val="24"/>
          <w:lang w:eastAsia="lv-LV"/>
        </w:rPr>
        <w:t xml:space="preserve">, </w:t>
      </w:r>
      <w:r w:rsidRPr="00BF0BD9">
        <w:rPr>
          <w:rFonts w:cs="Times New Roman"/>
          <w:color w:val="000000"/>
          <w:szCs w:val="24"/>
          <w:lang w:eastAsia="lv-LV"/>
        </w:rPr>
        <w:t xml:space="preserve">sods </w:t>
      </w:r>
      <w:r w:rsidR="00D55CBA">
        <w:rPr>
          <w:rFonts w:cs="Times New Roman"/>
          <w:color w:val="000000"/>
          <w:szCs w:val="24"/>
          <w:lang w:eastAsia="lv-LV"/>
        </w:rPr>
        <w:t xml:space="preserve">– </w:t>
      </w:r>
      <w:r w:rsidRPr="00BF0BD9">
        <w:rPr>
          <w:rFonts w:cs="Times New Roman"/>
          <w:color w:val="000000"/>
          <w:szCs w:val="24"/>
          <w:lang w:eastAsia="lv-LV"/>
        </w:rPr>
        <w:t>brīvības atņemšana uz 5</w:t>
      </w:r>
      <w:r w:rsidR="005B657D">
        <w:rPr>
          <w:rFonts w:cs="Times New Roman"/>
          <w:color w:val="000000"/>
          <w:szCs w:val="24"/>
          <w:lang w:eastAsia="lv-LV"/>
        </w:rPr>
        <w:t> </w:t>
      </w:r>
      <w:r w:rsidRPr="00BF0BD9">
        <w:rPr>
          <w:rFonts w:cs="Times New Roman"/>
          <w:color w:val="000000"/>
          <w:szCs w:val="24"/>
          <w:lang w:eastAsia="lv-LV"/>
        </w:rPr>
        <w:t>gadiem, ar policijas kontroli uz 1</w:t>
      </w:r>
      <w:r w:rsidR="00577EBF">
        <w:rPr>
          <w:rFonts w:cs="Times New Roman"/>
          <w:color w:val="000000"/>
          <w:szCs w:val="24"/>
          <w:lang w:eastAsia="lv-LV"/>
        </w:rPr>
        <w:t> </w:t>
      </w:r>
      <w:r w:rsidRPr="00BF0BD9">
        <w:rPr>
          <w:rFonts w:cs="Times New Roman"/>
          <w:color w:val="000000"/>
          <w:szCs w:val="24"/>
          <w:lang w:eastAsia="lv-LV"/>
        </w:rPr>
        <w:t>gadu</w:t>
      </w:r>
      <w:r w:rsidR="005B657D">
        <w:rPr>
          <w:rFonts w:cs="Times New Roman"/>
          <w:color w:val="000000"/>
          <w:szCs w:val="24"/>
          <w:lang w:eastAsia="lv-LV"/>
        </w:rPr>
        <w:t xml:space="preserve"> un </w:t>
      </w:r>
      <w:r w:rsidR="00D55CBA">
        <w:rPr>
          <w:rFonts w:cs="Times New Roman"/>
          <w:color w:val="000000"/>
          <w:szCs w:val="24"/>
          <w:lang w:eastAsia="lv-LV"/>
        </w:rPr>
        <w:t xml:space="preserve"> </w:t>
      </w:r>
      <w:r w:rsidRPr="00BF0BD9">
        <w:rPr>
          <w:rFonts w:cs="Times New Roman"/>
          <w:color w:val="000000"/>
          <w:szCs w:val="24"/>
          <w:lang w:eastAsia="lv-LV"/>
        </w:rPr>
        <w:t>6</w:t>
      </w:r>
      <w:r w:rsidR="00D55CBA">
        <w:rPr>
          <w:rFonts w:cs="Times New Roman"/>
          <w:color w:val="000000"/>
          <w:szCs w:val="24"/>
          <w:lang w:eastAsia="lv-LV"/>
        </w:rPr>
        <w:t> </w:t>
      </w:r>
      <w:r w:rsidRPr="00BF0BD9">
        <w:rPr>
          <w:rFonts w:cs="Times New Roman"/>
          <w:color w:val="000000"/>
          <w:szCs w:val="24"/>
          <w:lang w:eastAsia="lv-LV"/>
        </w:rPr>
        <w:t>mēnešiem, atņemot tiesības veikt uzņēmējdarbību uz 2</w:t>
      </w:r>
      <w:r w:rsidR="00577EBF">
        <w:rPr>
          <w:rFonts w:cs="Times New Roman"/>
          <w:color w:val="000000"/>
          <w:szCs w:val="24"/>
          <w:lang w:eastAsia="lv-LV"/>
        </w:rPr>
        <w:t> </w:t>
      </w:r>
      <w:r w:rsidRPr="00BF0BD9">
        <w:rPr>
          <w:rFonts w:cs="Times New Roman"/>
          <w:color w:val="000000"/>
          <w:szCs w:val="24"/>
          <w:lang w:eastAsia="lv-LV"/>
        </w:rPr>
        <w:t xml:space="preserve">gadiem </w:t>
      </w:r>
      <w:r w:rsidR="005B657D">
        <w:rPr>
          <w:rFonts w:cs="Times New Roman"/>
          <w:color w:val="000000"/>
          <w:szCs w:val="24"/>
          <w:lang w:eastAsia="lv-LV"/>
        </w:rPr>
        <w:t xml:space="preserve">un </w:t>
      </w:r>
      <w:r w:rsidRPr="00BF0BD9">
        <w:rPr>
          <w:rFonts w:cs="Times New Roman"/>
          <w:color w:val="000000"/>
          <w:szCs w:val="24"/>
          <w:lang w:eastAsia="lv-LV"/>
        </w:rPr>
        <w:t>6</w:t>
      </w:r>
      <w:r w:rsidR="005B657D">
        <w:rPr>
          <w:rFonts w:cs="Times New Roman"/>
          <w:color w:val="000000"/>
          <w:szCs w:val="24"/>
          <w:lang w:eastAsia="lv-LV"/>
        </w:rPr>
        <w:t> </w:t>
      </w:r>
      <w:r w:rsidRPr="00BF0BD9">
        <w:rPr>
          <w:rFonts w:cs="Times New Roman"/>
          <w:color w:val="000000"/>
          <w:szCs w:val="24"/>
          <w:lang w:eastAsia="lv-LV"/>
        </w:rPr>
        <w:t>mēnešiem, piedzenot par labu valstij kompensāciju par mantiskajiem zaudējumiem 362</w:t>
      </w:r>
      <w:r w:rsidR="00E00860">
        <w:rPr>
          <w:rFonts w:cs="Times New Roman"/>
          <w:color w:val="000000"/>
          <w:szCs w:val="24"/>
          <w:lang w:eastAsia="lv-LV"/>
        </w:rPr>
        <w:t> </w:t>
      </w:r>
      <w:r w:rsidRPr="00BF0BD9">
        <w:rPr>
          <w:rFonts w:cs="Times New Roman"/>
          <w:color w:val="000000"/>
          <w:szCs w:val="24"/>
          <w:lang w:eastAsia="lv-LV"/>
        </w:rPr>
        <w:t>391,90</w:t>
      </w:r>
      <w:r w:rsidR="00E00860">
        <w:rPr>
          <w:rFonts w:cs="Times New Roman"/>
          <w:color w:val="000000"/>
          <w:szCs w:val="24"/>
          <w:lang w:eastAsia="lv-LV"/>
        </w:rPr>
        <w:t> </w:t>
      </w:r>
      <w:r w:rsidRPr="00BF0BD9">
        <w:rPr>
          <w:rFonts w:cs="Times New Roman"/>
          <w:i/>
          <w:iCs/>
          <w:color w:val="000000"/>
          <w:szCs w:val="24"/>
          <w:lang w:eastAsia="lv-LV"/>
        </w:rPr>
        <w:t>euro</w:t>
      </w:r>
      <w:r w:rsidRPr="00BF0BD9">
        <w:rPr>
          <w:rFonts w:cs="Times New Roman"/>
          <w:color w:val="000000"/>
          <w:szCs w:val="24"/>
          <w:lang w:eastAsia="lv-LV"/>
        </w:rPr>
        <w:t xml:space="preserve"> apmērā;</w:t>
      </w:r>
    </w:p>
    <w:p w14:paraId="6AE79542" w14:textId="19661450" w:rsidR="00E51A5A" w:rsidRPr="00BF0BD9" w:rsidRDefault="00E51A5A" w:rsidP="00E329FC">
      <w:pPr>
        <w:pStyle w:val="ListParagraph"/>
        <w:numPr>
          <w:ilvl w:val="0"/>
          <w:numId w:val="53"/>
        </w:numPr>
        <w:spacing w:after="0" w:line="240" w:lineRule="auto"/>
        <w:jc w:val="both"/>
        <w:rPr>
          <w:rFonts w:cs="Times New Roman"/>
          <w:color w:val="000000"/>
          <w:szCs w:val="24"/>
          <w:lang w:eastAsia="lv-LV"/>
        </w:rPr>
      </w:pPr>
      <w:r w:rsidRPr="00BF0BD9">
        <w:rPr>
          <w:rFonts w:cs="Times New Roman"/>
          <w:color w:val="000000"/>
          <w:szCs w:val="24"/>
          <w:lang w:eastAsia="lv-LV"/>
        </w:rPr>
        <w:t xml:space="preserve">Krimināllikuma 177. panta trešā daļa, nodarītais zaudējums </w:t>
      </w:r>
      <w:r w:rsidRPr="00D55CBA">
        <w:rPr>
          <w:rFonts w:cs="Times New Roman"/>
          <w:color w:val="000000"/>
          <w:szCs w:val="24"/>
          <w:lang w:eastAsia="lv-LV"/>
        </w:rPr>
        <w:t>2</w:t>
      </w:r>
      <w:r w:rsidR="00551DDB">
        <w:rPr>
          <w:rFonts w:cs="Times New Roman"/>
          <w:color w:val="000000"/>
          <w:szCs w:val="24"/>
          <w:lang w:eastAsia="lv-LV"/>
        </w:rPr>
        <w:t> </w:t>
      </w:r>
      <w:r w:rsidRPr="00D55CBA">
        <w:rPr>
          <w:rFonts w:cs="Times New Roman"/>
          <w:color w:val="000000"/>
          <w:szCs w:val="24"/>
          <w:lang w:eastAsia="lv-LV"/>
        </w:rPr>
        <w:t>544</w:t>
      </w:r>
      <w:r w:rsidR="00551DDB">
        <w:rPr>
          <w:rFonts w:cs="Times New Roman"/>
          <w:color w:val="000000"/>
          <w:szCs w:val="24"/>
          <w:lang w:eastAsia="lv-LV"/>
        </w:rPr>
        <w:t> </w:t>
      </w:r>
      <w:r w:rsidRPr="00D55CBA">
        <w:rPr>
          <w:rFonts w:cs="Times New Roman"/>
          <w:color w:val="000000"/>
          <w:szCs w:val="24"/>
          <w:lang w:eastAsia="lv-LV"/>
        </w:rPr>
        <w:t xml:space="preserve">781,83 </w:t>
      </w:r>
      <w:r w:rsidRPr="00D55CBA">
        <w:rPr>
          <w:rFonts w:cs="Times New Roman"/>
          <w:i/>
          <w:iCs/>
          <w:color w:val="000000"/>
          <w:szCs w:val="24"/>
          <w:lang w:eastAsia="lv-LV"/>
        </w:rPr>
        <w:t>euro</w:t>
      </w:r>
      <w:r w:rsidR="00D55CBA">
        <w:rPr>
          <w:rFonts w:cs="Times New Roman"/>
          <w:b/>
          <w:bCs/>
          <w:color w:val="000000"/>
          <w:szCs w:val="24"/>
          <w:lang w:eastAsia="lv-LV"/>
        </w:rPr>
        <w:t xml:space="preserve">, </w:t>
      </w:r>
      <w:r w:rsidRPr="00BF0BD9">
        <w:rPr>
          <w:rFonts w:cs="Times New Roman"/>
          <w:color w:val="000000"/>
          <w:szCs w:val="24"/>
          <w:lang w:eastAsia="lv-LV"/>
        </w:rPr>
        <w:t>sods</w:t>
      </w:r>
      <w:r w:rsidR="00D55CBA">
        <w:rPr>
          <w:rFonts w:cs="Times New Roman"/>
          <w:color w:val="000000"/>
          <w:szCs w:val="24"/>
          <w:lang w:eastAsia="lv-LV"/>
        </w:rPr>
        <w:t xml:space="preserve"> – </w:t>
      </w:r>
      <w:r w:rsidRPr="00BF0BD9">
        <w:rPr>
          <w:rFonts w:cs="Times New Roman"/>
          <w:color w:val="000000"/>
          <w:szCs w:val="24"/>
          <w:lang w:eastAsia="lv-LV"/>
        </w:rPr>
        <w:t>brīvības atņemšana uz 3</w:t>
      </w:r>
      <w:r w:rsidR="00577EBF">
        <w:rPr>
          <w:rFonts w:cs="Times New Roman"/>
          <w:color w:val="000000"/>
          <w:szCs w:val="24"/>
          <w:lang w:eastAsia="lv-LV"/>
        </w:rPr>
        <w:t> </w:t>
      </w:r>
      <w:r w:rsidRPr="00BF0BD9">
        <w:rPr>
          <w:rFonts w:cs="Times New Roman"/>
          <w:color w:val="000000"/>
          <w:szCs w:val="24"/>
          <w:lang w:eastAsia="lv-LV"/>
        </w:rPr>
        <w:t xml:space="preserve">gadiem (prokurora viedoklis </w:t>
      </w:r>
      <w:r w:rsidR="00D55CBA">
        <w:rPr>
          <w:rFonts w:cs="Times New Roman"/>
          <w:color w:val="000000"/>
          <w:szCs w:val="24"/>
          <w:lang w:eastAsia="lv-LV"/>
        </w:rPr>
        <w:t xml:space="preserve">tiesā </w:t>
      </w:r>
      <w:r w:rsidRPr="00BF0BD9">
        <w:rPr>
          <w:rFonts w:cs="Times New Roman"/>
          <w:color w:val="000000"/>
          <w:szCs w:val="24"/>
          <w:lang w:eastAsia="lv-LV"/>
        </w:rPr>
        <w:t xml:space="preserve">– </w:t>
      </w:r>
      <w:r w:rsidR="00D55CBA">
        <w:rPr>
          <w:rFonts w:cs="Times New Roman"/>
          <w:color w:val="000000"/>
          <w:szCs w:val="24"/>
          <w:lang w:eastAsia="lv-LV"/>
        </w:rPr>
        <w:t xml:space="preserve">brīvības atņemšana uz </w:t>
      </w:r>
      <w:r w:rsidRPr="00BF0BD9">
        <w:rPr>
          <w:rFonts w:cs="Times New Roman"/>
          <w:color w:val="000000"/>
          <w:szCs w:val="24"/>
          <w:lang w:eastAsia="lv-LV"/>
        </w:rPr>
        <w:t>7</w:t>
      </w:r>
      <w:r w:rsidR="00D55CBA">
        <w:rPr>
          <w:rFonts w:cs="Times New Roman"/>
          <w:color w:val="000000"/>
          <w:szCs w:val="24"/>
          <w:lang w:eastAsia="lv-LV"/>
        </w:rPr>
        <w:t> </w:t>
      </w:r>
      <w:r w:rsidRPr="00BF0BD9">
        <w:rPr>
          <w:rFonts w:cs="Times New Roman"/>
          <w:color w:val="000000"/>
          <w:szCs w:val="24"/>
          <w:lang w:eastAsia="lv-LV"/>
        </w:rPr>
        <w:t>gadi</w:t>
      </w:r>
      <w:r w:rsidR="00D55CBA">
        <w:rPr>
          <w:rFonts w:cs="Times New Roman"/>
          <w:color w:val="000000"/>
          <w:szCs w:val="24"/>
          <w:lang w:eastAsia="lv-LV"/>
        </w:rPr>
        <w:t>em</w:t>
      </w:r>
      <w:r w:rsidRPr="00BF0BD9">
        <w:rPr>
          <w:rFonts w:cs="Times New Roman"/>
          <w:color w:val="000000"/>
          <w:szCs w:val="24"/>
          <w:lang w:eastAsia="lv-LV"/>
        </w:rPr>
        <w:t>; iesniegts protests), piedzenot valsts labā mantiskā kaitējuma atlīdzību 2</w:t>
      </w:r>
      <w:r w:rsidR="00551DDB">
        <w:rPr>
          <w:rFonts w:cs="Times New Roman"/>
          <w:color w:val="000000"/>
          <w:szCs w:val="24"/>
          <w:lang w:eastAsia="lv-LV"/>
        </w:rPr>
        <w:t> </w:t>
      </w:r>
      <w:r w:rsidRPr="00BF0BD9">
        <w:rPr>
          <w:rFonts w:cs="Times New Roman"/>
          <w:color w:val="000000"/>
          <w:szCs w:val="24"/>
          <w:lang w:eastAsia="lv-LV"/>
        </w:rPr>
        <w:t>544</w:t>
      </w:r>
      <w:r w:rsidR="00551DDB">
        <w:rPr>
          <w:rFonts w:cs="Times New Roman"/>
          <w:color w:val="000000"/>
          <w:szCs w:val="24"/>
          <w:lang w:eastAsia="lv-LV"/>
        </w:rPr>
        <w:t> </w:t>
      </w:r>
      <w:r w:rsidRPr="00BF0BD9">
        <w:rPr>
          <w:rFonts w:cs="Times New Roman"/>
          <w:color w:val="000000"/>
          <w:szCs w:val="24"/>
          <w:lang w:eastAsia="lv-LV"/>
        </w:rPr>
        <w:t>781,83</w:t>
      </w:r>
      <w:r w:rsidR="00551DDB">
        <w:rPr>
          <w:rFonts w:cs="Times New Roman"/>
          <w:color w:val="000000"/>
          <w:szCs w:val="24"/>
          <w:lang w:eastAsia="lv-LV"/>
        </w:rPr>
        <w:t> </w:t>
      </w:r>
      <w:r w:rsidRPr="00BF0BD9">
        <w:rPr>
          <w:rFonts w:cs="Times New Roman"/>
          <w:i/>
          <w:iCs/>
          <w:color w:val="000000"/>
          <w:szCs w:val="24"/>
          <w:lang w:eastAsia="lv-LV"/>
        </w:rPr>
        <w:t>euro</w:t>
      </w:r>
      <w:r w:rsidR="00577EBF">
        <w:rPr>
          <w:rFonts w:cs="Times New Roman"/>
          <w:color w:val="000000"/>
          <w:szCs w:val="24"/>
          <w:lang w:eastAsia="lv-LV"/>
        </w:rPr>
        <w:t xml:space="preserve">, kā arī </w:t>
      </w:r>
      <w:r w:rsidRPr="00BF0BD9">
        <w:rPr>
          <w:rFonts w:cs="Times New Roman"/>
          <w:color w:val="000000"/>
          <w:szCs w:val="24"/>
          <w:lang w:eastAsia="lv-LV"/>
        </w:rPr>
        <w:t>atbilstoši Krimināllikuma 7</w:t>
      </w:r>
      <w:r w:rsidR="00577EBF">
        <w:rPr>
          <w:rFonts w:cs="Times New Roman"/>
          <w:color w:val="000000"/>
          <w:szCs w:val="24"/>
          <w:lang w:eastAsia="lv-LV"/>
        </w:rPr>
        <w:t>0.</w:t>
      </w:r>
      <w:r w:rsidR="00577EBF" w:rsidRPr="00577EBF">
        <w:rPr>
          <w:rFonts w:cs="Times New Roman"/>
          <w:color w:val="000000"/>
          <w:szCs w:val="24"/>
          <w:vertAlign w:val="superscript"/>
          <w:lang w:eastAsia="lv-LV"/>
        </w:rPr>
        <w:t>3</w:t>
      </w:r>
      <w:r w:rsidR="00577EBF">
        <w:rPr>
          <w:rFonts w:cs="Times New Roman"/>
          <w:color w:val="000000"/>
          <w:szCs w:val="24"/>
          <w:lang w:eastAsia="lv-LV"/>
        </w:rPr>
        <w:t> </w:t>
      </w:r>
      <w:r w:rsidRPr="00BF0BD9">
        <w:rPr>
          <w:rFonts w:cs="Times New Roman"/>
          <w:color w:val="000000"/>
          <w:szCs w:val="24"/>
          <w:lang w:eastAsia="lv-LV"/>
        </w:rPr>
        <w:t>panta pirmajai daļai SIA piemērots piespiedu ietekmēšanas līdzeklis</w:t>
      </w:r>
      <w:r w:rsidR="00577EBF">
        <w:rPr>
          <w:rFonts w:cs="Times New Roman"/>
          <w:color w:val="000000"/>
          <w:szCs w:val="24"/>
          <w:lang w:eastAsia="lv-LV"/>
        </w:rPr>
        <w:t xml:space="preserve"> – </w:t>
      </w:r>
      <w:r w:rsidRPr="00BF0BD9">
        <w:rPr>
          <w:rFonts w:cs="Times New Roman"/>
          <w:color w:val="000000"/>
          <w:szCs w:val="24"/>
          <w:lang w:eastAsia="lv-LV"/>
        </w:rPr>
        <w:t>likvidācija.</w:t>
      </w:r>
    </w:p>
    <w:p w14:paraId="5155E5B5" w14:textId="77777777" w:rsidR="00E51A5A" w:rsidRDefault="00E51A5A" w:rsidP="00E51A5A">
      <w:pPr>
        <w:pStyle w:val="ListParagraph"/>
        <w:spacing w:after="0" w:line="240" w:lineRule="auto"/>
        <w:jc w:val="both"/>
        <w:rPr>
          <w:rFonts w:cs="Times New Roman"/>
          <w:color w:val="000000"/>
          <w:szCs w:val="24"/>
          <w:lang w:eastAsia="lv-LV"/>
        </w:rPr>
      </w:pPr>
    </w:p>
    <w:p w14:paraId="12E41A3B" w14:textId="236523A2" w:rsidR="00E51A5A" w:rsidRPr="00D60EF2" w:rsidRDefault="00E51A5A" w:rsidP="001F4686">
      <w:pPr>
        <w:pStyle w:val="ListParagraph"/>
        <w:spacing w:after="0" w:line="240" w:lineRule="auto"/>
        <w:ind w:left="0"/>
        <w:jc w:val="center"/>
        <w:rPr>
          <w:rFonts w:cs="Times New Roman"/>
          <w:color w:val="000000"/>
          <w:szCs w:val="24"/>
          <w:lang w:eastAsia="lv-LV"/>
        </w:rPr>
      </w:pPr>
      <w:r>
        <w:rPr>
          <w:rFonts w:cs="Times New Roman"/>
          <w:noProof/>
          <w:color w:val="000000"/>
          <w:szCs w:val="24"/>
          <w:lang w:eastAsia="lv-LV"/>
        </w:rPr>
        <w:lastRenderedPageBreak/>
        <w:drawing>
          <wp:inline distT="0" distB="0" distL="0" distR="0" wp14:anchorId="673EB7B4" wp14:editId="5EAC47B1">
            <wp:extent cx="5029200" cy="2198914"/>
            <wp:effectExtent l="0" t="0" r="0" b="11430"/>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74CB8DA7" w14:textId="77777777" w:rsidR="00D60EF2" w:rsidRDefault="00D60EF2" w:rsidP="0011037E">
      <w:pPr>
        <w:spacing w:after="0"/>
        <w:jc w:val="both"/>
        <w:rPr>
          <w:rFonts w:cs="Times New Roman"/>
          <w:color w:val="000000"/>
          <w:szCs w:val="24"/>
          <w:lang w:eastAsia="lv-LV"/>
        </w:rPr>
      </w:pPr>
    </w:p>
    <w:p w14:paraId="53CF047A" w14:textId="316FBDAF" w:rsidR="00E51A5A" w:rsidRPr="00D60EF2" w:rsidRDefault="00E51A5A" w:rsidP="0011037E">
      <w:pPr>
        <w:spacing w:after="0" w:line="240" w:lineRule="auto"/>
        <w:ind w:firstLine="720"/>
        <w:jc w:val="both"/>
        <w:rPr>
          <w:rFonts w:cs="Times New Roman"/>
          <w:color w:val="000000"/>
          <w:szCs w:val="24"/>
          <w:lang w:eastAsia="lv-LV"/>
        </w:rPr>
      </w:pPr>
      <w:r w:rsidRPr="00D60EF2">
        <w:rPr>
          <w:rFonts w:cs="Times New Roman"/>
          <w:color w:val="000000"/>
          <w:szCs w:val="24"/>
          <w:lang w:eastAsia="lv-LV"/>
        </w:rPr>
        <w:t>Izvērtējot</w:t>
      </w:r>
      <w:r w:rsidRPr="00D60EF2">
        <w:rPr>
          <w:rFonts w:cs="Times New Roman"/>
          <w:i/>
          <w:iCs/>
          <w:color w:val="000000"/>
          <w:szCs w:val="24"/>
          <w:lang w:eastAsia="lv-LV"/>
        </w:rPr>
        <w:t xml:space="preserve"> </w:t>
      </w:r>
      <w:r w:rsidR="00D60EF2">
        <w:rPr>
          <w:rFonts w:cs="Times New Roman"/>
          <w:color w:val="000000"/>
          <w:szCs w:val="24"/>
          <w:lang w:eastAsia="lv-LV"/>
        </w:rPr>
        <w:t>rīkojuma</w:t>
      </w:r>
      <w:r w:rsidRPr="00D60EF2">
        <w:rPr>
          <w:rFonts w:cs="Times New Roman"/>
          <w:color w:val="000000"/>
          <w:szCs w:val="24"/>
          <w:lang w:eastAsia="lv-LV"/>
        </w:rPr>
        <w:t xml:space="preserve"> kontroles rezultātā saņemto  informāciju:</w:t>
      </w:r>
    </w:p>
    <w:p w14:paraId="47EB9B41" w14:textId="3171F458" w:rsidR="00E51A5A" w:rsidRDefault="00E51A5A" w:rsidP="00E329FC">
      <w:pPr>
        <w:pStyle w:val="ListParagraph"/>
        <w:numPr>
          <w:ilvl w:val="0"/>
          <w:numId w:val="54"/>
        </w:numPr>
        <w:spacing w:line="240" w:lineRule="auto"/>
        <w:jc w:val="both"/>
        <w:rPr>
          <w:rFonts w:cs="Times New Roman"/>
          <w:color w:val="000000"/>
          <w:szCs w:val="24"/>
          <w:lang w:eastAsia="lv-LV"/>
        </w:rPr>
      </w:pPr>
      <w:r w:rsidRPr="0011037E">
        <w:rPr>
          <w:rFonts w:cs="Times New Roman"/>
          <w:color w:val="000000"/>
          <w:szCs w:val="24"/>
          <w:lang w:eastAsia="lv-LV"/>
        </w:rPr>
        <w:t>iesniegti 12</w:t>
      </w:r>
      <w:r w:rsidR="0021205E">
        <w:rPr>
          <w:rFonts w:cs="Times New Roman"/>
          <w:color w:val="000000"/>
          <w:szCs w:val="24"/>
          <w:lang w:eastAsia="lv-LV"/>
        </w:rPr>
        <w:t> </w:t>
      </w:r>
      <w:r w:rsidRPr="0011037E">
        <w:rPr>
          <w:rFonts w:cs="Times New Roman"/>
          <w:color w:val="000000"/>
          <w:szCs w:val="24"/>
          <w:lang w:eastAsia="lv-LV"/>
        </w:rPr>
        <w:t>apelācijas protesti, no kuriem 2</w:t>
      </w:r>
      <w:r w:rsidR="0021205E">
        <w:rPr>
          <w:rFonts w:cs="Times New Roman"/>
          <w:color w:val="000000"/>
          <w:szCs w:val="24"/>
          <w:lang w:eastAsia="lv-LV"/>
        </w:rPr>
        <w:t> </w:t>
      </w:r>
      <w:r w:rsidRPr="0011037E">
        <w:rPr>
          <w:rFonts w:cs="Times New Roman"/>
          <w:color w:val="000000"/>
          <w:szCs w:val="24"/>
          <w:lang w:eastAsia="lv-LV"/>
        </w:rPr>
        <w:t>apmierināti un 6</w:t>
      </w:r>
      <w:r w:rsidR="0021205E">
        <w:rPr>
          <w:rFonts w:cs="Times New Roman"/>
          <w:color w:val="000000"/>
          <w:szCs w:val="24"/>
          <w:lang w:eastAsia="lv-LV"/>
        </w:rPr>
        <w:t> </w:t>
      </w:r>
      <w:r w:rsidRPr="0011037E">
        <w:rPr>
          <w:rFonts w:cs="Times New Roman"/>
          <w:color w:val="000000"/>
          <w:szCs w:val="24"/>
          <w:lang w:eastAsia="lv-LV"/>
        </w:rPr>
        <w:t>noraidīti, 4</w:t>
      </w:r>
      <w:r w:rsidR="0021205E">
        <w:rPr>
          <w:rFonts w:cs="Times New Roman"/>
          <w:color w:val="000000"/>
          <w:szCs w:val="24"/>
          <w:lang w:eastAsia="lv-LV"/>
        </w:rPr>
        <w:t> </w:t>
      </w:r>
      <w:r w:rsidR="00237261">
        <w:rPr>
          <w:rFonts w:cs="Times New Roman"/>
          <w:color w:val="000000"/>
          <w:szCs w:val="24"/>
          <w:lang w:eastAsia="lv-LV"/>
        </w:rPr>
        <w:t>krimināl</w:t>
      </w:r>
      <w:r w:rsidRPr="0011037E">
        <w:rPr>
          <w:rFonts w:cs="Times New Roman"/>
          <w:color w:val="000000"/>
          <w:szCs w:val="24"/>
          <w:lang w:eastAsia="lv-LV"/>
        </w:rPr>
        <w:t>lietas vēl nav izskatītas apelācijas instanc</w:t>
      </w:r>
      <w:r w:rsidR="00237261">
        <w:rPr>
          <w:rFonts w:cs="Times New Roman"/>
          <w:color w:val="000000"/>
          <w:szCs w:val="24"/>
          <w:lang w:eastAsia="lv-LV"/>
        </w:rPr>
        <w:t>es tiesā</w:t>
      </w:r>
      <w:r w:rsidRPr="0011037E">
        <w:rPr>
          <w:rFonts w:cs="Times New Roman"/>
          <w:color w:val="000000"/>
          <w:szCs w:val="24"/>
          <w:lang w:eastAsia="lv-LV"/>
        </w:rPr>
        <w:t>;</w:t>
      </w:r>
    </w:p>
    <w:p w14:paraId="35A348E1" w14:textId="58124331" w:rsidR="00FA614B" w:rsidRDefault="00E51A5A" w:rsidP="00E329FC">
      <w:pPr>
        <w:pStyle w:val="ListParagraph"/>
        <w:numPr>
          <w:ilvl w:val="0"/>
          <w:numId w:val="54"/>
        </w:numPr>
        <w:spacing w:after="0" w:line="240" w:lineRule="auto"/>
        <w:ind w:left="714" w:hanging="357"/>
        <w:jc w:val="both"/>
        <w:rPr>
          <w:rFonts w:cs="Times New Roman"/>
          <w:color w:val="000000"/>
          <w:szCs w:val="24"/>
          <w:lang w:eastAsia="lv-LV"/>
        </w:rPr>
      </w:pPr>
      <w:r w:rsidRPr="0011037E">
        <w:rPr>
          <w:rFonts w:cs="Times New Roman"/>
          <w:color w:val="000000"/>
          <w:szCs w:val="24"/>
          <w:lang w:eastAsia="lv-LV"/>
        </w:rPr>
        <w:t>iesniegti 5</w:t>
      </w:r>
      <w:r w:rsidR="0021205E">
        <w:rPr>
          <w:rFonts w:cs="Times New Roman"/>
          <w:color w:val="000000"/>
          <w:szCs w:val="24"/>
          <w:lang w:eastAsia="lv-LV"/>
        </w:rPr>
        <w:t> </w:t>
      </w:r>
      <w:r w:rsidRPr="0011037E">
        <w:rPr>
          <w:rFonts w:cs="Times New Roman"/>
          <w:color w:val="000000"/>
          <w:szCs w:val="24"/>
          <w:lang w:eastAsia="lv-LV"/>
        </w:rPr>
        <w:t xml:space="preserve">kasācijas protesti, no kuriem 2 gadījumos atteikts ierosināt kasācijas tiesvedību, </w:t>
      </w:r>
      <w:r w:rsidRPr="00FA614B">
        <w:rPr>
          <w:rFonts w:cs="Times New Roman"/>
          <w:color w:val="000000"/>
          <w:szCs w:val="24"/>
          <w:lang w:eastAsia="lv-LV"/>
        </w:rPr>
        <w:t>t.</w:t>
      </w:r>
      <w:r w:rsidR="0011037E" w:rsidRPr="00FA614B">
        <w:rPr>
          <w:rFonts w:cs="Times New Roman"/>
          <w:color w:val="000000"/>
          <w:szCs w:val="24"/>
          <w:lang w:eastAsia="lv-LV"/>
        </w:rPr>
        <w:t> </w:t>
      </w:r>
      <w:r w:rsidRPr="00FA614B">
        <w:rPr>
          <w:rFonts w:cs="Times New Roman"/>
          <w:color w:val="000000"/>
          <w:szCs w:val="24"/>
          <w:lang w:eastAsia="lv-LV"/>
        </w:rPr>
        <w:t>sk. kriminālprocesā, kurā nodarīts kaitējums 20 333,55</w:t>
      </w:r>
      <w:r w:rsidR="00237261" w:rsidRPr="00FA614B">
        <w:rPr>
          <w:rFonts w:cs="Times New Roman"/>
          <w:color w:val="000000"/>
          <w:szCs w:val="24"/>
          <w:lang w:eastAsia="lv-LV"/>
        </w:rPr>
        <w:t> </w:t>
      </w:r>
      <w:r w:rsidRPr="00FA614B">
        <w:rPr>
          <w:rFonts w:cs="Times New Roman"/>
          <w:i/>
          <w:iCs/>
          <w:color w:val="000000"/>
          <w:szCs w:val="24"/>
          <w:lang w:eastAsia="lv-LV"/>
        </w:rPr>
        <w:t>euro</w:t>
      </w:r>
      <w:r w:rsidRPr="00FA614B">
        <w:rPr>
          <w:rFonts w:cs="Times New Roman"/>
          <w:color w:val="000000"/>
          <w:szCs w:val="24"/>
          <w:lang w:eastAsia="lv-LV"/>
        </w:rPr>
        <w:t>, kas nav atlīdzināts</w:t>
      </w:r>
      <w:r w:rsidR="00237261" w:rsidRPr="00FA614B">
        <w:rPr>
          <w:rFonts w:cs="Times New Roman"/>
          <w:color w:val="000000"/>
          <w:szCs w:val="24"/>
          <w:lang w:eastAsia="lv-LV"/>
        </w:rPr>
        <w:t>,</w:t>
      </w:r>
      <w:r w:rsidRPr="00FA614B">
        <w:rPr>
          <w:rFonts w:cs="Times New Roman"/>
          <w:color w:val="000000"/>
          <w:szCs w:val="24"/>
          <w:lang w:eastAsia="lv-LV"/>
        </w:rPr>
        <w:t xml:space="preserve"> un piespriests naudas sods 4300 </w:t>
      </w:r>
      <w:r w:rsidRPr="00FA614B">
        <w:rPr>
          <w:rFonts w:cs="Times New Roman"/>
          <w:i/>
          <w:iCs/>
          <w:color w:val="000000"/>
          <w:szCs w:val="24"/>
          <w:lang w:eastAsia="lv-LV"/>
        </w:rPr>
        <w:t xml:space="preserve">euro </w:t>
      </w:r>
      <w:r w:rsidRPr="00FA614B">
        <w:rPr>
          <w:rFonts w:cs="Times New Roman"/>
          <w:color w:val="000000"/>
          <w:szCs w:val="24"/>
          <w:lang w:eastAsia="lv-LV"/>
        </w:rPr>
        <w:t>apmērā</w:t>
      </w:r>
      <w:r w:rsidRPr="0011037E">
        <w:rPr>
          <w:rFonts w:cs="Times New Roman"/>
          <w:color w:val="000000"/>
          <w:szCs w:val="24"/>
          <w:lang w:eastAsia="lv-LV"/>
        </w:rPr>
        <w:t xml:space="preserve"> (skat. </w:t>
      </w:r>
      <w:r w:rsidR="003524EC">
        <w:rPr>
          <w:rFonts w:cs="Times New Roman"/>
          <w:color w:val="000000"/>
          <w:szCs w:val="24"/>
          <w:lang w:eastAsia="lv-LV"/>
        </w:rPr>
        <w:t xml:space="preserve">sarakstā </w:t>
      </w:r>
      <w:r w:rsidR="000D34CB">
        <w:rPr>
          <w:rFonts w:cs="Times New Roman"/>
          <w:color w:val="000000"/>
          <w:szCs w:val="24"/>
          <w:lang w:eastAsia="lv-LV"/>
        </w:rPr>
        <w:t xml:space="preserve">pie </w:t>
      </w:r>
      <w:r w:rsidRPr="0011037E">
        <w:rPr>
          <w:rFonts w:cs="Times New Roman"/>
          <w:color w:val="000000"/>
          <w:szCs w:val="24"/>
          <w:lang w:eastAsia="lv-LV"/>
        </w:rPr>
        <w:t>Nr.</w:t>
      </w:r>
      <w:r w:rsidR="00FA614B">
        <w:rPr>
          <w:rFonts w:cs="Times New Roman"/>
          <w:color w:val="000000"/>
          <w:szCs w:val="24"/>
          <w:lang w:eastAsia="lv-LV"/>
        </w:rPr>
        <w:t> </w:t>
      </w:r>
      <w:r w:rsidRPr="0011037E">
        <w:rPr>
          <w:rFonts w:cs="Times New Roman"/>
          <w:color w:val="000000"/>
          <w:szCs w:val="24"/>
          <w:lang w:eastAsia="lv-LV"/>
        </w:rPr>
        <w:t>5), 3</w:t>
      </w:r>
      <w:r w:rsidR="0021205E">
        <w:rPr>
          <w:rFonts w:cs="Times New Roman"/>
          <w:color w:val="000000"/>
          <w:szCs w:val="24"/>
          <w:lang w:eastAsia="lv-LV"/>
        </w:rPr>
        <w:t> </w:t>
      </w:r>
      <w:r w:rsidR="00B84168">
        <w:rPr>
          <w:rFonts w:cs="Times New Roman"/>
          <w:color w:val="000000"/>
          <w:szCs w:val="24"/>
          <w:lang w:eastAsia="lv-LV"/>
        </w:rPr>
        <w:t>krimināl</w:t>
      </w:r>
      <w:r w:rsidRPr="0011037E">
        <w:rPr>
          <w:rFonts w:cs="Times New Roman"/>
          <w:color w:val="000000"/>
          <w:szCs w:val="24"/>
          <w:lang w:eastAsia="lv-LV"/>
        </w:rPr>
        <w:t>lietas vēl nav izskatītas kasācijas instanc</w:t>
      </w:r>
      <w:r w:rsidR="00B84168">
        <w:rPr>
          <w:rFonts w:cs="Times New Roman"/>
          <w:color w:val="000000"/>
          <w:szCs w:val="24"/>
          <w:lang w:eastAsia="lv-LV"/>
        </w:rPr>
        <w:t>es tiesā</w:t>
      </w:r>
      <w:r w:rsidRPr="0011037E">
        <w:rPr>
          <w:rFonts w:cs="Times New Roman"/>
          <w:color w:val="000000"/>
          <w:szCs w:val="24"/>
          <w:lang w:eastAsia="lv-LV"/>
        </w:rPr>
        <w:t>,</w:t>
      </w:r>
    </w:p>
    <w:p w14:paraId="5BF4D8A1" w14:textId="52B99C05" w:rsidR="00E51A5A" w:rsidRPr="00FA614B" w:rsidRDefault="00E51A5A" w:rsidP="00FA614B">
      <w:pPr>
        <w:spacing w:after="0" w:line="240" w:lineRule="auto"/>
        <w:ind w:left="357"/>
        <w:jc w:val="both"/>
        <w:rPr>
          <w:rFonts w:cs="Times New Roman"/>
          <w:color w:val="000000"/>
          <w:szCs w:val="24"/>
          <w:lang w:eastAsia="lv-LV"/>
        </w:rPr>
      </w:pPr>
      <w:r w:rsidRPr="00FA614B">
        <w:rPr>
          <w:rFonts w:cs="Times New Roman"/>
          <w:color w:val="000000"/>
          <w:szCs w:val="24"/>
          <w:lang w:eastAsia="lv-LV"/>
        </w:rPr>
        <w:t>proti:</w:t>
      </w:r>
    </w:p>
    <w:p w14:paraId="22FF2BA9" w14:textId="1836519E" w:rsidR="00774A42" w:rsidRPr="00774A42" w:rsidRDefault="00E51A5A" w:rsidP="00E329FC">
      <w:pPr>
        <w:pStyle w:val="ListParagraph"/>
        <w:numPr>
          <w:ilvl w:val="0"/>
          <w:numId w:val="44"/>
        </w:numPr>
        <w:spacing w:line="240" w:lineRule="auto"/>
        <w:jc w:val="both"/>
        <w:rPr>
          <w:rFonts w:cs="Times New Roman"/>
          <w:color w:val="000000"/>
          <w:szCs w:val="24"/>
          <w:lang w:eastAsia="lv-LV"/>
        </w:rPr>
      </w:pPr>
      <w:r w:rsidRPr="00A75170">
        <w:rPr>
          <w:rFonts w:cs="Times New Roman"/>
          <w:color w:val="000000"/>
          <w:szCs w:val="24"/>
          <w:lang w:eastAsia="lv-LV"/>
        </w:rPr>
        <w:t>Nr.</w:t>
      </w:r>
      <w:r w:rsidR="00591C01" w:rsidRPr="00A75170">
        <w:rPr>
          <w:rFonts w:cs="Times New Roman"/>
          <w:color w:val="000000"/>
          <w:szCs w:val="24"/>
          <w:lang w:eastAsia="lv-LV"/>
        </w:rPr>
        <w:t> </w:t>
      </w:r>
      <w:r w:rsidRPr="00A75170">
        <w:rPr>
          <w:rFonts w:cs="Times New Roman"/>
          <w:color w:val="000000"/>
          <w:szCs w:val="24"/>
          <w:lang w:eastAsia="lv-LV"/>
        </w:rPr>
        <w:t xml:space="preserve">15840072918 – divu personu apsūdzībā pēc </w:t>
      </w:r>
      <w:bookmarkStart w:id="47" w:name="_Hlk64532364"/>
      <w:r w:rsidRPr="00A75170">
        <w:rPr>
          <w:rFonts w:cs="Times New Roman"/>
          <w:color w:val="000000"/>
          <w:szCs w:val="24"/>
          <w:lang w:eastAsia="lv-LV"/>
        </w:rPr>
        <w:t>Krimināllikuma</w:t>
      </w:r>
      <w:bookmarkEnd w:id="47"/>
      <w:r w:rsidRPr="00A75170">
        <w:rPr>
          <w:rFonts w:cs="Times New Roman"/>
          <w:color w:val="000000"/>
          <w:szCs w:val="24"/>
          <w:lang w:eastAsia="lv-LV"/>
        </w:rPr>
        <w:t xml:space="preserve"> 218. panta otrās daļas, nodarot kaitējumu 74 627,40 </w:t>
      </w:r>
      <w:r w:rsidRPr="00A75170">
        <w:rPr>
          <w:rFonts w:cs="Times New Roman"/>
          <w:i/>
          <w:iCs/>
          <w:color w:val="000000"/>
          <w:szCs w:val="24"/>
          <w:lang w:eastAsia="lv-LV"/>
        </w:rPr>
        <w:t xml:space="preserve">euro </w:t>
      </w:r>
      <w:r w:rsidRPr="00A75170">
        <w:rPr>
          <w:rFonts w:cs="Times New Roman"/>
          <w:color w:val="000000"/>
          <w:szCs w:val="24"/>
          <w:lang w:eastAsia="lv-LV"/>
        </w:rPr>
        <w:t xml:space="preserve">apmērā un atlīdzinot 700 </w:t>
      </w:r>
      <w:r w:rsidRPr="00A75170">
        <w:rPr>
          <w:rFonts w:cs="Times New Roman"/>
          <w:i/>
          <w:iCs/>
          <w:color w:val="000000"/>
          <w:szCs w:val="24"/>
          <w:lang w:eastAsia="lv-LV"/>
        </w:rPr>
        <w:t>euro</w:t>
      </w:r>
      <w:r w:rsidRPr="00A75170">
        <w:rPr>
          <w:rFonts w:cs="Times New Roman"/>
          <w:color w:val="000000"/>
          <w:szCs w:val="24"/>
          <w:lang w:eastAsia="lv-LV"/>
        </w:rPr>
        <w:t>:</w:t>
      </w:r>
    </w:p>
    <w:p w14:paraId="156D9A44" w14:textId="0D5CAA5C" w:rsidR="00E51A5A" w:rsidRDefault="00E51A5A" w:rsidP="00E329FC">
      <w:pPr>
        <w:pStyle w:val="ListParagraph"/>
        <w:numPr>
          <w:ilvl w:val="1"/>
          <w:numId w:val="44"/>
        </w:numPr>
        <w:spacing w:after="0" w:line="240" w:lineRule="auto"/>
        <w:ind w:left="788" w:hanging="431"/>
        <w:jc w:val="both"/>
        <w:rPr>
          <w:rFonts w:cs="Times New Roman"/>
          <w:color w:val="000000"/>
          <w:szCs w:val="24"/>
          <w:lang w:eastAsia="lv-LV"/>
        </w:rPr>
      </w:pPr>
      <w:r w:rsidRPr="00A75170">
        <w:rPr>
          <w:rFonts w:cs="Times New Roman"/>
          <w:color w:val="000000"/>
          <w:szCs w:val="24"/>
          <w:lang w:eastAsia="lv-LV"/>
        </w:rPr>
        <w:t>pirmās instances tiesa:</w:t>
      </w:r>
    </w:p>
    <w:p w14:paraId="28C3DA9A" w14:textId="7DA64023" w:rsidR="00E51A5A" w:rsidRDefault="00E51A5A" w:rsidP="00E329FC">
      <w:pPr>
        <w:pStyle w:val="ListParagraph"/>
        <w:numPr>
          <w:ilvl w:val="2"/>
          <w:numId w:val="55"/>
        </w:numPr>
        <w:spacing w:after="0" w:line="240" w:lineRule="auto"/>
        <w:jc w:val="both"/>
        <w:rPr>
          <w:rFonts w:cs="Times New Roman"/>
          <w:color w:val="000000"/>
          <w:szCs w:val="24"/>
          <w:lang w:eastAsia="lv-LV"/>
        </w:rPr>
      </w:pPr>
      <w:r w:rsidRPr="00AE6EED">
        <w:rPr>
          <w:rFonts w:cs="Times New Roman"/>
          <w:color w:val="000000"/>
          <w:szCs w:val="24"/>
          <w:lang w:eastAsia="lv-LV"/>
        </w:rPr>
        <w:t xml:space="preserve">prokurors lūdza </w:t>
      </w:r>
      <w:r w:rsidR="00556E75" w:rsidRPr="00AE6EED">
        <w:rPr>
          <w:rFonts w:cs="Times New Roman"/>
          <w:color w:val="000000"/>
          <w:szCs w:val="24"/>
          <w:lang w:eastAsia="lv-LV"/>
        </w:rPr>
        <w:t xml:space="preserve">tiesu </w:t>
      </w:r>
      <w:r w:rsidRPr="00AE6EED">
        <w:rPr>
          <w:rFonts w:cs="Times New Roman"/>
          <w:color w:val="000000"/>
          <w:szCs w:val="24"/>
          <w:lang w:eastAsia="lv-LV"/>
        </w:rPr>
        <w:t xml:space="preserve">apsūdzētos </w:t>
      </w:r>
      <w:r w:rsidR="00BE316A" w:rsidRPr="00AE6EED">
        <w:rPr>
          <w:rFonts w:cs="Times New Roman"/>
          <w:color w:val="000000"/>
          <w:szCs w:val="24"/>
          <w:lang w:eastAsia="lv-LV"/>
        </w:rPr>
        <w:t xml:space="preserve">atzīt par vainīgiem </w:t>
      </w:r>
      <w:r w:rsidR="00FD1381" w:rsidRPr="00AE6EED">
        <w:rPr>
          <w:rFonts w:cs="Times New Roman"/>
          <w:color w:val="000000"/>
          <w:szCs w:val="24"/>
          <w:lang w:eastAsia="lv-LV"/>
        </w:rPr>
        <w:t xml:space="preserve">pēc </w:t>
      </w:r>
      <w:r w:rsidR="00BE316A" w:rsidRPr="00AE6EED">
        <w:rPr>
          <w:rFonts w:cs="Times New Roman"/>
          <w:color w:val="000000"/>
          <w:szCs w:val="24"/>
          <w:lang w:eastAsia="lv-LV"/>
        </w:rPr>
        <w:t>Krimināllikuma 218. panta otrā</w:t>
      </w:r>
      <w:r w:rsidR="00FD1381" w:rsidRPr="00AE6EED">
        <w:rPr>
          <w:rFonts w:cs="Times New Roman"/>
          <w:color w:val="000000"/>
          <w:szCs w:val="24"/>
          <w:lang w:eastAsia="lv-LV"/>
        </w:rPr>
        <w:t>s</w:t>
      </w:r>
      <w:r w:rsidR="00BE316A" w:rsidRPr="00AE6EED">
        <w:rPr>
          <w:rFonts w:cs="Times New Roman"/>
          <w:color w:val="000000"/>
          <w:szCs w:val="24"/>
          <w:lang w:eastAsia="lv-LV"/>
        </w:rPr>
        <w:t xml:space="preserve"> daļ</w:t>
      </w:r>
      <w:r w:rsidR="00FD1381" w:rsidRPr="00AE6EED">
        <w:rPr>
          <w:rFonts w:cs="Times New Roman"/>
          <w:color w:val="000000"/>
          <w:szCs w:val="24"/>
          <w:lang w:eastAsia="lv-LV"/>
        </w:rPr>
        <w:t>as</w:t>
      </w:r>
      <w:r w:rsidR="00C471D4" w:rsidRPr="00AE6EED">
        <w:rPr>
          <w:rFonts w:cs="Times New Roman"/>
          <w:color w:val="000000"/>
          <w:szCs w:val="24"/>
          <w:lang w:eastAsia="lv-LV"/>
        </w:rPr>
        <w:t xml:space="preserve"> un </w:t>
      </w:r>
      <w:r w:rsidRPr="00AE6EED">
        <w:rPr>
          <w:rFonts w:cs="Times New Roman"/>
          <w:color w:val="000000"/>
          <w:szCs w:val="24"/>
          <w:lang w:eastAsia="lv-LV"/>
        </w:rPr>
        <w:t xml:space="preserve">sodīt ar brīvības atņemšanu uz </w:t>
      </w:r>
      <w:r w:rsidR="00B84168" w:rsidRPr="00AE6EED">
        <w:rPr>
          <w:rFonts w:cs="Times New Roman"/>
          <w:color w:val="000000"/>
          <w:szCs w:val="24"/>
          <w:lang w:eastAsia="lv-LV"/>
        </w:rPr>
        <w:t>1 </w:t>
      </w:r>
      <w:r w:rsidRPr="00AE6EED">
        <w:rPr>
          <w:rFonts w:cs="Times New Roman"/>
          <w:color w:val="000000"/>
          <w:szCs w:val="24"/>
          <w:lang w:eastAsia="lv-LV"/>
        </w:rPr>
        <w:t>gadu</w:t>
      </w:r>
      <w:r w:rsidR="00AB2BC8" w:rsidRPr="00AE6EED">
        <w:rPr>
          <w:rFonts w:cs="Times New Roman"/>
          <w:color w:val="000000"/>
          <w:szCs w:val="24"/>
          <w:lang w:eastAsia="lv-LV"/>
        </w:rPr>
        <w:t>, piemērojot Krimināllikuma 55 pantu,</w:t>
      </w:r>
      <w:r w:rsidRPr="00AE6EED">
        <w:rPr>
          <w:rFonts w:cs="Times New Roman"/>
          <w:color w:val="000000"/>
          <w:szCs w:val="24"/>
          <w:lang w:eastAsia="lv-LV"/>
        </w:rPr>
        <w:t xml:space="preserve"> nosacīti ar pārbaudes laiku uz </w:t>
      </w:r>
      <w:r w:rsidR="00B84168" w:rsidRPr="00AE6EED">
        <w:rPr>
          <w:rFonts w:cs="Times New Roman"/>
          <w:color w:val="000000"/>
          <w:szCs w:val="24"/>
          <w:lang w:eastAsia="lv-LV"/>
        </w:rPr>
        <w:t>1 </w:t>
      </w:r>
      <w:r w:rsidRPr="00AE6EED">
        <w:rPr>
          <w:rFonts w:cs="Times New Roman"/>
          <w:color w:val="000000"/>
          <w:szCs w:val="24"/>
          <w:lang w:eastAsia="lv-LV"/>
        </w:rPr>
        <w:t>gadu, ierobežojot tiesības ieņemt valdes locekļa amatu kapitālsabiedrībā uz 2 gadiem;</w:t>
      </w:r>
    </w:p>
    <w:p w14:paraId="7CA60CC0" w14:textId="52233298" w:rsidR="00E51A5A" w:rsidRDefault="00E51A5A" w:rsidP="00E329FC">
      <w:pPr>
        <w:pStyle w:val="ListParagraph"/>
        <w:numPr>
          <w:ilvl w:val="2"/>
          <w:numId w:val="55"/>
        </w:numPr>
        <w:spacing w:after="0" w:line="240" w:lineRule="auto"/>
        <w:jc w:val="both"/>
        <w:rPr>
          <w:rFonts w:cs="Times New Roman"/>
          <w:color w:val="000000"/>
          <w:szCs w:val="24"/>
          <w:lang w:eastAsia="lv-LV"/>
        </w:rPr>
      </w:pPr>
      <w:r w:rsidRPr="00AE6EED">
        <w:rPr>
          <w:rFonts w:cs="Times New Roman"/>
          <w:color w:val="000000"/>
          <w:szCs w:val="24"/>
          <w:lang w:eastAsia="lv-LV"/>
        </w:rPr>
        <w:t>15.01.2020.</w:t>
      </w:r>
      <w:r w:rsidR="001C3857" w:rsidRPr="00AE6EED">
        <w:rPr>
          <w:rFonts w:cs="Times New Roman"/>
          <w:color w:val="000000"/>
          <w:szCs w:val="24"/>
          <w:lang w:eastAsia="lv-LV"/>
        </w:rPr>
        <w:t> </w:t>
      </w:r>
      <w:r w:rsidRPr="00AE6EED">
        <w:rPr>
          <w:rFonts w:cs="Times New Roman"/>
          <w:color w:val="000000"/>
          <w:szCs w:val="24"/>
          <w:lang w:eastAsia="lv-LV"/>
        </w:rPr>
        <w:t xml:space="preserve">Kurzemes rajona tiesa (Liepājā) </w:t>
      </w:r>
      <w:r w:rsidR="003F63DB" w:rsidRPr="00AE6EED">
        <w:rPr>
          <w:rFonts w:cs="Times New Roman"/>
          <w:color w:val="000000"/>
          <w:szCs w:val="24"/>
          <w:lang w:eastAsia="lv-LV"/>
        </w:rPr>
        <w:t xml:space="preserve">nosprieda </w:t>
      </w:r>
      <w:r w:rsidR="00C471D4" w:rsidRPr="00AE6EED">
        <w:rPr>
          <w:rFonts w:cs="Times New Roman"/>
          <w:color w:val="000000"/>
          <w:szCs w:val="24"/>
          <w:lang w:eastAsia="lv-LV"/>
        </w:rPr>
        <w:t xml:space="preserve">apsūdzētos </w:t>
      </w:r>
      <w:r w:rsidR="003F63DB" w:rsidRPr="00AE6EED">
        <w:rPr>
          <w:rFonts w:cs="Times New Roman"/>
          <w:color w:val="000000"/>
          <w:szCs w:val="24"/>
          <w:lang w:eastAsia="lv-LV"/>
        </w:rPr>
        <w:t xml:space="preserve">atzīt </w:t>
      </w:r>
      <w:r w:rsidRPr="00AE6EED">
        <w:rPr>
          <w:rFonts w:cs="Times New Roman"/>
          <w:color w:val="000000"/>
          <w:szCs w:val="24"/>
          <w:lang w:eastAsia="lv-LV"/>
        </w:rPr>
        <w:t xml:space="preserve">par vainīgiem </w:t>
      </w:r>
      <w:r w:rsidR="008F6D3E" w:rsidRPr="00AE6EED">
        <w:rPr>
          <w:rFonts w:cs="Times New Roman"/>
          <w:color w:val="000000"/>
          <w:szCs w:val="24"/>
          <w:lang w:eastAsia="lv-LV"/>
        </w:rPr>
        <w:t xml:space="preserve">pēc Krimināllikuma 218. panta otrās daļas </w:t>
      </w:r>
      <w:r w:rsidRPr="00AE6EED">
        <w:rPr>
          <w:rFonts w:cs="Times New Roman"/>
          <w:color w:val="000000"/>
          <w:szCs w:val="24"/>
          <w:lang w:eastAsia="lv-LV"/>
        </w:rPr>
        <w:t>un sodī</w:t>
      </w:r>
      <w:r w:rsidR="003F63DB" w:rsidRPr="00AE6EED">
        <w:rPr>
          <w:rFonts w:cs="Times New Roman"/>
          <w:color w:val="000000"/>
          <w:szCs w:val="24"/>
          <w:lang w:eastAsia="lv-LV"/>
        </w:rPr>
        <w:t>t</w:t>
      </w:r>
      <w:r w:rsidRPr="00AE6EED">
        <w:rPr>
          <w:rFonts w:cs="Times New Roman"/>
          <w:color w:val="000000"/>
          <w:szCs w:val="24"/>
          <w:lang w:eastAsia="lv-LV"/>
        </w:rPr>
        <w:t xml:space="preserve"> katru</w:t>
      </w:r>
      <w:r w:rsidR="00C471D4" w:rsidRPr="00AE6EED">
        <w:rPr>
          <w:rFonts w:cs="Times New Roman"/>
          <w:color w:val="000000"/>
          <w:szCs w:val="24"/>
          <w:lang w:eastAsia="lv-LV"/>
        </w:rPr>
        <w:t xml:space="preserve"> </w:t>
      </w:r>
      <w:r w:rsidRPr="00AE6EED">
        <w:rPr>
          <w:rFonts w:cs="Times New Roman"/>
          <w:color w:val="000000"/>
          <w:szCs w:val="24"/>
          <w:lang w:eastAsia="lv-LV"/>
        </w:rPr>
        <w:t xml:space="preserve">ar brīvības atņemšanu uz </w:t>
      </w:r>
      <w:r w:rsidR="00B84168" w:rsidRPr="00AE6EED">
        <w:rPr>
          <w:rFonts w:cs="Times New Roman"/>
          <w:color w:val="000000"/>
          <w:szCs w:val="24"/>
          <w:lang w:eastAsia="lv-LV"/>
        </w:rPr>
        <w:t>1 </w:t>
      </w:r>
      <w:r w:rsidRPr="00AE6EED">
        <w:rPr>
          <w:rFonts w:cs="Times New Roman"/>
          <w:color w:val="000000"/>
          <w:szCs w:val="24"/>
          <w:lang w:eastAsia="lv-LV"/>
        </w:rPr>
        <w:t>gadu</w:t>
      </w:r>
      <w:r w:rsidR="00AB2BC8" w:rsidRPr="00AE6EED">
        <w:rPr>
          <w:rFonts w:cs="Times New Roman"/>
          <w:color w:val="000000"/>
          <w:szCs w:val="24"/>
          <w:lang w:eastAsia="lv-LV"/>
        </w:rPr>
        <w:t>, piemērojot Krimināllikuma 55. pantu,</w:t>
      </w:r>
      <w:r w:rsidRPr="00AE6EED">
        <w:rPr>
          <w:rFonts w:cs="Times New Roman"/>
          <w:color w:val="000000"/>
          <w:szCs w:val="24"/>
          <w:lang w:eastAsia="lv-LV"/>
        </w:rPr>
        <w:t xml:space="preserve"> nosacīti ar pārbaudes laiku uz </w:t>
      </w:r>
      <w:r w:rsidR="00B84168" w:rsidRPr="00AE6EED">
        <w:rPr>
          <w:rFonts w:cs="Times New Roman"/>
          <w:color w:val="000000"/>
          <w:szCs w:val="24"/>
          <w:lang w:eastAsia="lv-LV"/>
        </w:rPr>
        <w:t>2 </w:t>
      </w:r>
      <w:r w:rsidRPr="00AE6EED">
        <w:rPr>
          <w:rFonts w:cs="Times New Roman"/>
          <w:color w:val="000000"/>
          <w:szCs w:val="24"/>
          <w:lang w:eastAsia="lv-LV"/>
        </w:rPr>
        <w:t>gadiem, atņemot tiesības ieņemt valdes locekļa amatu uz 3</w:t>
      </w:r>
      <w:r w:rsidR="00B84168" w:rsidRPr="00AE6EED">
        <w:rPr>
          <w:rFonts w:cs="Times New Roman"/>
          <w:color w:val="000000"/>
          <w:szCs w:val="24"/>
          <w:lang w:eastAsia="lv-LV"/>
        </w:rPr>
        <w:t> </w:t>
      </w:r>
      <w:r w:rsidRPr="00AE6EED">
        <w:rPr>
          <w:rFonts w:cs="Times New Roman"/>
          <w:color w:val="000000"/>
          <w:szCs w:val="24"/>
          <w:lang w:eastAsia="lv-LV"/>
        </w:rPr>
        <w:t>gadiem;</w:t>
      </w:r>
    </w:p>
    <w:p w14:paraId="0944148B" w14:textId="6DD9EFC6" w:rsidR="00E51A5A" w:rsidRDefault="00E51A5A" w:rsidP="00E329FC">
      <w:pPr>
        <w:pStyle w:val="ListParagraph"/>
        <w:numPr>
          <w:ilvl w:val="2"/>
          <w:numId w:val="55"/>
        </w:numPr>
        <w:spacing w:after="0" w:line="240" w:lineRule="auto"/>
        <w:jc w:val="both"/>
        <w:rPr>
          <w:rFonts w:cs="Times New Roman"/>
          <w:color w:val="000000"/>
          <w:szCs w:val="24"/>
          <w:lang w:eastAsia="lv-LV"/>
        </w:rPr>
      </w:pPr>
      <w:r w:rsidRPr="00AE6EED">
        <w:rPr>
          <w:rFonts w:cs="Times New Roman"/>
          <w:color w:val="000000"/>
          <w:szCs w:val="24"/>
          <w:lang w:eastAsia="lv-LV"/>
        </w:rPr>
        <w:t>prokurora un virsprokurora ieskatā sods samērīgs nodarītajam;</w:t>
      </w:r>
    </w:p>
    <w:p w14:paraId="13D4D677" w14:textId="523D294D" w:rsidR="00E51A5A" w:rsidRDefault="00E51A5A" w:rsidP="00E329FC">
      <w:pPr>
        <w:pStyle w:val="ListParagraph"/>
        <w:numPr>
          <w:ilvl w:val="2"/>
          <w:numId w:val="55"/>
        </w:numPr>
        <w:spacing w:after="0" w:line="240" w:lineRule="auto"/>
        <w:jc w:val="both"/>
        <w:rPr>
          <w:rFonts w:cs="Times New Roman"/>
          <w:color w:val="000000"/>
          <w:szCs w:val="24"/>
          <w:lang w:eastAsia="lv-LV"/>
        </w:rPr>
      </w:pPr>
      <w:r w:rsidRPr="00AE6EED">
        <w:rPr>
          <w:rFonts w:cs="Times New Roman"/>
          <w:color w:val="000000"/>
          <w:szCs w:val="24"/>
          <w:lang w:eastAsia="lv-LV"/>
        </w:rPr>
        <w:t>Tiesās izskatāmo krimināllietu nodaļas virsprokurora rīcība – rezolūcija Kurzemes tiesas apgabala prokuratūras virsprokurorei par amatā augstāka prokurora tiesību realizāciju, lemjot arī par pilna sprieduma pieprasīšanu;</w:t>
      </w:r>
    </w:p>
    <w:p w14:paraId="67344F05" w14:textId="718D6CEE" w:rsidR="00E51A5A" w:rsidRPr="00AE6EED" w:rsidRDefault="00E51A5A" w:rsidP="00E329FC">
      <w:pPr>
        <w:pStyle w:val="ListParagraph"/>
        <w:numPr>
          <w:ilvl w:val="2"/>
          <w:numId w:val="55"/>
        </w:numPr>
        <w:spacing w:after="0" w:line="240" w:lineRule="auto"/>
        <w:jc w:val="both"/>
        <w:rPr>
          <w:rFonts w:cs="Times New Roman"/>
          <w:color w:val="000000"/>
          <w:szCs w:val="24"/>
          <w:lang w:eastAsia="lv-LV"/>
        </w:rPr>
      </w:pPr>
      <w:r w:rsidRPr="00AE6EED">
        <w:rPr>
          <w:rFonts w:cs="Times New Roman"/>
          <w:color w:val="000000"/>
          <w:szCs w:val="24"/>
          <w:lang w:eastAsia="lv-LV"/>
        </w:rPr>
        <w:t>pieprasīts pilnais spriedums un Kurzemes tiesas apgabala prokuratūras virsprokurore iesniedza apelācijas protestu, lūdzot atcelt Kurzemes rajona tiesas (Liepājā) 15.01.2020.</w:t>
      </w:r>
      <w:r w:rsidR="001C3857" w:rsidRPr="00AE6EED">
        <w:rPr>
          <w:rFonts w:cs="Times New Roman"/>
          <w:color w:val="000000"/>
          <w:szCs w:val="24"/>
          <w:lang w:eastAsia="lv-LV"/>
        </w:rPr>
        <w:t> </w:t>
      </w:r>
      <w:r w:rsidRPr="00AE6EED">
        <w:rPr>
          <w:rFonts w:cs="Times New Roman"/>
          <w:color w:val="000000"/>
          <w:szCs w:val="24"/>
          <w:lang w:eastAsia="lv-LV"/>
        </w:rPr>
        <w:t>spriedumu daļā par atbildību mīkstinoša apstākļa atzīšanu vienam no apsūdzētajiem un Krimināllikuma 55. panta piemērošanu abiem apsūdzētajiem, taisot šajā daļā jaunu spriedumu;</w:t>
      </w:r>
    </w:p>
    <w:p w14:paraId="5CC87112" w14:textId="4E93BD9F" w:rsidR="00E51A5A"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apelācijas instances tiesa:</w:t>
      </w:r>
    </w:p>
    <w:p w14:paraId="10A69BDB" w14:textId="592B0E1E" w:rsidR="00E51A5A" w:rsidRPr="00AE6EED" w:rsidRDefault="00E51A5A" w:rsidP="00E329FC">
      <w:pPr>
        <w:pStyle w:val="ListParagraph"/>
        <w:numPr>
          <w:ilvl w:val="2"/>
          <w:numId w:val="55"/>
        </w:numPr>
        <w:spacing w:line="240" w:lineRule="auto"/>
        <w:jc w:val="both"/>
        <w:rPr>
          <w:rFonts w:cs="Times New Roman"/>
          <w:color w:val="000000"/>
          <w:szCs w:val="24"/>
          <w:lang w:eastAsia="lv-LV"/>
        </w:rPr>
      </w:pPr>
      <w:r w:rsidRPr="00AE6EED">
        <w:rPr>
          <w:rFonts w:cs="Times New Roman"/>
          <w:color w:val="000000"/>
          <w:szCs w:val="24"/>
          <w:lang w:eastAsia="lv-LV"/>
        </w:rPr>
        <w:t>27.04.2020.</w:t>
      </w:r>
      <w:r w:rsidR="001C3857" w:rsidRPr="00AE6EED">
        <w:rPr>
          <w:rFonts w:cs="Times New Roman"/>
          <w:color w:val="000000"/>
          <w:szCs w:val="24"/>
          <w:lang w:eastAsia="lv-LV"/>
        </w:rPr>
        <w:t> </w:t>
      </w:r>
      <w:r w:rsidRPr="00AE6EED">
        <w:rPr>
          <w:rFonts w:cs="Times New Roman"/>
          <w:color w:val="000000"/>
          <w:szCs w:val="24"/>
          <w:lang w:eastAsia="lv-LV"/>
        </w:rPr>
        <w:t>Kurzemes apgabaltiesa nolēma Kurzemes rajona tiesas 15.01.2020.</w:t>
      </w:r>
      <w:r w:rsidR="001C3857" w:rsidRPr="00AE6EED">
        <w:rPr>
          <w:rFonts w:cs="Times New Roman"/>
          <w:color w:val="000000"/>
          <w:szCs w:val="24"/>
          <w:lang w:eastAsia="lv-LV"/>
        </w:rPr>
        <w:t> </w:t>
      </w:r>
      <w:r w:rsidRPr="00AE6EED">
        <w:rPr>
          <w:rFonts w:cs="Times New Roman"/>
          <w:color w:val="000000"/>
          <w:szCs w:val="24"/>
          <w:lang w:eastAsia="lv-LV"/>
        </w:rPr>
        <w:t>spriedumu atstāt negrozītu;</w:t>
      </w:r>
    </w:p>
    <w:p w14:paraId="62B5CBA4" w14:textId="3AE5159A"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Kurzemes tiesas apgabala prokuratūras virsprokurore 06.05.2020.</w:t>
      </w:r>
      <w:r w:rsidR="001C3857" w:rsidRPr="00A75170">
        <w:rPr>
          <w:rFonts w:cs="Times New Roman"/>
          <w:color w:val="000000"/>
          <w:szCs w:val="24"/>
          <w:lang w:eastAsia="lv-LV"/>
        </w:rPr>
        <w:t> </w:t>
      </w:r>
      <w:r w:rsidRPr="00A75170">
        <w:rPr>
          <w:rFonts w:cs="Times New Roman"/>
          <w:color w:val="000000"/>
          <w:szCs w:val="24"/>
          <w:lang w:eastAsia="lv-LV"/>
        </w:rPr>
        <w:t>iesniedza kasācijas protestu;</w:t>
      </w:r>
    </w:p>
    <w:p w14:paraId="2186244C" w14:textId="0C4ADD2E" w:rsidR="00CC17A2" w:rsidRPr="00A75170" w:rsidRDefault="00E51A5A" w:rsidP="00E329FC">
      <w:pPr>
        <w:pStyle w:val="ListParagraph"/>
        <w:numPr>
          <w:ilvl w:val="1"/>
          <w:numId w:val="55"/>
        </w:numPr>
        <w:spacing w:after="0" w:line="240" w:lineRule="auto"/>
        <w:ind w:left="788" w:hanging="431"/>
        <w:jc w:val="both"/>
        <w:rPr>
          <w:rFonts w:cs="Times New Roman"/>
          <w:color w:val="000000"/>
          <w:szCs w:val="24"/>
          <w:lang w:eastAsia="lv-LV"/>
        </w:rPr>
      </w:pPr>
      <w:r w:rsidRPr="00A75170">
        <w:rPr>
          <w:rFonts w:cs="Times New Roman"/>
          <w:color w:val="000000"/>
          <w:szCs w:val="24"/>
          <w:lang w:eastAsia="lv-LV"/>
        </w:rPr>
        <w:t>11.06.2020.</w:t>
      </w:r>
      <w:r w:rsidR="00282BB5" w:rsidRPr="00A75170">
        <w:rPr>
          <w:rFonts w:cs="Times New Roman"/>
          <w:color w:val="000000"/>
          <w:szCs w:val="24"/>
          <w:lang w:eastAsia="lv-LV"/>
        </w:rPr>
        <w:t> </w:t>
      </w:r>
      <w:r w:rsidRPr="00A75170">
        <w:rPr>
          <w:rFonts w:cs="Times New Roman"/>
          <w:color w:val="000000"/>
          <w:szCs w:val="24"/>
          <w:lang w:eastAsia="lv-LV"/>
        </w:rPr>
        <w:t xml:space="preserve">Senātā ierosināta kasācijas tiesvedība – </w:t>
      </w:r>
      <w:r w:rsidR="007C7D7B" w:rsidRPr="00A75170">
        <w:rPr>
          <w:rFonts w:cs="Times New Roman"/>
          <w:color w:val="000000"/>
          <w:szCs w:val="24"/>
          <w:lang w:eastAsia="lv-LV"/>
        </w:rPr>
        <w:t>krimināl</w:t>
      </w:r>
      <w:r w:rsidRPr="00A75170">
        <w:rPr>
          <w:rFonts w:cs="Times New Roman"/>
          <w:color w:val="000000"/>
          <w:szCs w:val="24"/>
          <w:lang w:eastAsia="lv-LV"/>
        </w:rPr>
        <w:t>lieta vēl nav izskatīta;</w:t>
      </w:r>
    </w:p>
    <w:p w14:paraId="7A863149" w14:textId="77777777" w:rsidR="00095169" w:rsidRPr="00774A42" w:rsidRDefault="00095169" w:rsidP="00774A42">
      <w:pPr>
        <w:spacing w:after="0" w:line="240" w:lineRule="auto"/>
        <w:jc w:val="both"/>
        <w:rPr>
          <w:rFonts w:cs="Times New Roman"/>
          <w:color w:val="000000"/>
          <w:szCs w:val="24"/>
          <w:lang w:eastAsia="lv-LV"/>
        </w:rPr>
      </w:pPr>
    </w:p>
    <w:p w14:paraId="2D2A65BE" w14:textId="77777777" w:rsidR="00095169"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lastRenderedPageBreak/>
        <w:t>Nr.</w:t>
      </w:r>
      <w:r w:rsidR="00591C01" w:rsidRPr="00A75170">
        <w:rPr>
          <w:rFonts w:cs="Times New Roman"/>
          <w:color w:val="000000"/>
          <w:szCs w:val="24"/>
          <w:lang w:eastAsia="lv-LV"/>
        </w:rPr>
        <w:t> </w:t>
      </w:r>
      <w:r w:rsidRPr="00A75170">
        <w:rPr>
          <w:rFonts w:cs="Times New Roman"/>
          <w:color w:val="000000"/>
          <w:szCs w:val="24"/>
          <w:lang w:eastAsia="lv-LV"/>
        </w:rPr>
        <w:t xml:space="preserve">15830023613 – divu personu apsūdzībā pēc Krimināllikuma 218. panta otrās daļas, 20. panta otrās daļas un 218. panta otrās daļas, nodarot kaitējumu 134 764,72 </w:t>
      </w:r>
      <w:r w:rsidRPr="00A75170">
        <w:rPr>
          <w:rFonts w:cs="Times New Roman"/>
          <w:i/>
          <w:iCs/>
          <w:color w:val="000000"/>
          <w:szCs w:val="24"/>
          <w:lang w:eastAsia="lv-LV"/>
        </w:rPr>
        <w:t>euro</w:t>
      </w:r>
      <w:r w:rsidRPr="00A75170">
        <w:rPr>
          <w:rFonts w:cs="Times New Roman"/>
          <w:color w:val="000000"/>
          <w:szCs w:val="24"/>
          <w:lang w:eastAsia="lv-LV"/>
        </w:rPr>
        <w:t xml:space="preserve"> un atlīdzinot 3668,53 </w:t>
      </w:r>
      <w:r w:rsidRPr="00A75170">
        <w:rPr>
          <w:rFonts w:cs="Times New Roman"/>
          <w:i/>
          <w:iCs/>
          <w:color w:val="000000"/>
          <w:szCs w:val="24"/>
          <w:lang w:eastAsia="lv-LV"/>
        </w:rPr>
        <w:t>euro:</w:t>
      </w:r>
    </w:p>
    <w:p w14:paraId="565AAF96" w14:textId="451BEA0F" w:rsidR="00E51A5A" w:rsidRDefault="00E51A5A" w:rsidP="00E329FC">
      <w:pPr>
        <w:pStyle w:val="ListParagraph"/>
        <w:numPr>
          <w:ilvl w:val="1"/>
          <w:numId w:val="55"/>
        </w:numPr>
        <w:spacing w:line="240" w:lineRule="auto"/>
        <w:jc w:val="both"/>
        <w:rPr>
          <w:rFonts w:cs="Times New Roman"/>
          <w:color w:val="000000"/>
          <w:szCs w:val="24"/>
          <w:lang w:eastAsia="lv-LV"/>
        </w:rPr>
      </w:pPr>
      <w:r w:rsidRPr="00095169">
        <w:rPr>
          <w:rFonts w:cs="Times New Roman"/>
          <w:color w:val="000000"/>
          <w:szCs w:val="24"/>
          <w:lang w:eastAsia="lv-LV"/>
        </w:rPr>
        <w:t>pirmās instances tiesa:</w:t>
      </w:r>
    </w:p>
    <w:p w14:paraId="700F01B4" w14:textId="215AA7BE" w:rsidR="00E51A5A" w:rsidRDefault="00E51A5A" w:rsidP="00E329FC">
      <w:pPr>
        <w:pStyle w:val="ListParagraph"/>
        <w:numPr>
          <w:ilvl w:val="2"/>
          <w:numId w:val="55"/>
        </w:numPr>
        <w:spacing w:line="240" w:lineRule="auto"/>
        <w:jc w:val="both"/>
        <w:rPr>
          <w:rFonts w:cs="Times New Roman"/>
          <w:color w:val="000000"/>
          <w:szCs w:val="24"/>
          <w:lang w:eastAsia="lv-LV"/>
        </w:rPr>
      </w:pPr>
      <w:r w:rsidRPr="00095169">
        <w:rPr>
          <w:rFonts w:cs="Times New Roman"/>
          <w:color w:val="000000"/>
          <w:szCs w:val="24"/>
          <w:lang w:eastAsia="lv-LV"/>
        </w:rPr>
        <w:t xml:space="preserve">prokurors lūdza </w:t>
      </w:r>
      <w:r w:rsidR="00556E75" w:rsidRPr="00095169">
        <w:rPr>
          <w:rFonts w:cs="Times New Roman"/>
          <w:color w:val="000000"/>
          <w:szCs w:val="24"/>
          <w:lang w:eastAsia="lv-LV"/>
        </w:rPr>
        <w:t xml:space="preserve">tiesu </w:t>
      </w:r>
      <w:r w:rsidR="008F6D3E" w:rsidRPr="00095169">
        <w:rPr>
          <w:rFonts w:cs="Times New Roman"/>
          <w:color w:val="000000"/>
          <w:szCs w:val="24"/>
          <w:lang w:eastAsia="lv-LV"/>
        </w:rPr>
        <w:t xml:space="preserve">vienu </w:t>
      </w:r>
      <w:r w:rsidR="00E72AF8" w:rsidRPr="00095169">
        <w:rPr>
          <w:rFonts w:cs="Times New Roman"/>
          <w:color w:val="000000"/>
          <w:szCs w:val="24"/>
          <w:lang w:eastAsia="lv-LV"/>
        </w:rPr>
        <w:t>apsūdzēto</w:t>
      </w:r>
      <w:r w:rsidR="008F6D3E" w:rsidRPr="00095169">
        <w:rPr>
          <w:rFonts w:cs="Times New Roman"/>
          <w:color w:val="000000"/>
          <w:szCs w:val="24"/>
          <w:lang w:eastAsia="lv-LV"/>
        </w:rPr>
        <w:t xml:space="preserve"> atzīt par vainīgu pēc Krimināllikuma</w:t>
      </w:r>
      <w:r w:rsidR="00452F88" w:rsidRPr="00095169">
        <w:rPr>
          <w:rFonts w:cs="Times New Roman"/>
          <w:color w:val="000000"/>
          <w:szCs w:val="24"/>
          <w:lang w:eastAsia="lv-LV"/>
        </w:rPr>
        <w:t xml:space="preserve"> 20. panta otrās daļas un </w:t>
      </w:r>
      <w:r w:rsidR="008F6D3E" w:rsidRPr="00095169">
        <w:rPr>
          <w:rFonts w:cs="Times New Roman"/>
          <w:color w:val="000000"/>
          <w:szCs w:val="24"/>
          <w:lang w:eastAsia="lv-LV"/>
        </w:rPr>
        <w:t>218. panta otrās daļas un</w:t>
      </w:r>
      <w:r w:rsidRPr="00095169">
        <w:rPr>
          <w:rFonts w:cs="Times New Roman"/>
          <w:color w:val="000000"/>
          <w:szCs w:val="24"/>
          <w:lang w:eastAsia="lv-LV"/>
        </w:rPr>
        <w:t xml:space="preserve"> sodīt ar brīvības atņemšanu uz </w:t>
      </w:r>
      <w:r w:rsidR="007C7D7B" w:rsidRPr="00095169">
        <w:rPr>
          <w:rFonts w:cs="Times New Roman"/>
          <w:color w:val="000000"/>
          <w:szCs w:val="24"/>
          <w:lang w:eastAsia="lv-LV"/>
        </w:rPr>
        <w:t>1 </w:t>
      </w:r>
      <w:r w:rsidRPr="00095169">
        <w:rPr>
          <w:rFonts w:cs="Times New Roman"/>
          <w:color w:val="000000"/>
          <w:szCs w:val="24"/>
          <w:lang w:eastAsia="lv-LV"/>
        </w:rPr>
        <w:t>gadu, atņemot tiesības veikt uzņēmējdarbību uz 4</w:t>
      </w:r>
      <w:r w:rsidR="007C7D7B" w:rsidRPr="00095169">
        <w:rPr>
          <w:rFonts w:cs="Times New Roman"/>
          <w:color w:val="000000"/>
          <w:szCs w:val="24"/>
          <w:lang w:eastAsia="lv-LV"/>
        </w:rPr>
        <w:t> </w:t>
      </w:r>
      <w:r w:rsidRPr="00095169">
        <w:rPr>
          <w:rFonts w:cs="Times New Roman"/>
          <w:color w:val="000000"/>
          <w:szCs w:val="24"/>
          <w:lang w:eastAsia="lv-LV"/>
        </w:rPr>
        <w:t xml:space="preserve">gadiem, bet otru </w:t>
      </w:r>
      <w:r w:rsidR="00E72AF8" w:rsidRPr="00095169">
        <w:rPr>
          <w:rFonts w:cs="Times New Roman"/>
          <w:color w:val="000000"/>
          <w:szCs w:val="24"/>
          <w:lang w:eastAsia="lv-LV"/>
        </w:rPr>
        <w:t>apsūdzēto</w:t>
      </w:r>
      <w:r w:rsidRPr="00095169">
        <w:rPr>
          <w:rFonts w:cs="Times New Roman"/>
          <w:color w:val="000000"/>
          <w:szCs w:val="24"/>
          <w:lang w:eastAsia="lv-LV"/>
        </w:rPr>
        <w:t xml:space="preserve"> </w:t>
      </w:r>
      <w:r w:rsidR="008F6D3E" w:rsidRPr="00095169">
        <w:rPr>
          <w:rFonts w:cs="Times New Roman"/>
          <w:color w:val="000000"/>
          <w:szCs w:val="24"/>
          <w:lang w:eastAsia="lv-LV"/>
        </w:rPr>
        <w:t>atzīt par vainīgu</w:t>
      </w:r>
      <w:r w:rsidR="00452F88" w:rsidRPr="00095169">
        <w:rPr>
          <w:rFonts w:cs="Times New Roman"/>
          <w:color w:val="000000"/>
          <w:szCs w:val="24"/>
          <w:lang w:eastAsia="lv-LV"/>
        </w:rPr>
        <w:t xml:space="preserve"> pēc Krimināllikuma 218. panta otrās daļas un</w:t>
      </w:r>
      <w:r w:rsidR="008F6D3E" w:rsidRPr="00095169">
        <w:rPr>
          <w:rFonts w:cs="Times New Roman"/>
          <w:color w:val="000000"/>
          <w:szCs w:val="24"/>
          <w:lang w:eastAsia="lv-LV"/>
        </w:rPr>
        <w:t xml:space="preserve"> </w:t>
      </w:r>
      <w:r w:rsidRPr="00095169">
        <w:rPr>
          <w:rFonts w:cs="Times New Roman"/>
          <w:color w:val="000000"/>
          <w:szCs w:val="24"/>
          <w:lang w:eastAsia="lv-LV"/>
        </w:rPr>
        <w:t xml:space="preserve">sodīt ar brīvības atņemšanu uz </w:t>
      </w:r>
      <w:r w:rsidR="00452F88" w:rsidRPr="00095169">
        <w:rPr>
          <w:rFonts w:cs="Times New Roman"/>
          <w:color w:val="000000"/>
          <w:szCs w:val="24"/>
          <w:lang w:eastAsia="lv-LV"/>
        </w:rPr>
        <w:t>10 </w:t>
      </w:r>
      <w:r w:rsidRPr="00095169">
        <w:rPr>
          <w:rFonts w:cs="Times New Roman"/>
          <w:color w:val="000000"/>
          <w:szCs w:val="24"/>
          <w:lang w:eastAsia="lv-LV"/>
        </w:rPr>
        <w:t>mēnešiem, atņemot tiesības veikt uzņēmējdarbību uz 4</w:t>
      </w:r>
      <w:r w:rsidR="007C7D7B" w:rsidRPr="00095169">
        <w:rPr>
          <w:rFonts w:cs="Times New Roman"/>
          <w:color w:val="000000"/>
          <w:szCs w:val="24"/>
          <w:lang w:eastAsia="lv-LV"/>
        </w:rPr>
        <w:t> </w:t>
      </w:r>
      <w:r w:rsidRPr="00095169">
        <w:rPr>
          <w:rFonts w:cs="Times New Roman"/>
          <w:color w:val="000000"/>
          <w:szCs w:val="24"/>
          <w:lang w:eastAsia="lv-LV"/>
        </w:rPr>
        <w:t>gadiem;</w:t>
      </w:r>
    </w:p>
    <w:p w14:paraId="0AC14C08" w14:textId="2F76E024" w:rsidR="00E51A5A" w:rsidRDefault="00E51A5A" w:rsidP="00E329FC">
      <w:pPr>
        <w:pStyle w:val="ListParagraph"/>
        <w:numPr>
          <w:ilvl w:val="2"/>
          <w:numId w:val="55"/>
        </w:numPr>
        <w:spacing w:line="240" w:lineRule="auto"/>
        <w:jc w:val="both"/>
        <w:rPr>
          <w:rFonts w:cs="Times New Roman"/>
          <w:color w:val="000000"/>
          <w:szCs w:val="24"/>
          <w:lang w:eastAsia="lv-LV"/>
        </w:rPr>
      </w:pPr>
      <w:r w:rsidRPr="00095169">
        <w:rPr>
          <w:rFonts w:cs="Times New Roman"/>
          <w:color w:val="000000"/>
          <w:szCs w:val="24"/>
          <w:lang w:eastAsia="lv-LV"/>
        </w:rPr>
        <w:t>10.01.2020.</w:t>
      </w:r>
      <w:r w:rsidR="001C3857" w:rsidRPr="00095169">
        <w:rPr>
          <w:rFonts w:cs="Times New Roman"/>
          <w:color w:val="000000"/>
          <w:szCs w:val="24"/>
          <w:lang w:eastAsia="lv-LV"/>
        </w:rPr>
        <w:t> </w:t>
      </w:r>
      <w:r w:rsidRPr="00095169">
        <w:rPr>
          <w:rFonts w:cs="Times New Roman"/>
          <w:color w:val="000000"/>
          <w:szCs w:val="24"/>
          <w:lang w:eastAsia="lv-LV"/>
        </w:rPr>
        <w:t>Zemgales rajona tiesa nosprieda vienu</w:t>
      </w:r>
      <w:r w:rsidR="00E72AF8" w:rsidRPr="00095169">
        <w:rPr>
          <w:rFonts w:cs="Times New Roman"/>
          <w:color w:val="000000"/>
          <w:szCs w:val="24"/>
          <w:lang w:eastAsia="lv-LV"/>
        </w:rPr>
        <w:t xml:space="preserve"> apsūdzēto</w:t>
      </w:r>
      <w:r w:rsidRPr="00095169">
        <w:rPr>
          <w:rFonts w:cs="Times New Roman"/>
          <w:color w:val="000000"/>
          <w:szCs w:val="24"/>
          <w:lang w:eastAsia="lv-LV"/>
        </w:rPr>
        <w:t xml:space="preserve"> </w:t>
      </w:r>
      <w:r w:rsidR="00C471D4" w:rsidRPr="00095169">
        <w:rPr>
          <w:rFonts w:cs="Times New Roman"/>
          <w:color w:val="000000"/>
          <w:szCs w:val="24"/>
          <w:lang w:eastAsia="lv-LV"/>
        </w:rPr>
        <w:t xml:space="preserve">atzīt par vainīgu </w:t>
      </w:r>
      <w:r w:rsidRPr="00095169">
        <w:rPr>
          <w:rFonts w:cs="Times New Roman"/>
          <w:color w:val="000000"/>
          <w:szCs w:val="24"/>
          <w:lang w:eastAsia="lv-LV"/>
        </w:rPr>
        <w:t>pēc Krimināllikuma 20. panta otrās daļas un 218.</w:t>
      </w:r>
      <w:r w:rsidR="001C3857" w:rsidRPr="00095169">
        <w:rPr>
          <w:rFonts w:cs="Times New Roman"/>
          <w:color w:val="000000"/>
          <w:szCs w:val="24"/>
          <w:lang w:eastAsia="lv-LV"/>
        </w:rPr>
        <w:t> </w:t>
      </w:r>
      <w:r w:rsidRPr="00095169">
        <w:rPr>
          <w:rFonts w:cs="Times New Roman"/>
          <w:color w:val="000000"/>
          <w:szCs w:val="24"/>
          <w:lang w:eastAsia="lv-LV"/>
        </w:rPr>
        <w:t xml:space="preserve">panta otrās daļas </w:t>
      </w:r>
      <w:r w:rsidR="00452F88" w:rsidRPr="00095169">
        <w:rPr>
          <w:rFonts w:cs="Times New Roman"/>
          <w:color w:val="000000"/>
          <w:szCs w:val="24"/>
          <w:lang w:eastAsia="lv-LV"/>
        </w:rPr>
        <w:t xml:space="preserve">un sodīt </w:t>
      </w:r>
      <w:r w:rsidRPr="00095169">
        <w:rPr>
          <w:rFonts w:cs="Times New Roman"/>
          <w:color w:val="000000"/>
          <w:szCs w:val="24"/>
          <w:lang w:eastAsia="lv-LV"/>
        </w:rPr>
        <w:t xml:space="preserve">ar brīvības atņemšanu uz </w:t>
      </w:r>
      <w:r w:rsidR="007C7D7B" w:rsidRPr="00095169">
        <w:rPr>
          <w:rFonts w:cs="Times New Roman"/>
          <w:color w:val="000000"/>
          <w:szCs w:val="24"/>
          <w:lang w:eastAsia="lv-LV"/>
        </w:rPr>
        <w:t>1 </w:t>
      </w:r>
      <w:r w:rsidRPr="00095169">
        <w:rPr>
          <w:rFonts w:cs="Times New Roman"/>
          <w:color w:val="000000"/>
          <w:szCs w:val="24"/>
          <w:lang w:eastAsia="lv-LV"/>
        </w:rPr>
        <w:t>gadu</w:t>
      </w:r>
      <w:r w:rsidR="00AB2BC8" w:rsidRPr="00095169">
        <w:rPr>
          <w:rFonts w:cs="Times New Roman"/>
          <w:color w:val="000000"/>
          <w:szCs w:val="24"/>
          <w:lang w:eastAsia="lv-LV"/>
        </w:rPr>
        <w:t>, piemērojot Krimināllikuma 55. pantu,</w:t>
      </w:r>
      <w:r w:rsidR="00E72AF8" w:rsidRPr="00095169">
        <w:rPr>
          <w:rFonts w:cs="Times New Roman"/>
          <w:color w:val="000000"/>
          <w:szCs w:val="24"/>
          <w:lang w:eastAsia="lv-LV"/>
        </w:rPr>
        <w:t xml:space="preserve"> </w:t>
      </w:r>
      <w:r w:rsidRPr="00095169">
        <w:rPr>
          <w:rFonts w:cs="Times New Roman"/>
          <w:color w:val="000000"/>
          <w:szCs w:val="24"/>
          <w:lang w:eastAsia="lv-LV"/>
        </w:rPr>
        <w:t>nosacīti ar pārbaudes laiku uz</w:t>
      </w:r>
      <w:r w:rsidR="001C3857" w:rsidRPr="00095169">
        <w:rPr>
          <w:rFonts w:cs="Times New Roman"/>
          <w:color w:val="000000"/>
          <w:szCs w:val="24"/>
          <w:lang w:eastAsia="lv-LV"/>
        </w:rPr>
        <w:t xml:space="preserve"> </w:t>
      </w:r>
      <w:r w:rsidR="007C7D7B" w:rsidRPr="00095169">
        <w:rPr>
          <w:rFonts w:cs="Times New Roman"/>
          <w:color w:val="000000"/>
          <w:szCs w:val="24"/>
          <w:lang w:eastAsia="lv-LV"/>
        </w:rPr>
        <w:t>2 </w:t>
      </w:r>
      <w:r w:rsidRPr="00095169">
        <w:rPr>
          <w:rFonts w:cs="Times New Roman"/>
          <w:color w:val="000000"/>
          <w:szCs w:val="24"/>
          <w:lang w:eastAsia="lv-LV"/>
        </w:rPr>
        <w:t>gadiem, atņemot tiesības veikt uzņēmējdarbību uz 1</w:t>
      </w:r>
      <w:r w:rsidR="007C7D7B" w:rsidRPr="00095169">
        <w:rPr>
          <w:rFonts w:cs="Times New Roman"/>
          <w:color w:val="000000"/>
          <w:szCs w:val="24"/>
          <w:lang w:eastAsia="lv-LV"/>
        </w:rPr>
        <w:t> </w:t>
      </w:r>
      <w:r w:rsidRPr="00095169">
        <w:rPr>
          <w:rFonts w:cs="Times New Roman"/>
          <w:color w:val="000000"/>
          <w:szCs w:val="24"/>
          <w:lang w:eastAsia="lv-LV"/>
        </w:rPr>
        <w:t xml:space="preserve">gadu, bet otru </w:t>
      </w:r>
      <w:r w:rsidR="00E72AF8" w:rsidRPr="00095169">
        <w:rPr>
          <w:rFonts w:cs="Times New Roman"/>
          <w:color w:val="000000"/>
          <w:szCs w:val="24"/>
          <w:lang w:eastAsia="lv-LV"/>
        </w:rPr>
        <w:t>apsūdzēto</w:t>
      </w:r>
      <w:r w:rsidRPr="00095169">
        <w:rPr>
          <w:rFonts w:cs="Times New Roman"/>
          <w:color w:val="000000"/>
          <w:szCs w:val="24"/>
          <w:lang w:eastAsia="lv-LV"/>
        </w:rPr>
        <w:t xml:space="preserve"> </w:t>
      </w:r>
      <w:r w:rsidR="00452F88" w:rsidRPr="00095169">
        <w:rPr>
          <w:rFonts w:cs="Times New Roman"/>
          <w:color w:val="000000"/>
          <w:szCs w:val="24"/>
          <w:lang w:eastAsia="lv-LV"/>
        </w:rPr>
        <w:t xml:space="preserve">atzīt par vainīgu </w:t>
      </w:r>
      <w:r w:rsidRPr="00095169">
        <w:rPr>
          <w:rFonts w:cs="Times New Roman"/>
          <w:color w:val="000000"/>
          <w:szCs w:val="24"/>
          <w:lang w:eastAsia="lv-LV"/>
        </w:rPr>
        <w:t>pēc Krimināllikuma 218.</w:t>
      </w:r>
      <w:r w:rsidR="007C7D7B" w:rsidRPr="00095169">
        <w:rPr>
          <w:rFonts w:cs="Times New Roman"/>
          <w:color w:val="000000"/>
          <w:szCs w:val="24"/>
          <w:lang w:eastAsia="lv-LV"/>
        </w:rPr>
        <w:t> </w:t>
      </w:r>
      <w:r w:rsidRPr="00095169">
        <w:rPr>
          <w:rFonts w:cs="Times New Roman"/>
          <w:color w:val="000000"/>
          <w:szCs w:val="24"/>
          <w:lang w:eastAsia="lv-LV"/>
        </w:rPr>
        <w:t xml:space="preserve">panta otrās daļas </w:t>
      </w:r>
      <w:r w:rsidR="00FD1381" w:rsidRPr="00095169">
        <w:rPr>
          <w:rFonts w:cs="Times New Roman"/>
          <w:color w:val="000000"/>
          <w:szCs w:val="24"/>
          <w:lang w:eastAsia="lv-LV"/>
        </w:rPr>
        <w:t xml:space="preserve">un sodīt </w:t>
      </w:r>
      <w:r w:rsidRPr="00095169">
        <w:rPr>
          <w:rFonts w:cs="Times New Roman"/>
          <w:color w:val="000000"/>
          <w:szCs w:val="24"/>
          <w:lang w:eastAsia="lv-LV"/>
        </w:rPr>
        <w:t xml:space="preserve">ar brīvības atņemšanu uz </w:t>
      </w:r>
      <w:r w:rsidR="00FD1381" w:rsidRPr="00095169">
        <w:rPr>
          <w:rFonts w:cs="Times New Roman"/>
          <w:color w:val="000000"/>
          <w:szCs w:val="24"/>
          <w:lang w:eastAsia="lv-LV"/>
        </w:rPr>
        <w:t>10 </w:t>
      </w:r>
      <w:r w:rsidRPr="00095169">
        <w:rPr>
          <w:rFonts w:cs="Times New Roman"/>
          <w:color w:val="000000"/>
          <w:szCs w:val="24"/>
          <w:lang w:eastAsia="lv-LV"/>
        </w:rPr>
        <w:t>mēnešiem</w:t>
      </w:r>
      <w:r w:rsidR="00AB2BC8" w:rsidRPr="00095169">
        <w:rPr>
          <w:rFonts w:cs="Times New Roman"/>
          <w:color w:val="000000"/>
          <w:szCs w:val="24"/>
          <w:lang w:eastAsia="lv-LV"/>
        </w:rPr>
        <w:t>, piemērojot Krimināllikuma 55. pantu,</w:t>
      </w:r>
      <w:r w:rsidRPr="00095169">
        <w:rPr>
          <w:rFonts w:cs="Times New Roman"/>
          <w:color w:val="000000"/>
          <w:szCs w:val="24"/>
          <w:lang w:eastAsia="lv-LV"/>
        </w:rPr>
        <w:t xml:space="preserve"> nosacīti ar pārbaudes laiku uz</w:t>
      </w:r>
      <w:r w:rsidR="007C7D7B" w:rsidRPr="00095169">
        <w:rPr>
          <w:rFonts w:cs="Times New Roman"/>
          <w:color w:val="000000"/>
          <w:szCs w:val="24"/>
          <w:lang w:eastAsia="lv-LV"/>
        </w:rPr>
        <w:t xml:space="preserve"> 1 </w:t>
      </w:r>
      <w:r w:rsidRPr="00095169">
        <w:rPr>
          <w:rFonts w:cs="Times New Roman"/>
          <w:color w:val="000000"/>
          <w:szCs w:val="24"/>
          <w:lang w:eastAsia="lv-LV"/>
        </w:rPr>
        <w:t>gadu, atņemot tiesības veikt uzņēmējdarbību uz 1</w:t>
      </w:r>
      <w:r w:rsidR="007C7D7B" w:rsidRPr="00095169">
        <w:rPr>
          <w:rFonts w:cs="Times New Roman"/>
          <w:color w:val="000000"/>
          <w:szCs w:val="24"/>
          <w:lang w:eastAsia="lv-LV"/>
        </w:rPr>
        <w:t> </w:t>
      </w:r>
      <w:r w:rsidRPr="00095169">
        <w:rPr>
          <w:rFonts w:cs="Times New Roman"/>
          <w:color w:val="000000"/>
          <w:szCs w:val="24"/>
          <w:lang w:eastAsia="lv-LV"/>
        </w:rPr>
        <w:t xml:space="preserve">gadu; </w:t>
      </w:r>
    </w:p>
    <w:p w14:paraId="348E8947" w14:textId="417EAE9B" w:rsidR="00E51A5A" w:rsidRDefault="00E51A5A" w:rsidP="00E329FC">
      <w:pPr>
        <w:pStyle w:val="ListParagraph"/>
        <w:numPr>
          <w:ilvl w:val="2"/>
          <w:numId w:val="55"/>
        </w:numPr>
        <w:spacing w:after="0" w:line="240" w:lineRule="auto"/>
        <w:jc w:val="both"/>
        <w:rPr>
          <w:rFonts w:cs="Times New Roman"/>
          <w:color w:val="000000"/>
          <w:szCs w:val="24"/>
          <w:lang w:eastAsia="lv-LV"/>
        </w:rPr>
      </w:pPr>
      <w:r w:rsidRPr="00095169">
        <w:rPr>
          <w:rFonts w:cs="Times New Roman"/>
          <w:color w:val="000000"/>
          <w:szCs w:val="24"/>
          <w:lang w:eastAsia="lv-LV"/>
        </w:rPr>
        <w:t xml:space="preserve">ņemot vērā, ka Zemgales rajona tiesas </w:t>
      </w:r>
      <w:r w:rsidR="00F54BCF" w:rsidRPr="00095169">
        <w:rPr>
          <w:rFonts w:cs="Times New Roman"/>
          <w:color w:val="000000"/>
          <w:szCs w:val="24"/>
          <w:lang w:eastAsia="lv-LV"/>
        </w:rPr>
        <w:t xml:space="preserve">apsūdzētajiem </w:t>
      </w:r>
      <w:r w:rsidRPr="00095169">
        <w:rPr>
          <w:rFonts w:cs="Times New Roman"/>
          <w:color w:val="000000"/>
          <w:szCs w:val="24"/>
          <w:lang w:eastAsia="lv-LV"/>
        </w:rPr>
        <w:t xml:space="preserve">noteiktais </w:t>
      </w:r>
      <w:r w:rsidR="00E72AF8" w:rsidRPr="00095169">
        <w:rPr>
          <w:rFonts w:cs="Times New Roman"/>
          <w:color w:val="000000"/>
          <w:szCs w:val="24"/>
          <w:lang w:eastAsia="lv-LV"/>
        </w:rPr>
        <w:t xml:space="preserve">brīvības atņemšanas </w:t>
      </w:r>
      <w:r w:rsidRPr="00095169">
        <w:rPr>
          <w:rFonts w:cs="Times New Roman"/>
          <w:color w:val="000000"/>
          <w:szCs w:val="24"/>
          <w:lang w:eastAsia="lv-LV"/>
        </w:rPr>
        <w:t xml:space="preserve">soda izpildes veids </w:t>
      </w:r>
      <w:r w:rsidR="00F54BCF" w:rsidRPr="00095169">
        <w:rPr>
          <w:rFonts w:cs="Times New Roman"/>
          <w:color w:val="000000"/>
          <w:szCs w:val="24"/>
          <w:lang w:eastAsia="lv-LV"/>
        </w:rPr>
        <w:t xml:space="preserve">– nosacīti – </w:t>
      </w:r>
      <w:r w:rsidRPr="00095169">
        <w:rPr>
          <w:rFonts w:cs="Times New Roman"/>
          <w:color w:val="000000"/>
          <w:szCs w:val="24"/>
          <w:lang w:eastAsia="lv-LV"/>
        </w:rPr>
        <w:t>būtiski atšķīrās no prokurora pozīcijas tiesā, kā arī tiesa abiem apsūdzētajiem piemēroja būtiski mazāku obligāto papildsodu – tiesību atņemšanu veikt uzņēmējdarbību</w:t>
      </w:r>
      <w:r w:rsidR="00F54BCF" w:rsidRPr="00095169">
        <w:rPr>
          <w:rFonts w:cs="Times New Roman"/>
          <w:color w:val="000000"/>
          <w:szCs w:val="24"/>
          <w:lang w:eastAsia="lv-LV"/>
        </w:rPr>
        <w:t xml:space="preserve"> –</w:t>
      </w:r>
      <w:r w:rsidRPr="00095169">
        <w:rPr>
          <w:rFonts w:cs="Times New Roman"/>
          <w:color w:val="000000"/>
          <w:szCs w:val="24"/>
          <w:lang w:eastAsia="lv-LV"/>
        </w:rPr>
        <w:t>,</w:t>
      </w:r>
      <w:r w:rsidR="00F54BCF" w:rsidRPr="00095169">
        <w:rPr>
          <w:rFonts w:cs="Times New Roman"/>
          <w:color w:val="000000"/>
          <w:szCs w:val="24"/>
          <w:lang w:eastAsia="lv-LV"/>
        </w:rPr>
        <w:t xml:space="preserve"> </w:t>
      </w:r>
      <w:r w:rsidRPr="00095169">
        <w:rPr>
          <w:rFonts w:cs="Times New Roman"/>
          <w:color w:val="000000"/>
          <w:szCs w:val="24"/>
          <w:lang w:eastAsia="lv-LV"/>
        </w:rPr>
        <w:t>26.02.2021.</w:t>
      </w:r>
      <w:r w:rsidR="00282BB5" w:rsidRPr="00095169">
        <w:rPr>
          <w:rFonts w:cs="Times New Roman"/>
          <w:color w:val="000000"/>
          <w:szCs w:val="24"/>
          <w:lang w:eastAsia="lv-LV"/>
        </w:rPr>
        <w:t> T</w:t>
      </w:r>
      <w:r w:rsidRPr="00095169">
        <w:rPr>
          <w:rFonts w:cs="Times New Roman"/>
          <w:color w:val="000000"/>
          <w:szCs w:val="24"/>
          <w:lang w:eastAsia="lv-LV"/>
        </w:rPr>
        <w:t xml:space="preserve">ukuma rajona prokuratūras prokurore iesniedza </w:t>
      </w:r>
      <w:r w:rsidR="00120CF3" w:rsidRPr="00095169">
        <w:rPr>
          <w:rFonts w:cs="Times New Roman"/>
          <w:color w:val="000000"/>
          <w:szCs w:val="24"/>
          <w:lang w:eastAsia="lv-LV"/>
        </w:rPr>
        <w:t xml:space="preserve">apelācijas </w:t>
      </w:r>
      <w:r w:rsidRPr="00095169">
        <w:rPr>
          <w:rFonts w:cs="Times New Roman"/>
          <w:color w:val="000000"/>
          <w:szCs w:val="24"/>
          <w:lang w:eastAsia="lv-LV"/>
        </w:rPr>
        <w:t>protestu, lūdzot atcelt Zemgales rajona tiesas 10.01.2020.</w:t>
      </w:r>
      <w:r w:rsidR="00282BB5" w:rsidRPr="00095169">
        <w:rPr>
          <w:rFonts w:cs="Times New Roman"/>
          <w:color w:val="000000"/>
          <w:szCs w:val="24"/>
          <w:lang w:eastAsia="lv-LV"/>
        </w:rPr>
        <w:t> </w:t>
      </w:r>
      <w:r w:rsidRPr="00095169">
        <w:rPr>
          <w:rFonts w:cs="Times New Roman"/>
          <w:color w:val="000000"/>
          <w:szCs w:val="24"/>
          <w:lang w:eastAsia="lv-LV"/>
        </w:rPr>
        <w:t>spriedumu daļā par</w:t>
      </w:r>
      <w:r w:rsidR="00120CF3" w:rsidRPr="00095169">
        <w:rPr>
          <w:rFonts w:cs="Times New Roman"/>
          <w:color w:val="000000"/>
          <w:szCs w:val="24"/>
          <w:lang w:eastAsia="lv-LV"/>
        </w:rPr>
        <w:t xml:space="preserve"> </w:t>
      </w:r>
      <w:r w:rsidRPr="00095169">
        <w:rPr>
          <w:rFonts w:cs="Times New Roman"/>
          <w:color w:val="000000"/>
          <w:szCs w:val="24"/>
          <w:lang w:eastAsia="lv-LV"/>
        </w:rPr>
        <w:t>sodu</w:t>
      </w:r>
      <w:r w:rsidR="00120CF3" w:rsidRPr="00095169">
        <w:rPr>
          <w:rFonts w:cs="Times New Roman"/>
          <w:color w:val="000000"/>
          <w:szCs w:val="24"/>
          <w:lang w:eastAsia="lv-LV"/>
        </w:rPr>
        <w:t xml:space="preserve"> un noteikt to</w:t>
      </w:r>
      <w:r w:rsidR="00B20EF2" w:rsidRPr="00095169">
        <w:rPr>
          <w:rFonts w:cs="Times New Roman"/>
          <w:color w:val="000000"/>
          <w:szCs w:val="24"/>
          <w:lang w:eastAsia="lv-LV"/>
        </w:rPr>
        <w:t xml:space="preserve"> prokurora pirmās instances tiesā pieprasītajā apmērā</w:t>
      </w:r>
      <w:r w:rsidRPr="00095169">
        <w:rPr>
          <w:rFonts w:cs="Times New Roman"/>
          <w:color w:val="000000"/>
          <w:szCs w:val="24"/>
          <w:lang w:eastAsia="lv-LV"/>
        </w:rPr>
        <w:t>;</w:t>
      </w:r>
    </w:p>
    <w:p w14:paraId="5B352F60" w14:textId="76E5DCC8" w:rsidR="00E51A5A" w:rsidRDefault="00E51A5A" w:rsidP="00E329FC">
      <w:pPr>
        <w:pStyle w:val="ListParagraph"/>
        <w:numPr>
          <w:ilvl w:val="1"/>
          <w:numId w:val="55"/>
        </w:numPr>
        <w:spacing w:after="0" w:line="240" w:lineRule="auto"/>
        <w:jc w:val="both"/>
        <w:rPr>
          <w:rFonts w:cs="Times New Roman"/>
          <w:color w:val="000000"/>
          <w:szCs w:val="24"/>
          <w:lang w:eastAsia="lv-LV"/>
        </w:rPr>
      </w:pPr>
      <w:r w:rsidRPr="00774A42">
        <w:rPr>
          <w:rFonts w:cs="Times New Roman"/>
          <w:color w:val="000000"/>
          <w:szCs w:val="24"/>
          <w:lang w:eastAsia="lv-LV"/>
        </w:rPr>
        <w:t>apelācijas instances tiesa:</w:t>
      </w:r>
    </w:p>
    <w:p w14:paraId="226753C3" w14:textId="7222380F" w:rsidR="00E51A5A" w:rsidRDefault="00E51A5A" w:rsidP="00E329FC">
      <w:pPr>
        <w:pStyle w:val="ListParagraph"/>
        <w:numPr>
          <w:ilvl w:val="2"/>
          <w:numId w:val="55"/>
        </w:numPr>
        <w:spacing w:after="0" w:line="240" w:lineRule="auto"/>
        <w:jc w:val="both"/>
        <w:rPr>
          <w:rFonts w:cs="Times New Roman"/>
          <w:color w:val="000000"/>
          <w:szCs w:val="24"/>
          <w:lang w:eastAsia="lv-LV"/>
        </w:rPr>
      </w:pPr>
      <w:r w:rsidRPr="00774A42">
        <w:rPr>
          <w:rFonts w:cs="Times New Roman"/>
          <w:color w:val="000000"/>
          <w:szCs w:val="24"/>
          <w:lang w:eastAsia="lv-LV"/>
        </w:rPr>
        <w:t>20.07.2020.</w:t>
      </w:r>
      <w:r w:rsidR="006D5C35" w:rsidRPr="00774A42">
        <w:rPr>
          <w:rFonts w:cs="Times New Roman"/>
          <w:color w:val="000000"/>
          <w:szCs w:val="24"/>
          <w:lang w:eastAsia="lv-LV"/>
        </w:rPr>
        <w:t> </w:t>
      </w:r>
      <w:r w:rsidRPr="00774A42">
        <w:rPr>
          <w:rFonts w:cs="Times New Roman"/>
          <w:color w:val="000000"/>
          <w:szCs w:val="24"/>
          <w:lang w:eastAsia="lv-LV"/>
        </w:rPr>
        <w:t>Zemgales apgabaltiesa nolēma Zemgales rajona tiesas (Tukumā) 10.01.2020.</w:t>
      </w:r>
      <w:r w:rsidR="006D5C35" w:rsidRPr="00774A42">
        <w:rPr>
          <w:rFonts w:cs="Times New Roman"/>
          <w:color w:val="000000"/>
          <w:szCs w:val="24"/>
          <w:lang w:eastAsia="lv-LV"/>
        </w:rPr>
        <w:t> </w:t>
      </w:r>
      <w:r w:rsidRPr="00774A42">
        <w:rPr>
          <w:rFonts w:cs="Times New Roman"/>
          <w:color w:val="000000"/>
          <w:szCs w:val="24"/>
          <w:lang w:eastAsia="lv-LV"/>
        </w:rPr>
        <w:t>spriedumu atstāt negrozītu;</w:t>
      </w:r>
    </w:p>
    <w:p w14:paraId="50660B68" w14:textId="03CDC22A" w:rsidR="00CC17A2" w:rsidRPr="00774A42" w:rsidRDefault="00E51A5A" w:rsidP="00E329FC">
      <w:pPr>
        <w:pStyle w:val="ListParagraph"/>
        <w:numPr>
          <w:ilvl w:val="2"/>
          <w:numId w:val="55"/>
        </w:numPr>
        <w:spacing w:after="0" w:line="240" w:lineRule="auto"/>
        <w:jc w:val="both"/>
        <w:rPr>
          <w:rFonts w:cs="Times New Roman"/>
          <w:color w:val="000000"/>
          <w:szCs w:val="24"/>
          <w:lang w:eastAsia="lv-LV"/>
        </w:rPr>
      </w:pPr>
      <w:r w:rsidRPr="00774A42">
        <w:rPr>
          <w:rFonts w:cs="Times New Roman"/>
          <w:color w:val="000000"/>
          <w:szCs w:val="24"/>
          <w:lang w:eastAsia="lv-LV"/>
        </w:rPr>
        <w:t>iepazīstoties ar 20.07.2020.</w:t>
      </w:r>
      <w:r w:rsidR="006D5C35" w:rsidRPr="00774A42">
        <w:rPr>
          <w:rFonts w:cs="Times New Roman"/>
          <w:color w:val="000000"/>
          <w:szCs w:val="24"/>
          <w:lang w:eastAsia="lv-LV"/>
        </w:rPr>
        <w:t> </w:t>
      </w:r>
      <w:r w:rsidRPr="00774A42">
        <w:rPr>
          <w:rFonts w:cs="Times New Roman"/>
          <w:color w:val="000000"/>
          <w:szCs w:val="24"/>
          <w:lang w:eastAsia="lv-LV"/>
        </w:rPr>
        <w:t xml:space="preserve">Zemgales apgabaltiesas </w:t>
      </w:r>
      <w:r w:rsidR="006D5C35" w:rsidRPr="00774A42">
        <w:rPr>
          <w:rFonts w:cs="Times New Roman"/>
          <w:color w:val="000000"/>
          <w:szCs w:val="24"/>
          <w:lang w:eastAsia="lv-LV"/>
        </w:rPr>
        <w:t>no</w:t>
      </w:r>
      <w:r w:rsidRPr="00774A42">
        <w:rPr>
          <w:rFonts w:cs="Times New Roman"/>
          <w:color w:val="000000"/>
          <w:szCs w:val="24"/>
          <w:lang w:eastAsia="lv-LV"/>
        </w:rPr>
        <w:t>lēmumu un izvērtējot tajā izklāstīto motivāciju, Tukuma rajona prokuratūras virsprokurors piekrita tiesas spriedumā izdarītajiem secinājumiem par Krimināllikuma 55.</w:t>
      </w:r>
      <w:r w:rsidR="006D5C35" w:rsidRPr="00774A42">
        <w:rPr>
          <w:rFonts w:cs="Times New Roman"/>
          <w:color w:val="000000"/>
          <w:szCs w:val="24"/>
          <w:lang w:eastAsia="lv-LV"/>
        </w:rPr>
        <w:t> </w:t>
      </w:r>
      <w:r w:rsidRPr="00774A42">
        <w:rPr>
          <w:rFonts w:cs="Times New Roman"/>
          <w:color w:val="000000"/>
          <w:szCs w:val="24"/>
          <w:lang w:eastAsia="lv-LV"/>
        </w:rPr>
        <w:t>panta piemērošanas pamatojumu</w:t>
      </w:r>
      <w:r w:rsidR="0051616C" w:rsidRPr="00774A42">
        <w:rPr>
          <w:rFonts w:cs="Times New Roman"/>
          <w:color w:val="000000"/>
          <w:szCs w:val="24"/>
          <w:lang w:eastAsia="lv-LV"/>
        </w:rPr>
        <w:t xml:space="preserve"> un</w:t>
      </w:r>
      <w:r w:rsidRPr="00774A42">
        <w:rPr>
          <w:rFonts w:cs="Times New Roman"/>
          <w:color w:val="000000"/>
          <w:szCs w:val="24"/>
          <w:lang w:eastAsia="lv-LV"/>
        </w:rPr>
        <w:t xml:space="preserve"> nesaskat</w:t>
      </w:r>
      <w:r w:rsidR="00CE093C" w:rsidRPr="00774A42">
        <w:rPr>
          <w:rFonts w:cs="Times New Roman"/>
          <w:color w:val="000000"/>
          <w:szCs w:val="24"/>
          <w:lang w:eastAsia="lv-LV"/>
        </w:rPr>
        <w:t>īja</w:t>
      </w:r>
      <w:r w:rsidRPr="00774A42">
        <w:rPr>
          <w:rFonts w:cs="Times New Roman"/>
          <w:color w:val="000000"/>
          <w:szCs w:val="24"/>
          <w:lang w:eastAsia="lv-LV"/>
        </w:rPr>
        <w:t xml:space="preserve"> pamatu kasācijas protesta iesniegšanai. Zemgales apgabaltiesa</w:t>
      </w:r>
      <w:r w:rsidR="006D5C35" w:rsidRPr="00774A42">
        <w:rPr>
          <w:rFonts w:cs="Times New Roman"/>
          <w:color w:val="000000"/>
          <w:szCs w:val="24"/>
          <w:lang w:eastAsia="lv-LV"/>
        </w:rPr>
        <w:t>,</w:t>
      </w:r>
      <w:r w:rsidRPr="00774A42">
        <w:rPr>
          <w:rFonts w:cs="Times New Roman"/>
          <w:color w:val="000000"/>
          <w:szCs w:val="24"/>
          <w:lang w:eastAsia="lv-LV"/>
        </w:rPr>
        <w:t xml:space="preserve"> </w:t>
      </w:r>
      <w:r w:rsidR="0051616C" w:rsidRPr="00774A42">
        <w:rPr>
          <w:rFonts w:cs="Times New Roman"/>
          <w:color w:val="000000"/>
          <w:szCs w:val="24"/>
          <w:lang w:eastAsia="lv-LV"/>
        </w:rPr>
        <w:t>notiesājot abus apsūdzētos ar brīvības atņemšanas sodu nosacīti,</w:t>
      </w:r>
      <w:r w:rsidRPr="00774A42">
        <w:rPr>
          <w:rFonts w:cs="Times New Roman"/>
          <w:color w:val="000000"/>
          <w:szCs w:val="24"/>
          <w:lang w:eastAsia="lv-LV"/>
        </w:rPr>
        <w:t xml:space="preserve"> vērtējusi ziņas par apsūdzēto personībām, apsūdzēto atbildību mīkstinošos apstākļus un ilgstošo krimināllietas izskatīšanas laiku, tādējādi gūstot pārliecību, ka</w:t>
      </w:r>
      <w:r w:rsidR="0051616C" w:rsidRPr="00774A42">
        <w:rPr>
          <w:rFonts w:cs="Times New Roman"/>
          <w:color w:val="000000"/>
          <w:szCs w:val="24"/>
          <w:lang w:eastAsia="lv-LV"/>
        </w:rPr>
        <w:t>,</w:t>
      </w:r>
      <w:r w:rsidRPr="00774A42">
        <w:rPr>
          <w:rFonts w:cs="Times New Roman"/>
          <w:color w:val="000000"/>
          <w:szCs w:val="24"/>
          <w:lang w:eastAsia="lv-LV"/>
        </w:rPr>
        <w:t xml:space="preserve"> neizciešot sodu, </w:t>
      </w:r>
      <w:r w:rsidR="006D5C35" w:rsidRPr="00774A42">
        <w:rPr>
          <w:rFonts w:cs="Times New Roman"/>
          <w:color w:val="000000"/>
          <w:szCs w:val="24"/>
          <w:lang w:eastAsia="lv-LV"/>
        </w:rPr>
        <w:t xml:space="preserve">viņi </w:t>
      </w:r>
      <w:r w:rsidRPr="00774A42">
        <w:rPr>
          <w:rFonts w:cs="Times New Roman"/>
          <w:color w:val="000000"/>
          <w:szCs w:val="24"/>
          <w:lang w:eastAsia="lv-LV"/>
        </w:rPr>
        <w:t>turpmāk neizdarīs likumpārkāpumus;</w:t>
      </w:r>
    </w:p>
    <w:p w14:paraId="442C44DA" w14:textId="77777777" w:rsidR="00CC17A2" w:rsidRPr="00A75170" w:rsidRDefault="00CC17A2" w:rsidP="00A75170">
      <w:pPr>
        <w:pStyle w:val="ListParagraph"/>
        <w:spacing w:after="0" w:line="240" w:lineRule="auto"/>
        <w:ind w:left="1225"/>
        <w:jc w:val="both"/>
        <w:rPr>
          <w:rFonts w:cs="Times New Roman"/>
          <w:color w:val="000000"/>
          <w:szCs w:val="24"/>
          <w:lang w:eastAsia="lv-LV"/>
        </w:rPr>
      </w:pPr>
    </w:p>
    <w:p w14:paraId="3266AD33" w14:textId="187A4B8B"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591C01" w:rsidRPr="00A75170">
        <w:rPr>
          <w:rFonts w:cs="Times New Roman"/>
          <w:color w:val="000000"/>
          <w:szCs w:val="24"/>
          <w:lang w:eastAsia="lv-LV"/>
        </w:rPr>
        <w:t> </w:t>
      </w:r>
      <w:r w:rsidRPr="00A75170">
        <w:rPr>
          <w:rFonts w:cs="Times New Roman"/>
          <w:color w:val="000000"/>
          <w:szCs w:val="24"/>
          <w:lang w:eastAsia="lv-LV"/>
        </w:rPr>
        <w:t xml:space="preserve">15840127818 – vienas personas apsūdzībā pēc Krimināllikuma 221. panta trešās daļas, nodarot kaitējumu 59 331,34 </w:t>
      </w:r>
      <w:r w:rsidRPr="00A75170">
        <w:rPr>
          <w:rFonts w:cs="Times New Roman"/>
          <w:i/>
          <w:iCs/>
          <w:color w:val="000000"/>
          <w:szCs w:val="24"/>
          <w:lang w:eastAsia="lv-LV"/>
        </w:rPr>
        <w:t>euro</w:t>
      </w:r>
      <w:r w:rsidR="00591C01" w:rsidRPr="00A75170">
        <w:rPr>
          <w:rFonts w:cs="Times New Roman"/>
          <w:color w:val="000000"/>
          <w:szCs w:val="24"/>
          <w:lang w:eastAsia="lv-LV"/>
        </w:rPr>
        <w:t xml:space="preserve"> un </w:t>
      </w:r>
      <w:r w:rsidRPr="00A75170">
        <w:rPr>
          <w:rFonts w:cs="Times New Roman"/>
          <w:color w:val="000000"/>
          <w:szCs w:val="24"/>
          <w:lang w:eastAsia="lv-LV"/>
        </w:rPr>
        <w:t xml:space="preserve">atlīdzinot 10 000 </w:t>
      </w:r>
      <w:r w:rsidRPr="00A75170">
        <w:rPr>
          <w:rFonts w:cs="Times New Roman"/>
          <w:i/>
          <w:iCs/>
          <w:color w:val="000000"/>
          <w:szCs w:val="24"/>
          <w:lang w:eastAsia="lv-LV"/>
        </w:rPr>
        <w:t>euro</w:t>
      </w:r>
      <w:r w:rsidRPr="00A75170">
        <w:rPr>
          <w:rFonts w:cs="Times New Roman"/>
          <w:color w:val="000000"/>
          <w:szCs w:val="24"/>
          <w:lang w:eastAsia="lv-LV"/>
        </w:rPr>
        <w:t>:</w:t>
      </w:r>
    </w:p>
    <w:p w14:paraId="280F51F9" w14:textId="77777777"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pirmās instances tiesa: </w:t>
      </w:r>
    </w:p>
    <w:p w14:paraId="6EC88C21" w14:textId="00DFA189"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w:t>
      </w:r>
      <w:r w:rsidR="000B2B32" w:rsidRPr="00A75170">
        <w:rPr>
          <w:rFonts w:cs="Times New Roman"/>
          <w:color w:val="000000"/>
          <w:szCs w:val="24"/>
          <w:lang w:eastAsia="lv-LV"/>
        </w:rPr>
        <w:t xml:space="preserve">lūdza </w:t>
      </w:r>
      <w:r w:rsidR="003F63DB" w:rsidRPr="00A75170">
        <w:rPr>
          <w:rFonts w:cs="Times New Roman"/>
          <w:color w:val="000000"/>
          <w:szCs w:val="24"/>
          <w:lang w:eastAsia="lv-LV"/>
        </w:rPr>
        <w:t xml:space="preserve">tiesu </w:t>
      </w:r>
      <w:r w:rsidR="000B2B32" w:rsidRPr="00A75170">
        <w:rPr>
          <w:rFonts w:cs="Times New Roman"/>
          <w:color w:val="000000"/>
          <w:szCs w:val="24"/>
          <w:lang w:eastAsia="lv-LV"/>
        </w:rPr>
        <w:t xml:space="preserve">apsūdzēto atzīt par vainīgu pēc Krimināllikuma 221. panta trešās daļas un sodīt ar brīvības atņemšanu uz </w:t>
      </w:r>
      <w:r w:rsidR="00E71CB2" w:rsidRPr="00A75170">
        <w:rPr>
          <w:rFonts w:cs="Times New Roman"/>
          <w:color w:val="000000"/>
          <w:szCs w:val="24"/>
          <w:lang w:eastAsia="lv-LV"/>
        </w:rPr>
        <w:t>5 mēnešiem</w:t>
      </w:r>
      <w:r w:rsidR="006C5036" w:rsidRPr="00A75170">
        <w:rPr>
          <w:rFonts w:cs="Times New Roman"/>
          <w:color w:val="000000"/>
          <w:szCs w:val="24"/>
          <w:lang w:eastAsia="lv-LV"/>
        </w:rPr>
        <w:t>, piemērojot Krimināllikuma 55. pantu,</w:t>
      </w:r>
      <w:r w:rsidR="00E71CB2" w:rsidRPr="00A75170">
        <w:rPr>
          <w:rFonts w:cs="Times New Roman"/>
          <w:color w:val="000000"/>
          <w:szCs w:val="24"/>
          <w:lang w:eastAsia="lv-LV"/>
        </w:rPr>
        <w:t xml:space="preserve"> nosacīti ar pārbaudes laiku uz 1 gadu</w:t>
      </w:r>
      <w:r w:rsidRPr="00A75170">
        <w:rPr>
          <w:rFonts w:cs="Times New Roman"/>
          <w:color w:val="000000"/>
          <w:szCs w:val="24"/>
          <w:lang w:eastAsia="lv-LV"/>
        </w:rPr>
        <w:t>;</w:t>
      </w:r>
    </w:p>
    <w:p w14:paraId="1EB4C38E" w14:textId="12097ABA"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04.02.2020.</w:t>
      </w:r>
      <w:r w:rsidR="00591C01" w:rsidRPr="00A75170">
        <w:rPr>
          <w:rFonts w:cs="Times New Roman"/>
          <w:color w:val="000000"/>
          <w:szCs w:val="24"/>
          <w:lang w:eastAsia="lv-LV"/>
        </w:rPr>
        <w:t> </w:t>
      </w:r>
      <w:r w:rsidRPr="00A75170">
        <w:rPr>
          <w:rFonts w:cs="Times New Roman"/>
          <w:color w:val="000000"/>
          <w:szCs w:val="24"/>
          <w:lang w:eastAsia="lv-LV"/>
        </w:rPr>
        <w:t>Rīgas pilsētas Latgales priekšpilsētas tiesa nosprieda</w:t>
      </w:r>
      <w:r w:rsidR="00E71CB2" w:rsidRPr="00A75170">
        <w:rPr>
          <w:rFonts w:cs="Times New Roman"/>
          <w:color w:val="000000"/>
          <w:szCs w:val="24"/>
          <w:lang w:eastAsia="lv-LV"/>
        </w:rPr>
        <w:t xml:space="preserve"> apsūdzēto atzīt par vainīgu </w:t>
      </w:r>
      <w:r w:rsidRPr="00A75170">
        <w:rPr>
          <w:rFonts w:cs="Times New Roman"/>
          <w:color w:val="000000"/>
          <w:szCs w:val="24"/>
          <w:lang w:eastAsia="lv-LV"/>
        </w:rPr>
        <w:t>pēc Krimināllikuma 221.</w:t>
      </w:r>
      <w:r w:rsidR="00591C01" w:rsidRPr="00A75170">
        <w:rPr>
          <w:rFonts w:cs="Times New Roman"/>
          <w:color w:val="000000"/>
          <w:szCs w:val="24"/>
          <w:lang w:eastAsia="lv-LV"/>
        </w:rPr>
        <w:t> </w:t>
      </w:r>
      <w:r w:rsidRPr="00A75170">
        <w:rPr>
          <w:rFonts w:cs="Times New Roman"/>
          <w:color w:val="000000"/>
          <w:szCs w:val="24"/>
          <w:lang w:eastAsia="lv-LV"/>
        </w:rPr>
        <w:t xml:space="preserve">panta trešās daļas </w:t>
      </w:r>
      <w:r w:rsidR="00E71CB2" w:rsidRPr="00A75170">
        <w:rPr>
          <w:rFonts w:cs="Times New Roman"/>
          <w:color w:val="000000"/>
          <w:szCs w:val="24"/>
          <w:lang w:eastAsia="lv-LV"/>
        </w:rPr>
        <w:t xml:space="preserve">un sodīt </w:t>
      </w:r>
      <w:r w:rsidRPr="00A75170">
        <w:rPr>
          <w:rFonts w:cs="Times New Roman"/>
          <w:color w:val="000000"/>
          <w:szCs w:val="24"/>
          <w:lang w:eastAsia="lv-LV"/>
        </w:rPr>
        <w:t xml:space="preserve">ar brīvības atņemšanu uz </w:t>
      </w:r>
      <w:r w:rsidR="00591C01" w:rsidRPr="00A75170">
        <w:rPr>
          <w:rFonts w:cs="Times New Roman"/>
          <w:color w:val="000000"/>
          <w:szCs w:val="24"/>
          <w:lang w:eastAsia="lv-LV"/>
        </w:rPr>
        <w:t>5 </w:t>
      </w:r>
      <w:r w:rsidRPr="00A75170">
        <w:rPr>
          <w:rFonts w:cs="Times New Roman"/>
          <w:color w:val="000000"/>
          <w:szCs w:val="24"/>
          <w:lang w:eastAsia="lv-LV"/>
        </w:rPr>
        <w:t>mēnešiem, piemērojot Krimināllikuma 55.</w:t>
      </w:r>
      <w:r w:rsidR="00591C01" w:rsidRPr="00A75170">
        <w:rPr>
          <w:rFonts w:cs="Times New Roman"/>
          <w:color w:val="000000"/>
          <w:szCs w:val="24"/>
          <w:lang w:eastAsia="lv-LV"/>
        </w:rPr>
        <w:t> </w:t>
      </w:r>
      <w:r w:rsidRPr="00A75170">
        <w:rPr>
          <w:rFonts w:cs="Times New Roman"/>
          <w:color w:val="000000"/>
          <w:szCs w:val="24"/>
          <w:lang w:eastAsia="lv-LV"/>
        </w:rPr>
        <w:t xml:space="preserve">pantu, nosacīti ar pārbaudes laiku uz </w:t>
      </w:r>
      <w:r w:rsidR="00591C01" w:rsidRPr="00A75170">
        <w:rPr>
          <w:rFonts w:cs="Times New Roman"/>
          <w:color w:val="000000"/>
          <w:szCs w:val="24"/>
          <w:lang w:eastAsia="lv-LV"/>
        </w:rPr>
        <w:t>1 </w:t>
      </w:r>
      <w:r w:rsidRPr="00A75170">
        <w:rPr>
          <w:rFonts w:cs="Times New Roman"/>
          <w:color w:val="000000"/>
          <w:szCs w:val="24"/>
          <w:lang w:eastAsia="lv-LV"/>
        </w:rPr>
        <w:t xml:space="preserve">gadu; </w:t>
      </w:r>
    </w:p>
    <w:p w14:paraId="17BED1EA" w14:textId="0EF9B1D7"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amatā augstāka prokurora ieskatā prokurores pieprasītais un tiesas piemērot</w:t>
      </w:r>
      <w:r w:rsidR="00377F13" w:rsidRPr="00A75170">
        <w:rPr>
          <w:rFonts w:cs="Times New Roman"/>
          <w:color w:val="000000"/>
          <w:szCs w:val="24"/>
          <w:lang w:eastAsia="lv-LV"/>
        </w:rPr>
        <w:t>ais</w:t>
      </w:r>
      <w:r w:rsidRPr="00A75170">
        <w:rPr>
          <w:rFonts w:cs="Times New Roman"/>
          <w:color w:val="000000"/>
          <w:szCs w:val="24"/>
          <w:lang w:eastAsia="lv-LV"/>
        </w:rPr>
        <w:t xml:space="preserve"> soda mērs un izciešanas veids, ņemot vērā atlīdzinātā zaudējuma apmēru, ir nesamērīgi </w:t>
      </w:r>
      <w:r w:rsidR="005A704B" w:rsidRPr="00A75170">
        <w:rPr>
          <w:rFonts w:cs="Times New Roman"/>
          <w:color w:val="000000"/>
          <w:szCs w:val="24"/>
          <w:lang w:eastAsia="lv-LV"/>
        </w:rPr>
        <w:t>viegls</w:t>
      </w:r>
      <w:r w:rsidRPr="00A75170">
        <w:rPr>
          <w:rFonts w:cs="Times New Roman"/>
          <w:color w:val="000000"/>
          <w:szCs w:val="24"/>
          <w:lang w:eastAsia="lv-LV"/>
        </w:rPr>
        <w:t>. Izmantojot amatā augstāka prokurora pilnvaras, iesniegts apelācijas protests daļā par apsūdzētajam piemērotā soda apmēru;</w:t>
      </w:r>
    </w:p>
    <w:p w14:paraId="0E87C1BF" w14:textId="77777777"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lastRenderedPageBreak/>
        <w:t xml:space="preserve">apelācijas instances tiesa: </w:t>
      </w:r>
    </w:p>
    <w:p w14:paraId="092077A9" w14:textId="5ABD5DAC" w:rsidR="00E51A5A"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03.09.2020.</w:t>
      </w:r>
      <w:r w:rsidR="00377F13" w:rsidRPr="00A75170">
        <w:rPr>
          <w:rFonts w:cs="Times New Roman"/>
          <w:color w:val="000000"/>
          <w:szCs w:val="24"/>
          <w:lang w:eastAsia="lv-LV"/>
        </w:rPr>
        <w:t> </w:t>
      </w:r>
      <w:r w:rsidRPr="00A75170">
        <w:rPr>
          <w:rFonts w:cs="Times New Roman"/>
          <w:color w:val="000000"/>
          <w:szCs w:val="24"/>
          <w:lang w:eastAsia="lv-LV"/>
        </w:rPr>
        <w:t>Rīgas apgabaltiesa nolēma atstāt negrozītu Rīgas pilsētas Latgales priekšpilsētas tiesas 04.02.2020.</w:t>
      </w:r>
      <w:r w:rsidR="00377F13" w:rsidRPr="00A75170">
        <w:rPr>
          <w:rFonts w:cs="Times New Roman"/>
          <w:color w:val="000000"/>
          <w:szCs w:val="24"/>
          <w:lang w:eastAsia="lv-LV"/>
        </w:rPr>
        <w:t> </w:t>
      </w:r>
      <w:r w:rsidRPr="00A75170">
        <w:rPr>
          <w:rFonts w:cs="Times New Roman"/>
          <w:color w:val="000000"/>
          <w:szCs w:val="24"/>
          <w:lang w:eastAsia="lv-LV"/>
        </w:rPr>
        <w:t>spriedumu;</w:t>
      </w:r>
    </w:p>
    <w:p w14:paraId="70159B81" w14:textId="6CD64C4A" w:rsidR="00377F13" w:rsidRPr="00774A42" w:rsidRDefault="00E51A5A" w:rsidP="00E329FC">
      <w:pPr>
        <w:pStyle w:val="ListParagraph"/>
        <w:numPr>
          <w:ilvl w:val="2"/>
          <w:numId w:val="55"/>
        </w:numPr>
        <w:spacing w:line="240" w:lineRule="auto"/>
        <w:jc w:val="both"/>
        <w:rPr>
          <w:rFonts w:cs="Times New Roman"/>
          <w:color w:val="000000"/>
          <w:szCs w:val="24"/>
          <w:lang w:eastAsia="lv-LV"/>
        </w:rPr>
      </w:pPr>
      <w:r w:rsidRPr="00774A42">
        <w:rPr>
          <w:rFonts w:cs="Times New Roman"/>
          <w:color w:val="000000"/>
          <w:szCs w:val="24"/>
          <w:lang w:eastAsia="lv-LV"/>
        </w:rPr>
        <w:t>prokurors un amatā augstāks prokurors nesaskatīja pamatu kasācijas protesta iesniegšanai;</w:t>
      </w:r>
    </w:p>
    <w:p w14:paraId="7439A200" w14:textId="77777777" w:rsidR="00CC17A2" w:rsidRPr="00A75170" w:rsidRDefault="00CC17A2" w:rsidP="00A75170">
      <w:pPr>
        <w:pStyle w:val="ListParagraph"/>
        <w:spacing w:after="0" w:line="240" w:lineRule="auto"/>
        <w:ind w:left="1225"/>
        <w:jc w:val="both"/>
        <w:rPr>
          <w:rFonts w:cs="Times New Roman"/>
          <w:color w:val="000000"/>
          <w:szCs w:val="24"/>
          <w:lang w:eastAsia="lv-LV"/>
        </w:rPr>
      </w:pPr>
    </w:p>
    <w:p w14:paraId="415BA801" w14:textId="791F5138"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323D81" w:rsidRPr="00A75170">
        <w:rPr>
          <w:rFonts w:cs="Times New Roman"/>
          <w:color w:val="000000"/>
          <w:szCs w:val="24"/>
          <w:lang w:eastAsia="lv-LV"/>
        </w:rPr>
        <w:t> </w:t>
      </w:r>
      <w:r w:rsidRPr="00A75170">
        <w:rPr>
          <w:rFonts w:cs="Times New Roman"/>
          <w:color w:val="000000"/>
          <w:szCs w:val="24"/>
          <w:lang w:eastAsia="lv-LV"/>
        </w:rPr>
        <w:t xml:space="preserve">15840012918 – vienas personas apsūdzībā pēc Krimināllikuma 218. panta otrās daļas un 197. panta, nodarot kaitējumu 55 291,84 </w:t>
      </w:r>
      <w:r w:rsidRPr="00A75170">
        <w:rPr>
          <w:rFonts w:cs="Times New Roman"/>
          <w:i/>
          <w:iCs/>
          <w:color w:val="000000"/>
          <w:szCs w:val="24"/>
          <w:lang w:eastAsia="lv-LV"/>
        </w:rPr>
        <w:t>euro</w:t>
      </w:r>
      <w:r w:rsidR="00323D81" w:rsidRPr="00A75170">
        <w:rPr>
          <w:rFonts w:cs="Times New Roman"/>
          <w:color w:val="000000"/>
          <w:szCs w:val="24"/>
          <w:lang w:eastAsia="lv-LV"/>
        </w:rPr>
        <w:t xml:space="preserve"> un </w:t>
      </w:r>
      <w:r w:rsidRPr="00A75170">
        <w:rPr>
          <w:rFonts w:cs="Times New Roman"/>
          <w:color w:val="000000"/>
          <w:szCs w:val="24"/>
          <w:lang w:eastAsia="lv-LV"/>
        </w:rPr>
        <w:t>to neatlīdzinot;</w:t>
      </w:r>
    </w:p>
    <w:p w14:paraId="74490B7F" w14:textId="77777777"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pirmās instances tiesa:</w:t>
      </w:r>
    </w:p>
    <w:p w14:paraId="314AFEE0" w14:textId="0225AE6A"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w:t>
      </w:r>
      <w:r w:rsidR="005A704B" w:rsidRPr="00A75170">
        <w:rPr>
          <w:rFonts w:cs="Times New Roman"/>
          <w:color w:val="000000"/>
          <w:szCs w:val="24"/>
          <w:lang w:eastAsia="lv-LV"/>
        </w:rPr>
        <w:t xml:space="preserve">lūdza </w:t>
      </w:r>
      <w:r w:rsidR="00FC66B6" w:rsidRPr="00A75170">
        <w:rPr>
          <w:rFonts w:cs="Times New Roman"/>
          <w:color w:val="000000"/>
          <w:szCs w:val="24"/>
          <w:lang w:eastAsia="lv-LV"/>
        </w:rPr>
        <w:t xml:space="preserve">tiesu </w:t>
      </w:r>
      <w:r w:rsidR="005A704B" w:rsidRPr="00A75170">
        <w:rPr>
          <w:rFonts w:cs="Times New Roman"/>
          <w:color w:val="000000"/>
          <w:szCs w:val="24"/>
          <w:lang w:eastAsia="lv-LV"/>
        </w:rPr>
        <w:t>apsūdzēto atzīt par vainīgu pēc</w:t>
      </w:r>
      <w:r w:rsidR="00667916" w:rsidRPr="00A75170">
        <w:rPr>
          <w:rFonts w:cs="Times New Roman"/>
          <w:color w:val="000000"/>
          <w:szCs w:val="24"/>
          <w:lang w:eastAsia="lv-LV"/>
        </w:rPr>
        <w:t xml:space="preserve"> Krimināllikuma 218. panta otr</w:t>
      </w:r>
      <w:r w:rsidR="005A704B" w:rsidRPr="00A75170">
        <w:rPr>
          <w:rFonts w:cs="Times New Roman"/>
          <w:color w:val="000000"/>
          <w:szCs w:val="24"/>
          <w:lang w:eastAsia="lv-LV"/>
        </w:rPr>
        <w:t>ās</w:t>
      </w:r>
      <w:r w:rsidR="00667916" w:rsidRPr="00A75170">
        <w:rPr>
          <w:rFonts w:cs="Times New Roman"/>
          <w:color w:val="000000"/>
          <w:szCs w:val="24"/>
          <w:lang w:eastAsia="lv-LV"/>
        </w:rPr>
        <w:t xml:space="preserve"> daļ</w:t>
      </w:r>
      <w:r w:rsidR="005A704B" w:rsidRPr="00A75170">
        <w:rPr>
          <w:rFonts w:cs="Times New Roman"/>
          <w:color w:val="000000"/>
          <w:szCs w:val="24"/>
          <w:lang w:eastAsia="lv-LV"/>
        </w:rPr>
        <w:t>as</w:t>
      </w:r>
      <w:r w:rsidR="00667916" w:rsidRPr="00A75170">
        <w:rPr>
          <w:rFonts w:cs="Times New Roman"/>
          <w:color w:val="000000"/>
          <w:szCs w:val="24"/>
          <w:lang w:eastAsia="lv-LV"/>
        </w:rPr>
        <w:t xml:space="preserve"> </w:t>
      </w:r>
      <w:r w:rsidR="005A704B" w:rsidRPr="00A75170">
        <w:rPr>
          <w:rFonts w:cs="Times New Roman"/>
          <w:color w:val="000000"/>
          <w:szCs w:val="24"/>
          <w:lang w:eastAsia="lv-LV"/>
        </w:rPr>
        <w:t xml:space="preserve">un </w:t>
      </w:r>
      <w:r w:rsidR="006A755E" w:rsidRPr="00A75170">
        <w:rPr>
          <w:rFonts w:cs="Times New Roman"/>
          <w:color w:val="000000"/>
          <w:szCs w:val="24"/>
          <w:lang w:eastAsia="lv-LV"/>
        </w:rPr>
        <w:t xml:space="preserve">sodīt ar </w:t>
      </w:r>
      <w:r w:rsidRPr="00A75170">
        <w:rPr>
          <w:rFonts w:cs="Times New Roman"/>
          <w:color w:val="000000"/>
          <w:szCs w:val="24"/>
          <w:lang w:eastAsia="lv-LV"/>
        </w:rPr>
        <w:t>brīvības atņemšan</w:t>
      </w:r>
      <w:r w:rsidR="006A755E" w:rsidRPr="00A75170">
        <w:rPr>
          <w:rFonts w:cs="Times New Roman"/>
          <w:color w:val="000000"/>
          <w:szCs w:val="24"/>
          <w:lang w:eastAsia="lv-LV"/>
        </w:rPr>
        <w:t>u</w:t>
      </w:r>
      <w:r w:rsidRPr="00A75170">
        <w:rPr>
          <w:rFonts w:cs="Times New Roman"/>
          <w:color w:val="000000"/>
          <w:szCs w:val="24"/>
          <w:lang w:eastAsia="lv-LV"/>
        </w:rPr>
        <w:t xml:space="preserve"> uz </w:t>
      </w:r>
      <w:r w:rsidR="00323D81" w:rsidRPr="00A75170">
        <w:rPr>
          <w:rFonts w:cs="Times New Roman"/>
          <w:color w:val="000000"/>
          <w:szCs w:val="24"/>
          <w:lang w:eastAsia="lv-LV"/>
        </w:rPr>
        <w:t>1 </w:t>
      </w:r>
      <w:r w:rsidRPr="00A75170">
        <w:rPr>
          <w:rFonts w:cs="Times New Roman"/>
          <w:color w:val="000000"/>
          <w:szCs w:val="24"/>
          <w:lang w:eastAsia="lv-LV"/>
        </w:rPr>
        <w:t xml:space="preserve">gadu un </w:t>
      </w:r>
      <w:r w:rsidR="00323D81" w:rsidRPr="00A75170">
        <w:rPr>
          <w:rFonts w:cs="Times New Roman"/>
          <w:color w:val="000000"/>
          <w:szCs w:val="24"/>
          <w:lang w:eastAsia="lv-LV"/>
        </w:rPr>
        <w:t>4 </w:t>
      </w:r>
      <w:r w:rsidRPr="00A75170">
        <w:rPr>
          <w:rFonts w:cs="Times New Roman"/>
          <w:color w:val="000000"/>
          <w:szCs w:val="24"/>
          <w:lang w:eastAsia="lv-LV"/>
        </w:rPr>
        <w:t xml:space="preserve">mēnešiem, atņemot tiesības uz visu veidu komercdarbību uz </w:t>
      </w:r>
      <w:r w:rsidR="00323D81" w:rsidRPr="00A75170">
        <w:rPr>
          <w:rFonts w:cs="Times New Roman"/>
          <w:color w:val="000000"/>
          <w:szCs w:val="24"/>
          <w:lang w:eastAsia="lv-LV"/>
        </w:rPr>
        <w:t xml:space="preserve">2 </w:t>
      </w:r>
      <w:r w:rsidRPr="00A75170">
        <w:rPr>
          <w:rFonts w:cs="Times New Roman"/>
          <w:color w:val="000000"/>
          <w:szCs w:val="24"/>
          <w:lang w:eastAsia="lv-LV"/>
        </w:rPr>
        <w:t>gadiem</w:t>
      </w:r>
      <w:r w:rsidR="00FD4623" w:rsidRPr="00A75170">
        <w:rPr>
          <w:rFonts w:cs="Times New Roman"/>
          <w:color w:val="000000"/>
          <w:szCs w:val="24"/>
          <w:lang w:eastAsia="lv-LV"/>
        </w:rPr>
        <w:t xml:space="preserve">, </w:t>
      </w:r>
      <w:r w:rsidR="002C260B" w:rsidRPr="00A75170">
        <w:rPr>
          <w:rFonts w:cs="Times New Roman"/>
          <w:color w:val="000000"/>
          <w:szCs w:val="24"/>
          <w:lang w:eastAsia="lv-LV"/>
        </w:rPr>
        <w:t xml:space="preserve">un </w:t>
      </w:r>
      <w:r w:rsidR="005A704B" w:rsidRPr="00A75170">
        <w:rPr>
          <w:rFonts w:cs="Times New Roman"/>
          <w:color w:val="000000"/>
          <w:szCs w:val="24"/>
          <w:lang w:eastAsia="lv-LV"/>
        </w:rPr>
        <w:t xml:space="preserve">atzīt par vainīgu pēc </w:t>
      </w:r>
      <w:r w:rsidRPr="00A75170">
        <w:rPr>
          <w:rFonts w:cs="Times New Roman"/>
          <w:color w:val="000000"/>
          <w:szCs w:val="24"/>
          <w:lang w:eastAsia="lv-LV"/>
        </w:rPr>
        <w:t>Krimināllikuma 197.</w:t>
      </w:r>
      <w:r w:rsidR="002D1CCA" w:rsidRPr="00A75170">
        <w:rPr>
          <w:rFonts w:cs="Times New Roman"/>
          <w:color w:val="000000"/>
          <w:szCs w:val="24"/>
          <w:lang w:eastAsia="lv-LV"/>
        </w:rPr>
        <w:t> </w:t>
      </w:r>
      <w:r w:rsidRPr="00A75170">
        <w:rPr>
          <w:rFonts w:cs="Times New Roman"/>
          <w:color w:val="000000"/>
          <w:szCs w:val="24"/>
          <w:lang w:eastAsia="lv-LV"/>
        </w:rPr>
        <w:t>pant</w:t>
      </w:r>
      <w:r w:rsidR="005A704B" w:rsidRPr="00A75170">
        <w:rPr>
          <w:rFonts w:cs="Times New Roman"/>
          <w:color w:val="000000"/>
          <w:szCs w:val="24"/>
          <w:lang w:eastAsia="lv-LV"/>
        </w:rPr>
        <w:t>a</w:t>
      </w:r>
      <w:r w:rsidR="00FD4623" w:rsidRPr="00A75170">
        <w:rPr>
          <w:rFonts w:cs="Times New Roman"/>
          <w:color w:val="000000"/>
          <w:szCs w:val="24"/>
          <w:lang w:eastAsia="lv-LV"/>
        </w:rPr>
        <w:t>, kas</w:t>
      </w:r>
      <w:r w:rsidRPr="00A75170">
        <w:rPr>
          <w:rFonts w:cs="Times New Roman"/>
          <w:color w:val="000000"/>
          <w:szCs w:val="24"/>
          <w:lang w:eastAsia="lv-LV"/>
        </w:rPr>
        <w:t xml:space="preserve"> </w:t>
      </w:r>
      <w:r w:rsidR="00A977CD" w:rsidRPr="00A75170">
        <w:rPr>
          <w:rFonts w:cs="Times New Roman"/>
          <w:color w:val="000000"/>
          <w:szCs w:val="24"/>
          <w:lang w:eastAsia="lv-LV"/>
        </w:rPr>
        <w:t>pēc noziedzīgu nodarījumu klasifikācijas i</w:t>
      </w:r>
      <w:r w:rsidRPr="00A75170">
        <w:rPr>
          <w:rFonts w:cs="Times New Roman"/>
          <w:color w:val="000000"/>
          <w:szCs w:val="24"/>
          <w:lang w:eastAsia="lv-LV"/>
        </w:rPr>
        <w:t>r kriminālpārkāpum</w:t>
      </w:r>
      <w:r w:rsidR="00A977CD" w:rsidRPr="00A75170">
        <w:rPr>
          <w:rFonts w:cs="Times New Roman"/>
          <w:color w:val="000000"/>
          <w:szCs w:val="24"/>
          <w:lang w:eastAsia="lv-LV"/>
        </w:rPr>
        <w:t>s</w:t>
      </w:r>
      <w:r w:rsidRPr="00A75170">
        <w:rPr>
          <w:rFonts w:cs="Times New Roman"/>
          <w:color w:val="000000"/>
          <w:szCs w:val="24"/>
          <w:lang w:eastAsia="lv-LV"/>
        </w:rPr>
        <w:t xml:space="preserve">, </w:t>
      </w:r>
      <w:r w:rsidR="00A977CD" w:rsidRPr="00A75170">
        <w:rPr>
          <w:rFonts w:cs="Times New Roman"/>
          <w:color w:val="000000"/>
          <w:szCs w:val="24"/>
          <w:lang w:eastAsia="lv-LV"/>
        </w:rPr>
        <w:t>un sodīt ar</w:t>
      </w:r>
      <w:r w:rsidRPr="00A75170">
        <w:rPr>
          <w:rFonts w:cs="Times New Roman"/>
          <w:color w:val="000000"/>
          <w:szCs w:val="24"/>
          <w:lang w:eastAsia="lv-LV"/>
        </w:rPr>
        <w:t xml:space="preserve"> piespiedu darbu </w:t>
      </w:r>
      <w:r w:rsidR="005044CD" w:rsidRPr="00A75170">
        <w:rPr>
          <w:rFonts w:cs="Times New Roman"/>
          <w:color w:val="000000"/>
          <w:szCs w:val="24"/>
          <w:lang w:eastAsia="lv-LV"/>
        </w:rPr>
        <w:t>uz</w:t>
      </w:r>
      <w:r w:rsidRPr="00A75170">
        <w:rPr>
          <w:rFonts w:cs="Times New Roman"/>
          <w:color w:val="000000"/>
          <w:szCs w:val="24"/>
          <w:lang w:eastAsia="lv-LV"/>
        </w:rPr>
        <w:t xml:space="preserve"> 180</w:t>
      </w:r>
      <w:r w:rsidR="002D1CCA" w:rsidRPr="00A75170">
        <w:rPr>
          <w:rFonts w:cs="Times New Roman"/>
          <w:color w:val="000000"/>
          <w:szCs w:val="24"/>
          <w:lang w:eastAsia="lv-LV"/>
        </w:rPr>
        <w:t> </w:t>
      </w:r>
      <w:r w:rsidRPr="00A75170">
        <w:rPr>
          <w:rFonts w:cs="Times New Roman"/>
          <w:color w:val="000000"/>
          <w:szCs w:val="24"/>
          <w:lang w:eastAsia="lv-LV"/>
        </w:rPr>
        <w:t xml:space="preserve">stundām. Saskaņā ar Krimināllikuma 50. panta pirmo daļu </w:t>
      </w:r>
      <w:r w:rsidR="005E27ED" w:rsidRPr="00A75170">
        <w:rPr>
          <w:rFonts w:cs="Times New Roman"/>
          <w:color w:val="000000"/>
          <w:szCs w:val="24"/>
          <w:lang w:eastAsia="lv-LV"/>
        </w:rPr>
        <w:t xml:space="preserve">galīgo </w:t>
      </w:r>
      <w:r w:rsidRPr="00A75170">
        <w:rPr>
          <w:rFonts w:cs="Times New Roman"/>
          <w:color w:val="000000"/>
          <w:szCs w:val="24"/>
          <w:lang w:eastAsia="lv-LV"/>
        </w:rPr>
        <w:t xml:space="preserve">sodu pēc noziedzīgo nodarījumu kopības tika lūgts noteikt brīvības atņemšanu uz </w:t>
      </w:r>
      <w:r w:rsidR="00667916" w:rsidRPr="00A75170">
        <w:rPr>
          <w:rFonts w:cs="Times New Roman"/>
          <w:color w:val="000000"/>
          <w:szCs w:val="24"/>
          <w:lang w:eastAsia="lv-LV"/>
        </w:rPr>
        <w:t>1 </w:t>
      </w:r>
      <w:r w:rsidRPr="00A75170">
        <w:rPr>
          <w:rFonts w:cs="Times New Roman"/>
          <w:color w:val="000000"/>
          <w:szCs w:val="24"/>
          <w:lang w:eastAsia="lv-LV"/>
        </w:rPr>
        <w:t>gadu</w:t>
      </w:r>
      <w:r w:rsidR="00667916" w:rsidRPr="00A75170">
        <w:rPr>
          <w:rFonts w:cs="Times New Roman"/>
          <w:color w:val="000000"/>
          <w:szCs w:val="24"/>
          <w:lang w:eastAsia="lv-LV"/>
        </w:rPr>
        <w:t xml:space="preserve"> un 4 </w:t>
      </w:r>
      <w:r w:rsidRPr="00A75170">
        <w:rPr>
          <w:rFonts w:cs="Times New Roman"/>
          <w:color w:val="000000"/>
          <w:szCs w:val="24"/>
          <w:lang w:eastAsia="lv-LV"/>
        </w:rPr>
        <w:t xml:space="preserve">mēnešiem, atņemot tiesības uz visu veidu komercdarbību uz </w:t>
      </w:r>
      <w:r w:rsidR="00667916" w:rsidRPr="00A75170">
        <w:rPr>
          <w:rFonts w:cs="Times New Roman"/>
          <w:color w:val="000000"/>
          <w:szCs w:val="24"/>
          <w:lang w:eastAsia="lv-LV"/>
        </w:rPr>
        <w:t>2 </w:t>
      </w:r>
      <w:r w:rsidRPr="00A75170">
        <w:rPr>
          <w:rFonts w:cs="Times New Roman"/>
          <w:color w:val="000000"/>
          <w:szCs w:val="24"/>
          <w:lang w:eastAsia="lv-LV"/>
        </w:rPr>
        <w:t>gadiem</w:t>
      </w:r>
      <w:r w:rsidR="00667916" w:rsidRPr="00A75170">
        <w:rPr>
          <w:rFonts w:cs="Times New Roman"/>
          <w:color w:val="000000"/>
          <w:szCs w:val="24"/>
          <w:lang w:eastAsia="lv-LV"/>
        </w:rPr>
        <w:t>,</w:t>
      </w:r>
      <w:r w:rsidRPr="00A75170">
        <w:rPr>
          <w:rFonts w:cs="Times New Roman"/>
          <w:color w:val="000000"/>
          <w:szCs w:val="24"/>
          <w:lang w:eastAsia="lv-LV"/>
        </w:rPr>
        <w:t xml:space="preserve"> un piespiedu darbu</w:t>
      </w:r>
      <w:r w:rsidR="00F91C7F" w:rsidRPr="00A75170">
        <w:rPr>
          <w:rFonts w:cs="Times New Roman"/>
          <w:color w:val="000000"/>
          <w:szCs w:val="24"/>
          <w:lang w:eastAsia="lv-LV"/>
        </w:rPr>
        <w:t xml:space="preserve"> uz</w:t>
      </w:r>
      <w:r w:rsidR="006A755E" w:rsidRPr="00A75170">
        <w:rPr>
          <w:rFonts w:cs="Times New Roman"/>
          <w:color w:val="000000"/>
          <w:szCs w:val="24"/>
          <w:lang w:eastAsia="lv-LV"/>
        </w:rPr>
        <w:t xml:space="preserve"> </w:t>
      </w:r>
      <w:r w:rsidRPr="00A75170">
        <w:rPr>
          <w:rFonts w:cs="Times New Roman"/>
          <w:color w:val="000000"/>
          <w:szCs w:val="24"/>
          <w:lang w:eastAsia="lv-LV"/>
        </w:rPr>
        <w:t>180</w:t>
      </w:r>
      <w:r w:rsidR="006A755E" w:rsidRPr="00A75170">
        <w:rPr>
          <w:rFonts w:cs="Times New Roman"/>
          <w:color w:val="000000"/>
          <w:szCs w:val="24"/>
          <w:lang w:eastAsia="lv-LV"/>
        </w:rPr>
        <w:t> </w:t>
      </w:r>
      <w:r w:rsidRPr="00A75170">
        <w:rPr>
          <w:rFonts w:cs="Times New Roman"/>
          <w:color w:val="000000"/>
          <w:szCs w:val="24"/>
          <w:lang w:eastAsia="lv-LV"/>
        </w:rPr>
        <w:t xml:space="preserve">stundām. Saskaņā ar Krimināllikuma 55. pantu </w:t>
      </w:r>
      <w:r w:rsidR="00F91C7F" w:rsidRPr="00A75170">
        <w:rPr>
          <w:rFonts w:cs="Times New Roman"/>
          <w:color w:val="000000"/>
          <w:szCs w:val="24"/>
          <w:lang w:eastAsia="lv-LV"/>
        </w:rPr>
        <w:t xml:space="preserve">tika lūgts </w:t>
      </w:r>
      <w:r w:rsidRPr="00A75170">
        <w:rPr>
          <w:rFonts w:cs="Times New Roman"/>
          <w:color w:val="000000"/>
          <w:szCs w:val="24"/>
          <w:lang w:eastAsia="lv-LV"/>
        </w:rPr>
        <w:t>brīvības atņemšan</w:t>
      </w:r>
      <w:r w:rsidR="00F91C7F" w:rsidRPr="00A75170">
        <w:rPr>
          <w:rFonts w:cs="Times New Roman"/>
          <w:color w:val="000000"/>
          <w:szCs w:val="24"/>
          <w:lang w:eastAsia="lv-LV"/>
        </w:rPr>
        <w:t>as sodu</w:t>
      </w:r>
      <w:r w:rsidRPr="00A75170">
        <w:rPr>
          <w:rFonts w:cs="Times New Roman"/>
          <w:color w:val="000000"/>
          <w:szCs w:val="24"/>
          <w:lang w:eastAsia="lv-LV"/>
        </w:rPr>
        <w:t xml:space="preserve"> noteikt nosacīti ar pārbaudes laiku uz</w:t>
      </w:r>
      <w:r w:rsidR="00F91C7F" w:rsidRPr="00A75170">
        <w:rPr>
          <w:rFonts w:cs="Times New Roman"/>
          <w:color w:val="000000"/>
          <w:szCs w:val="24"/>
          <w:lang w:eastAsia="lv-LV"/>
        </w:rPr>
        <w:t xml:space="preserve"> 1 </w:t>
      </w:r>
      <w:r w:rsidRPr="00A75170">
        <w:rPr>
          <w:rFonts w:cs="Times New Roman"/>
          <w:color w:val="000000"/>
          <w:szCs w:val="24"/>
          <w:lang w:eastAsia="lv-LV"/>
        </w:rPr>
        <w:t xml:space="preserve">gadu </w:t>
      </w:r>
      <w:r w:rsidR="005E27ED" w:rsidRPr="00A75170">
        <w:rPr>
          <w:rFonts w:cs="Times New Roman"/>
          <w:color w:val="000000"/>
          <w:szCs w:val="24"/>
          <w:lang w:eastAsia="lv-LV"/>
        </w:rPr>
        <w:t xml:space="preserve">un </w:t>
      </w:r>
      <w:r w:rsidR="00F91C7F" w:rsidRPr="00A75170">
        <w:rPr>
          <w:rFonts w:cs="Times New Roman"/>
          <w:color w:val="000000"/>
          <w:szCs w:val="24"/>
          <w:lang w:eastAsia="lv-LV"/>
        </w:rPr>
        <w:t>4 </w:t>
      </w:r>
      <w:r w:rsidRPr="00A75170">
        <w:rPr>
          <w:rFonts w:cs="Times New Roman"/>
          <w:color w:val="000000"/>
          <w:szCs w:val="24"/>
          <w:lang w:eastAsia="lv-LV"/>
        </w:rPr>
        <w:t>mēnešiem, sodus – brīvības atņemšan</w:t>
      </w:r>
      <w:r w:rsidR="00DA1DC4" w:rsidRPr="00A75170">
        <w:rPr>
          <w:rFonts w:cs="Times New Roman"/>
          <w:color w:val="000000"/>
          <w:szCs w:val="24"/>
          <w:lang w:eastAsia="lv-LV"/>
        </w:rPr>
        <w:t>u</w:t>
      </w:r>
      <w:r w:rsidRPr="00A75170">
        <w:rPr>
          <w:rFonts w:cs="Times New Roman"/>
          <w:color w:val="000000"/>
          <w:szCs w:val="24"/>
          <w:lang w:eastAsia="lv-LV"/>
        </w:rPr>
        <w:t xml:space="preserve"> un piespiedu darb</w:t>
      </w:r>
      <w:r w:rsidR="00DA1DC4" w:rsidRPr="00A75170">
        <w:rPr>
          <w:rFonts w:cs="Times New Roman"/>
          <w:color w:val="000000"/>
          <w:szCs w:val="24"/>
          <w:lang w:eastAsia="lv-LV"/>
        </w:rPr>
        <w:t>u</w:t>
      </w:r>
      <w:r w:rsidR="00F91C7F" w:rsidRPr="00A75170">
        <w:rPr>
          <w:rFonts w:cs="Times New Roman"/>
          <w:color w:val="000000"/>
          <w:szCs w:val="24"/>
          <w:lang w:eastAsia="lv-LV"/>
        </w:rPr>
        <w:t xml:space="preserve"> – </w:t>
      </w:r>
      <w:r w:rsidRPr="00A75170">
        <w:rPr>
          <w:rFonts w:cs="Times New Roman"/>
          <w:color w:val="000000"/>
          <w:szCs w:val="24"/>
          <w:lang w:eastAsia="lv-LV"/>
        </w:rPr>
        <w:t>izpildīt patstāvīgi;</w:t>
      </w:r>
    </w:p>
    <w:p w14:paraId="2520950B" w14:textId="19AA01E9"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14.02.2020. Kurzemes rajona tiesa </w:t>
      </w:r>
      <w:r w:rsidR="005E27ED" w:rsidRPr="00A75170">
        <w:rPr>
          <w:rFonts w:cs="Times New Roman"/>
          <w:color w:val="000000"/>
          <w:szCs w:val="24"/>
          <w:lang w:eastAsia="lv-LV"/>
        </w:rPr>
        <w:t xml:space="preserve">nosprieda apsūdzēto atzīt par vainīgu </w:t>
      </w:r>
      <w:r w:rsidRPr="00A75170">
        <w:rPr>
          <w:rFonts w:cs="Times New Roman"/>
          <w:color w:val="000000"/>
          <w:szCs w:val="24"/>
          <w:lang w:eastAsia="lv-LV"/>
        </w:rPr>
        <w:t>pēc Krimināllikuma 218. panta otrās daļas</w:t>
      </w:r>
      <w:r w:rsidR="005E27ED" w:rsidRPr="00A75170">
        <w:rPr>
          <w:rFonts w:cs="Times New Roman"/>
          <w:color w:val="000000"/>
          <w:szCs w:val="24"/>
          <w:lang w:eastAsia="lv-LV"/>
        </w:rPr>
        <w:t xml:space="preserve"> un sodīt </w:t>
      </w:r>
      <w:r w:rsidRPr="00A75170">
        <w:rPr>
          <w:rFonts w:cs="Times New Roman"/>
          <w:color w:val="000000"/>
          <w:szCs w:val="24"/>
          <w:lang w:eastAsia="lv-LV"/>
        </w:rPr>
        <w:t xml:space="preserve">ar brīvības atņemšanu uz </w:t>
      </w:r>
      <w:r w:rsidR="00DA1DC4" w:rsidRPr="00A75170">
        <w:rPr>
          <w:rFonts w:cs="Times New Roman"/>
          <w:color w:val="000000"/>
          <w:szCs w:val="24"/>
          <w:lang w:eastAsia="lv-LV"/>
        </w:rPr>
        <w:t>1 </w:t>
      </w:r>
      <w:r w:rsidRPr="00A75170">
        <w:rPr>
          <w:rFonts w:cs="Times New Roman"/>
          <w:color w:val="000000"/>
          <w:szCs w:val="24"/>
          <w:lang w:eastAsia="lv-LV"/>
        </w:rPr>
        <w:t xml:space="preserve">gadu </w:t>
      </w:r>
      <w:r w:rsidR="00DA1DC4" w:rsidRPr="00A75170">
        <w:rPr>
          <w:rFonts w:cs="Times New Roman"/>
          <w:color w:val="000000"/>
          <w:szCs w:val="24"/>
          <w:lang w:eastAsia="lv-LV"/>
        </w:rPr>
        <w:t>un 3 </w:t>
      </w:r>
      <w:r w:rsidRPr="00A75170">
        <w:rPr>
          <w:rFonts w:cs="Times New Roman"/>
          <w:color w:val="000000"/>
          <w:szCs w:val="24"/>
          <w:lang w:eastAsia="lv-LV"/>
        </w:rPr>
        <w:t>mēnešiem, atņemot tiesības uz visu veidu komercdarbību uz 2</w:t>
      </w:r>
      <w:r w:rsidR="00DA1DC4" w:rsidRPr="00A75170">
        <w:rPr>
          <w:rFonts w:cs="Times New Roman"/>
          <w:color w:val="000000"/>
          <w:szCs w:val="24"/>
          <w:lang w:eastAsia="lv-LV"/>
        </w:rPr>
        <w:t> </w:t>
      </w:r>
      <w:r w:rsidRPr="00A75170">
        <w:rPr>
          <w:rFonts w:cs="Times New Roman"/>
          <w:color w:val="000000"/>
          <w:szCs w:val="24"/>
          <w:lang w:eastAsia="lv-LV"/>
        </w:rPr>
        <w:t>gadiem</w:t>
      </w:r>
      <w:r w:rsidR="00DA1DC4" w:rsidRPr="00A75170">
        <w:rPr>
          <w:rFonts w:cs="Times New Roman"/>
          <w:color w:val="000000"/>
          <w:szCs w:val="24"/>
          <w:lang w:eastAsia="lv-LV"/>
        </w:rPr>
        <w:t>,</w:t>
      </w:r>
      <w:r w:rsidRPr="00A75170">
        <w:rPr>
          <w:rFonts w:cs="Times New Roman"/>
          <w:color w:val="000000"/>
          <w:szCs w:val="24"/>
          <w:lang w:eastAsia="lv-LV"/>
        </w:rPr>
        <w:t xml:space="preserve"> </w:t>
      </w:r>
      <w:r w:rsidR="005E27ED" w:rsidRPr="00A75170">
        <w:rPr>
          <w:rFonts w:cs="Times New Roman"/>
          <w:color w:val="000000"/>
          <w:szCs w:val="24"/>
          <w:lang w:eastAsia="lv-LV"/>
        </w:rPr>
        <w:t xml:space="preserve">atzīt par vainīgu </w:t>
      </w:r>
      <w:r w:rsidRPr="00A75170">
        <w:rPr>
          <w:rFonts w:cs="Times New Roman"/>
          <w:color w:val="000000"/>
          <w:szCs w:val="24"/>
          <w:lang w:eastAsia="lv-LV"/>
        </w:rPr>
        <w:t xml:space="preserve">pēc Krimināllikuma 197. panta </w:t>
      </w:r>
      <w:r w:rsidR="005E27ED" w:rsidRPr="00A75170">
        <w:rPr>
          <w:rFonts w:cs="Times New Roman"/>
          <w:color w:val="000000"/>
          <w:szCs w:val="24"/>
          <w:lang w:eastAsia="lv-LV"/>
        </w:rPr>
        <w:t xml:space="preserve">un sodīt </w:t>
      </w:r>
      <w:r w:rsidRPr="00A75170">
        <w:rPr>
          <w:rFonts w:cs="Times New Roman"/>
          <w:color w:val="000000"/>
          <w:szCs w:val="24"/>
          <w:lang w:eastAsia="lv-LV"/>
        </w:rPr>
        <w:t xml:space="preserve">ar piespiedu darbu uz 150 stundām. Saskaņā ar Krimināllikuma 55. pantu brīvības atņemšanas sods tika noteikts nosacīti ar pārbaudes laiku uz </w:t>
      </w:r>
      <w:r w:rsidR="00D27999" w:rsidRPr="00A75170">
        <w:rPr>
          <w:rFonts w:cs="Times New Roman"/>
          <w:color w:val="000000"/>
          <w:szCs w:val="24"/>
          <w:lang w:eastAsia="lv-LV"/>
        </w:rPr>
        <w:t>1 </w:t>
      </w:r>
      <w:r w:rsidRPr="00A75170">
        <w:rPr>
          <w:rFonts w:cs="Times New Roman"/>
          <w:color w:val="000000"/>
          <w:szCs w:val="24"/>
          <w:lang w:eastAsia="lv-LV"/>
        </w:rPr>
        <w:t xml:space="preserve">gadu un </w:t>
      </w:r>
      <w:r w:rsidR="00D27999" w:rsidRPr="00A75170">
        <w:rPr>
          <w:rFonts w:cs="Times New Roman"/>
          <w:color w:val="000000"/>
          <w:szCs w:val="24"/>
          <w:lang w:eastAsia="lv-LV"/>
        </w:rPr>
        <w:t>3 </w:t>
      </w:r>
      <w:r w:rsidRPr="00A75170">
        <w:rPr>
          <w:rFonts w:cs="Times New Roman"/>
          <w:color w:val="000000"/>
          <w:szCs w:val="24"/>
          <w:lang w:eastAsia="lv-LV"/>
        </w:rPr>
        <w:t>mēnešiem;</w:t>
      </w:r>
    </w:p>
    <w:p w14:paraId="6E028D47" w14:textId="3A17B4F9"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amatā augstāks prokurors neizmantoja tiesības un </w:t>
      </w:r>
      <w:r w:rsidR="00556E75" w:rsidRPr="00A75170">
        <w:rPr>
          <w:rFonts w:cs="Times New Roman"/>
          <w:color w:val="000000"/>
          <w:szCs w:val="24"/>
          <w:lang w:eastAsia="lv-LV"/>
        </w:rPr>
        <w:t xml:space="preserve">apelācijas </w:t>
      </w:r>
      <w:r w:rsidRPr="00A75170">
        <w:rPr>
          <w:rFonts w:cs="Times New Roman"/>
          <w:color w:val="000000"/>
          <w:szCs w:val="24"/>
          <w:lang w:eastAsia="lv-LV"/>
        </w:rPr>
        <w:t>protestu neiesniedza;</w:t>
      </w:r>
    </w:p>
    <w:p w14:paraId="72F2C52A" w14:textId="3604914D"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Tiesās izskatāmo krimināllietu nodaļas virsprokurora rīcība – rezolūcija Kurzemes tiesas apgabala prokuratūras virsprokurorei par amatā augstāka prokurora tiesību izmantošanu un protesta iesniegšanu;</w:t>
      </w:r>
    </w:p>
    <w:p w14:paraId="6682DD82" w14:textId="355C11F1"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16.01.2020.</w:t>
      </w:r>
      <w:r w:rsidR="00D27999" w:rsidRPr="00A75170">
        <w:rPr>
          <w:rFonts w:cs="Times New Roman"/>
          <w:color w:val="000000"/>
          <w:szCs w:val="24"/>
          <w:lang w:eastAsia="lv-LV"/>
        </w:rPr>
        <w:t> </w:t>
      </w:r>
      <w:r w:rsidRPr="00A75170">
        <w:rPr>
          <w:rFonts w:cs="Times New Roman"/>
          <w:color w:val="000000"/>
          <w:szCs w:val="24"/>
          <w:lang w:eastAsia="lv-LV"/>
        </w:rPr>
        <w:t>Kurzemes tiesas apgabala prokuratūras virsprokurore iesniedza apelācijas protestu, lūdzot atcelt Kurzemes rajona tiesas 14.02.2020.</w:t>
      </w:r>
      <w:r w:rsidR="00D27999" w:rsidRPr="00A75170">
        <w:rPr>
          <w:rFonts w:cs="Times New Roman"/>
          <w:color w:val="000000"/>
          <w:szCs w:val="24"/>
          <w:lang w:eastAsia="lv-LV"/>
        </w:rPr>
        <w:t> </w:t>
      </w:r>
      <w:r w:rsidRPr="00A75170">
        <w:rPr>
          <w:rFonts w:cs="Times New Roman"/>
          <w:color w:val="000000"/>
          <w:szCs w:val="24"/>
          <w:lang w:eastAsia="lv-LV"/>
        </w:rPr>
        <w:t xml:space="preserve">spriedumu daļā par apsūdzētajam </w:t>
      </w:r>
      <w:r w:rsidR="00111CFB" w:rsidRPr="00A75170">
        <w:rPr>
          <w:rFonts w:cs="Times New Roman"/>
          <w:color w:val="000000"/>
          <w:szCs w:val="24"/>
          <w:lang w:eastAsia="lv-LV"/>
        </w:rPr>
        <w:t xml:space="preserve">pēc Krimināllikuma 218. panta </w:t>
      </w:r>
      <w:r w:rsidR="006A755E" w:rsidRPr="00A75170">
        <w:rPr>
          <w:rFonts w:cs="Times New Roman"/>
          <w:color w:val="000000"/>
          <w:szCs w:val="24"/>
          <w:lang w:eastAsia="lv-LV"/>
        </w:rPr>
        <w:t xml:space="preserve">otrās daļas </w:t>
      </w:r>
      <w:r w:rsidRPr="00A75170">
        <w:rPr>
          <w:rFonts w:cs="Times New Roman"/>
          <w:color w:val="000000"/>
          <w:szCs w:val="24"/>
          <w:lang w:eastAsia="lv-LV"/>
        </w:rPr>
        <w:t>noteiktā brīvības atņemšanas soda izpildes veidu</w:t>
      </w:r>
      <w:r w:rsidR="00111CFB" w:rsidRPr="00A75170">
        <w:rPr>
          <w:rFonts w:cs="Times New Roman"/>
          <w:color w:val="000000"/>
          <w:szCs w:val="24"/>
          <w:lang w:eastAsia="lv-LV"/>
        </w:rPr>
        <w:t>, kas noteikts nosacīti,</w:t>
      </w:r>
      <w:r w:rsidR="00D27999" w:rsidRPr="00A75170">
        <w:rPr>
          <w:rFonts w:cs="Times New Roman"/>
          <w:color w:val="000000"/>
          <w:szCs w:val="24"/>
          <w:lang w:eastAsia="lv-LV"/>
        </w:rPr>
        <w:t xml:space="preserve"> un </w:t>
      </w:r>
      <w:r w:rsidRPr="00A75170">
        <w:rPr>
          <w:rFonts w:cs="Times New Roman"/>
          <w:color w:val="000000"/>
          <w:szCs w:val="24"/>
          <w:lang w:eastAsia="lv-LV"/>
        </w:rPr>
        <w:t>no</w:t>
      </w:r>
      <w:r w:rsidR="00D27999" w:rsidRPr="00A75170">
        <w:rPr>
          <w:rFonts w:cs="Times New Roman"/>
          <w:color w:val="000000"/>
          <w:szCs w:val="24"/>
          <w:lang w:eastAsia="lv-LV"/>
        </w:rPr>
        <w:t>teikt</w:t>
      </w:r>
      <w:r w:rsidRPr="00A75170">
        <w:rPr>
          <w:rFonts w:cs="Times New Roman"/>
          <w:color w:val="000000"/>
          <w:szCs w:val="24"/>
          <w:lang w:eastAsia="lv-LV"/>
        </w:rPr>
        <w:t xml:space="preserve"> </w:t>
      </w:r>
      <w:r w:rsidR="00111CFB" w:rsidRPr="00A75170">
        <w:rPr>
          <w:rFonts w:cs="Times New Roman"/>
          <w:color w:val="000000"/>
          <w:szCs w:val="24"/>
          <w:lang w:eastAsia="lv-LV"/>
        </w:rPr>
        <w:t xml:space="preserve">to </w:t>
      </w:r>
      <w:r w:rsidRPr="00A75170">
        <w:rPr>
          <w:rFonts w:cs="Times New Roman"/>
          <w:color w:val="000000"/>
          <w:szCs w:val="24"/>
          <w:lang w:eastAsia="lv-LV"/>
        </w:rPr>
        <w:t>reālas brīvības atņemšanas veidā;</w:t>
      </w:r>
    </w:p>
    <w:p w14:paraId="4578AACE" w14:textId="274CBBBC"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apelācijas instance</w:t>
      </w:r>
      <w:r w:rsidR="00111CFB" w:rsidRPr="00A75170">
        <w:rPr>
          <w:rFonts w:cs="Times New Roman"/>
          <w:color w:val="000000"/>
          <w:szCs w:val="24"/>
          <w:lang w:eastAsia="lv-LV"/>
        </w:rPr>
        <w:t>s tiesa</w:t>
      </w:r>
      <w:r w:rsidRPr="00A75170">
        <w:rPr>
          <w:rFonts w:cs="Times New Roman"/>
          <w:color w:val="000000"/>
          <w:szCs w:val="24"/>
          <w:lang w:eastAsia="lv-LV"/>
        </w:rPr>
        <w:t>:</w:t>
      </w:r>
    </w:p>
    <w:p w14:paraId="413D6DDD" w14:textId="022EEAA0"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02.06.2020.</w:t>
      </w:r>
      <w:r w:rsidR="00111CFB" w:rsidRPr="00A75170">
        <w:rPr>
          <w:rFonts w:cs="Times New Roman"/>
          <w:color w:val="000000"/>
          <w:szCs w:val="24"/>
          <w:lang w:eastAsia="lv-LV"/>
        </w:rPr>
        <w:t> </w:t>
      </w:r>
      <w:r w:rsidRPr="00A75170">
        <w:rPr>
          <w:rFonts w:cs="Times New Roman"/>
          <w:color w:val="000000"/>
          <w:szCs w:val="24"/>
          <w:lang w:eastAsia="lv-LV"/>
        </w:rPr>
        <w:t>Kurzemes apgabaltiesa nolēma Kurzemes rajona tiesas 14.02.2020.</w:t>
      </w:r>
      <w:r w:rsidR="00111CFB" w:rsidRPr="00A75170">
        <w:rPr>
          <w:rFonts w:cs="Times New Roman"/>
          <w:color w:val="000000"/>
          <w:szCs w:val="24"/>
          <w:lang w:eastAsia="lv-LV"/>
        </w:rPr>
        <w:t> </w:t>
      </w:r>
      <w:r w:rsidRPr="00A75170">
        <w:rPr>
          <w:rFonts w:cs="Times New Roman"/>
          <w:color w:val="000000"/>
          <w:szCs w:val="24"/>
          <w:lang w:eastAsia="lv-LV"/>
        </w:rPr>
        <w:t>spriedumu atcelt pilnībā un krimināllietu nosūtīt jaunai izskatīšanai pirmās instances tiesā;</w:t>
      </w:r>
    </w:p>
    <w:p w14:paraId="609EA88D" w14:textId="51941BDE" w:rsidR="009E3CCA" w:rsidRPr="00F320C7"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atkārtoti pirmā</w:t>
      </w:r>
      <w:r w:rsidR="00111CFB" w:rsidRPr="00A75170">
        <w:rPr>
          <w:rFonts w:cs="Times New Roman"/>
          <w:color w:val="000000"/>
          <w:szCs w:val="24"/>
          <w:lang w:eastAsia="lv-LV"/>
        </w:rPr>
        <w:t>s</w:t>
      </w:r>
      <w:r w:rsidRPr="00A75170">
        <w:rPr>
          <w:rFonts w:cs="Times New Roman"/>
          <w:color w:val="000000"/>
          <w:szCs w:val="24"/>
          <w:lang w:eastAsia="lv-LV"/>
        </w:rPr>
        <w:t xml:space="preserve"> instance</w:t>
      </w:r>
      <w:r w:rsidR="00111CFB" w:rsidRPr="00A75170">
        <w:rPr>
          <w:rFonts w:cs="Times New Roman"/>
          <w:color w:val="000000"/>
          <w:szCs w:val="24"/>
          <w:lang w:eastAsia="lv-LV"/>
        </w:rPr>
        <w:t>s tiesa</w:t>
      </w:r>
      <w:r w:rsidRPr="00A75170">
        <w:rPr>
          <w:rFonts w:cs="Times New Roman"/>
          <w:color w:val="000000"/>
          <w:szCs w:val="24"/>
          <w:lang w:eastAsia="lv-LV"/>
        </w:rPr>
        <w:t>:</w:t>
      </w:r>
      <w:r w:rsidR="00F320C7">
        <w:rPr>
          <w:rFonts w:cs="Times New Roman"/>
          <w:color w:val="000000"/>
          <w:szCs w:val="24"/>
          <w:lang w:eastAsia="lv-LV"/>
        </w:rPr>
        <w:t xml:space="preserve"> </w:t>
      </w:r>
      <w:r w:rsidR="00904DED" w:rsidRPr="00F320C7">
        <w:rPr>
          <w:rFonts w:cs="Times New Roman"/>
          <w:color w:val="000000"/>
          <w:szCs w:val="24"/>
          <w:lang w:eastAsia="lv-LV"/>
        </w:rPr>
        <w:t>krimināl</w:t>
      </w:r>
      <w:r w:rsidRPr="00F320C7">
        <w:rPr>
          <w:rFonts w:cs="Times New Roman"/>
          <w:color w:val="000000"/>
          <w:szCs w:val="24"/>
          <w:lang w:eastAsia="lv-LV"/>
        </w:rPr>
        <w:t xml:space="preserve">lieta </w:t>
      </w:r>
      <w:r w:rsidR="00F638AC">
        <w:rPr>
          <w:rFonts w:cs="Times New Roman"/>
          <w:color w:val="000000"/>
          <w:szCs w:val="24"/>
          <w:lang w:eastAsia="lv-LV"/>
        </w:rPr>
        <w:t xml:space="preserve">vēl </w:t>
      </w:r>
      <w:r w:rsidRPr="00F320C7">
        <w:rPr>
          <w:rFonts w:cs="Times New Roman"/>
          <w:color w:val="000000"/>
          <w:szCs w:val="24"/>
          <w:lang w:eastAsia="lv-LV"/>
        </w:rPr>
        <w:t>nav izskatīta;</w:t>
      </w:r>
    </w:p>
    <w:p w14:paraId="339AC024" w14:textId="77777777" w:rsidR="00CC17A2" w:rsidRPr="00A75170" w:rsidRDefault="00CC17A2" w:rsidP="00A75170">
      <w:pPr>
        <w:pStyle w:val="ListParagraph"/>
        <w:spacing w:after="0" w:line="240" w:lineRule="auto"/>
        <w:ind w:left="1225"/>
        <w:jc w:val="both"/>
        <w:rPr>
          <w:rFonts w:cs="Times New Roman"/>
          <w:color w:val="000000"/>
          <w:szCs w:val="24"/>
          <w:lang w:eastAsia="lv-LV"/>
        </w:rPr>
      </w:pPr>
    </w:p>
    <w:p w14:paraId="1696F495" w14:textId="468634BF"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904DED" w:rsidRPr="00A75170">
        <w:rPr>
          <w:rFonts w:cs="Times New Roman"/>
          <w:color w:val="000000"/>
          <w:szCs w:val="24"/>
          <w:lang w:eastAsia="lv-LV"/>
        </w:rPr>
        <w:t> </w:t>
      </w:r>
      <w:r w:rsidRPr="00A75170">
        <w:rPr>
          <w:rFonts w:cs="Times New Roman"/>
          <w:color w:val="000000"/>
          <w:szCs w:val="24"/>
          <w:lang w:eastAsia="lv-LV"/>
        </w:rPr>
        <w:t xml:space="preserve">15830019614 – vienas personas apsūdzībā pēc Krimināllikuma 218. panta otrās daļas, nodarot kaitējumu 20 333,55 </w:t>
      </w:r>
      <w:r w:rsidRPr="00A75170">
        <w:rPr>
          <w:rFonts w:cs="Times New Roman"/>
          <w:i/>
          <w:iCs/>
          <w:color w:val="000000"/>
          <w:szCs w:val="24"/>
          <w:lang w:eastAsia="lv-LV"/>
        </w:rPr>
        <w:t>euro</w:t>
      </w:r>
      <w:r w:rsidR="00904DED" w:rsidRPr="00A75170">
        <w:rPr>
          <w:rFonts w:cs="Times New Roman"/>
          <w:color w:val="000000"/>
          <w:szCs w:val="24"/>
          <w:lang w:eastAsia="lv-LV"/>
        </w:rPr>
        <w:t xml:space="preserve"> un </w:t>
      </w:r>
      <w:r w:rsidRPr="00A75170">
        <w:rPr>
          <w:rFonts w:cs="Times New Roman"/>
          <w:color w:val="000000"/>
          <w:szCs w:val="24"/>
          <w:lang w:eastAsia="lv-LV"/>
        </w:rPr>
        <w:t>to neatlīdzinot:</w:t>
      </w:r>
    </w:p>
    <w:p w14:paraId="3831B5F2" w14:textId="617DC8BD"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904DED" w:rsidRPr="00A75170">
        <w:rPr>
          <w:rFonts w:cs="Times New Roman"/>
          <w:color w:val="000000"/>
          <w:szCs w:val="24"/>
          <w:lang w:eastAsia="lv-LV"/>
        </w:rPr>
        <w:t>s</w:t>
      </w:r>
      <w:r w:rsidRPr="00A75170">
        <w:rPr>
          <w:rFonts w:cs="Times New Roman"/>
          <w:color w:val="000000"/>
          <w:szCs w:val="24"/>
          <w:lang w:eastAsia="lv-LV"/>
        </w:rPr>
        <w:t xml:space="preserve"> instance</w:t>
      </w:r>
      <w:r w:rsidR="00904DED" w:rsidRPr="00A75170">
        <w:rPr>
          <w:rFonts w:cs="Times New Roman"/>
          <w:color w:val="000000"/>
          <w:szCs w:val="24"/>
          <w:lang w:eastAsia="lv-LV"/>
        </w:rPr>
        <w:t>s tiesa</w:t>
      </w:r>
      <w:r w:rsidRPr="00A75170">
        <w:rPr>
          <w:rFonts w:cs="Times New Roman"/>
          <w:color w:val="000000"/>
          <w:szCs w:val="24"/>
          <w:lang w:eastAsia="lv-LV"/>
        </w:rPr>
        <w:t>:</w:t>
      </w:r>
    </w:p>
    <w:p w14:paraId="661DD922" w14:textId="3A1C8C1B"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lūdza </w:t>
      </w:r>
      <w:r w:rsidR="00FC66B6" w:rsidRPr="00A75170">
        <w:rPr>
          <w:rFonts w:cs="Times New Roman"/>
          <w:color w:val="000000"/>
          <w:szCs w:val="24"/>
          <w:lang w:eastAsia="lv-LV"/>
        </w:rPr>
        <w:t xml:space="preserve">tiesu </w:t>
      </w:r>
      <w:r w:rsidRPr="00A75170">
        <w:rPr>
          <w:rFonts w:cs="Times New Roman"/>
          <w:color w:val="000000"/>
          <w:szCs w:val="24"/>
          <w:lang w:eastAsia="lv-LV"/>
        </w:rPr>
        <w:t xml:space="preserve">apsūdzēto </w:t>
      </w:r>
      <w:r w:rsidR="00556E75" w:rsidRPr="00A75170">
        <w:rPr>
          <w:rFonts w:cs="Times New Roman"/>
          <w:color w:val="000000"/>
          <w:szCs w:val="24"/>
          <w:lang w:eastAsia="lv-LV"/>
        </w:rPr>
        <w:t xml:space="preserve">atzīt par vainīgu pēc </w:t>
      </w:r>
      <w:r w:rsidRPr="00A75170">
        <w:rPr>
          <w:rFonts w:cs="Times New Roman"/>
          <w:color w:val="000000"/>
          <w:szCs w:val="24"/>
          <w:lang w:eastAsia="lv-LV"/>
        </w:rPr>
        <w:t>Krimināllikuma 218. panta otrā</w:t>
      </w:r>
      <w:r w:rsidR="00556E75" w:rsidRPr="00A75170">
        <w:rPr>
          <w:rFonts w:cs="Times New Roman"/>
          <w:color w:val="000000"/>
          <w:szCs w:val="24"/>
          <w:lang w:eastAsia="lv-LV"/>
        </w:rPr>
        <w:t>s</w:t>
      </w:r>
      <w:r w:rsidRPr="00A75170">
        <w:rPr>
          <w:rFonts w:cs="Times New Roman"/>
          <w:color w:val="000000"/>
          <w:szCs w:val="24"/>
          <w:lang w:eastAsia="lv-LV"/>
        </w:rPr>
        <w:t xml:space="preserve"> daļ</w:t>
      </w:r>
      <w:r w:rsidR="00556E75" w:rsidRPr="00A75170">
        <w:rPr>
          <w:rFonts w:cs="Times New Roman"/>
          <w:color w:val="000000"/>
          <w:szCs w:val="24"/>
          <w:lang w:eastAsia="lv-LV"/>
        </w:rPr>
        <w:t xml:space="preserve">as un sodīt </w:t>
      </w:r>
      <w:r w:rsidRPr="00A75170">
        <w:rPr>
          <w:rFonts w:cs="Times New Roman"/>
          <w:color w:val="000000"/>
          <w:szCs w:val="24"/>
          <w:lang w:eastAsia="lv-LV"/>
        </w:rPr>
        <w:t xml:space="preserve">ar brīvības atņemšanu uz </w:t>
      </w:r>
      <w:r w:rsidR="00904DED" w:rsidRPr="00A75170">
        <w:rPr>
          <w:rFonts w:cs="Times New Roman"/>
          <w:color w:val="000000"/>
          <w:szCs w:val="24"/>
          <w:lang w:eastAsia="lv-LV"/>
        </w:rPr>
        <w:t>4 </w:t>
      </w:r>
      <w:r w:rsidRPr="00A75170">
        <w:rPr>
          <w:rFonts w:cs="Times New Roman"/>
          <w:color w:val="000000"/>
          <w:szCs w:val="24"/>
          <w:lang w:eastAsia="lv-LV"/>
        </w:rPr>
        <w:t xml:space="preserve">mēnešiem, atņemot tiesības veikt uzņēmējdarbību uz </w:t>
      </w:r>
      <w:r w:rsidR="00904DED" w:rsidRPr="00A75170">
        <w:rPr>
          <w:rFonts w:cs="Times New Roman"/>
          <w:color w:val="000000"/>
          <w:szCs w:val="24"/>
          <w:lang w:eastAsia="lv-LV"/>
        </w:rPr>
        <w:t>2 </w:t>
      </w:r>
      <w:r w:rsidRPr="00A75170">
        <w:rPr>
          <w:rFonts w:cs="Times New Roman"/>
          <w:color w:val="000000"/>
          <w:szCs w:val="24"/>
          <w:lang w:eastAsia="lv-LV"/>
        </w:rPr>
        <w:t>gadiem;</w:t>
      </w:r>
    </w:p>
    <w:p w14:paraId="221FCD7D" w14:textId="1325F254"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15.10.2019.</w:t>
      </w:r>
      <w:r w:rsidR="00904DED" w:rsidRPr="00A75170">
        <w:rPr>
          <w:rFonts w:cs="Times New Roman"/>
          <w:color w:val="000000"/>
          <w:szCs w:val="24"/>
          <w:lang w:eastAsia="lv-LV"/>
        </w:rPr>
        <w:t> </w:t>
      </w:r>
      <w:r w:rsidRPr="00A75170">
        <w:rPr>
          <w:rFonts w:cs="Times New Roman"/>
          <w:color w:val="000000"/>
          <w:szCs w:val="24"/>
          <w:lang w:eastAsia="lv-LV"/>
        </w:rPr>
        <w:t>Rīgas pilsētas Vidzemes priekšpilsētas tiesa</w:t>
      </w:r>
      <w:r w:rsidR="00FC66B6" w:rsidRPr="00A75170">
        <w:rPr>
          <w:rFonts w:cs="Times New Roman"/>
          <w:color w:val="000000"/>
          <w:szCs w:val="24"/>
          <w:lang w:eastAsia="lv-LV"/>
        </w:rPr>
        <w:t xml:space="preserve"> nosprieda apsūdzēto atzīt par vainīgu</w:t>
      </w:r>
      <w:r w:rsidRPr="00A75170">
        <w:rPr>
          <w:rFonts w:cs="Times New Roman"/>
          <w:color w:val="000000"/>
          <w:szCs w:val="24"/>
          <w:lang w:eastAsia="lv-LV"/>
        </w:rPr>
        <w:t xml:space="preserve"> pēc Krimināllikuma 218. panta otrās daļas </w:t>
      </w:r>
      <w:r w:rsidR="00782298" w:rsidRPr="00A75170">
        <w:rPr>
          <w:rFonts w:cs="Times New Roman"/>
          <w:color w:val="000000"/>
          <w:szCs w:val="24"/>
          <w:lang w:eastAsia="lv-LV"/>
        </w:rPr>
        <w:t xml:space="preserve">un </w:t>
      </w:r>
      <w:r w:rsidRPr="00A75170">
        <w:rPr>
          <w:rFonts w:cs="Times New Roman"/>
          <w:color w:val="000000"/>
          <w:szCs w:val="24"/>
          <w:lang w:eastAsia="lv-LV"/>
        </w:rPr>
        <w:t>sodīt ar naudas sodu 10</w:t>
      </w:r>
      <w:r w:rsidR="00782298" w:rsidRPr="00A75170">
        <w:rPr>
          <w:rFonts w:cs="Times New Roman"/>
          <w:color w:val="000000"/>
          <w:szCs w:val="24"/>
          <w:lang w:eastAsia="lv-LV"/>
        </w:rPr>
        <w:t> </w:t>
      </w:r>
      <w:r w:rsidRPr="00A75170">
        <w:rPr>
          <w:rFonts w:cs="Times New Roman"/>
          <w:color w:val="000000"/>
          <w:szCs w:val="24"/>
          <w:lang w:eastAsia="lv-LV"/>
        </w:rPr>
        <w:t>minimālo mēnešalgu</w:t>
      </w:r>
      <w:r w:rsidR="00782298" w:rsidRPr="00A75170">
        <w:rPr>
          <w:rFonts w:cs="Times New Roman"/>
          <w:color w:val="000000"/>
          <w:szCs w:val="24"/>
          <w:lang w:eastAsia="lv-LV"/>
        </w:rPr>
        <w:t xml:space="preserve"> apmērā</w:t>
      </w:r>
      <w:r w:rsidRPr="00A75170">
        <w:rPr>
          <w:rFonts w:cs="Times New Roman"/>
          <w:color w:val="000000"/>
          <w:szCs w:val="24"/>
          <w:lang w:eastAsia="lv-LV"/>
        </w:rPr>
        <w:t xml:space="preserve">, tas ir, 4300 </w:t>
      </w:r>
      <w:r w:rsidRPr="00A75170">
        <w:rPr>
          <w:rFonts w:cs="Times New Roman"/>
          <w:i/>
          <w:iCs/>
          <w:color w:val="000000"/>
          <w:szCs w:val="24"/>
          <w:lang w:eastAsia="lv-LV"/>
        </w:rPr>
        <w:t>euro</w:t>
      </w:r>
      <w:r w:rsidRPr="00A75170">
        <w:rPr>
          <w:rFonts w:cs="Times New Roman"/>
          <w:color w:val="000000"/>
          <w:szCs w:val="24"/>
          <w:lang w:eastAsia="lv-LV"/>
        </w:rPr>
        <w:t>, atņemot tiesības veikt uzņēmējdarbību uz 2</w:t>
      </w:r>
      <w:r w:rsidR="00904DED" w:rsidRPr="00A75170">
        <w:rPr>
          <w:rFonts w:cs="Times New Roman"/>
          <w:color w:val="000000"/>
          <w:szCs w:val="24"/>
          <w:lang w:eastAsia="lv-LV"/>
        </w:rPr>
        <w:t> </w:t>
      </w:r>
      <w:r w:rsidRPr="00A75170">
        <w:rPr>
          <w:rFonts w:cs="Times New Roman"/>
          <w:color w:val="000000"/>
          <w:szCs w:val="24"/>
          <w:lang w:eastAsia="lv-LV"/>
        </w:rPr>
        <w:t>gadiem;</w:t>
      </w:r>
    </w:p>
    <w:p w14:paraId="72899DED" w14:textId="1A7741DA" w:rsidR="009D5A5F"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lastRenderedPageBreak/>
        <w:t>prokurors un amatā augstāks prokurors nepiekrita piespriestajam sodam un 24.04.2020.</w:t>
      </w:r>
      <w:r w:rsidR="00EA22BF" w:rsidRPr="00A75170">
        <w:rPr>
          <w:rFonts w:cs="Times New Roman"/>
          <w:color w:val="000000"/>
          <w:szCs w:val="24"/>
          <w:lang w:eastAsia="lv-LV"/>
        </w:rPr>
        <w:t> </w:t>
      </w:r>
      <w:r w:rsidRPr="00A75170">
        <w:rPr>
          <w:rFonts w:cs="Times New Roman"/>
          <w:color w:val="000000"/>
          <w:szCs w:val="24"/>
          <w:lang w:eastAsia="lv-LV"/>
        </w:rPr>
        <w:t>prokurors iesniedza apelācijas protestu</w:t>
      </w:r>
      <w:r w:rsidR="00782298" w:rsidRPr="00A75170">
        <w:rPr>
          <w:rFonts w:cs="Times New Roman"/>
          <w:color w:val="000000"/>
          <w:szCs w:val="24"/>
          <w:lang w:eastAsia="lv-LV"/>
        </w:rPr>
        <w:t xml:space="preserve"> daļā</w:t>
      </w:r>
      <w:r w:rsidR="009D5A5F" w:rsidRPr="00A75170">
        <w:rPr>
          <w:rFonts w:cs="Times New Roman"/>
          <w:color w:val="000000"/>
          <w:szCs w:val="24"/>
          <w:lang w:eastAsia="lv-LV"/>
        </w:rPr>
        <w:t xml:space="preserve"> par sodu, lūdzot</w:t>
      </w:r>
      <w:r w:rsidR="00DB01EC" w:rsidRPr="00A75170">
        <w:rPr>
          <w:rFonts w:cs="Times New Roman"/>
          <w:color w:val="000000"/>
          <w:szCs w:val="24"/>
          <w:lang w:eastAsia="lv-LV"/>
        </w:rPr>
        <w:t xml:space="preserve"> </w:t>
      </w:r>
      <w:r w:rsidR="001F4117" w:rsidRPr="00A75170">
        <w:rPr>
          <w:rFonts w:cs="Times New Roman"/>
          <w:color w:val="000000"/>
          <w:szCs w:val="24"/>
          <w:lang w:eastAsia="lv-LV"/>
        </w:rPr>
        <w:t>piespriest</w:t>
      </w:r>
      <w:r w:rsidR="009D5A5F" w:rsidRPr="00A75170">
        <w:rPr>
          <w:rFonts w:cs="Times New Roman"/>
          <w:color w:val="000000"/>
          <w:szCs w:val="24"/>
          <w:lang w:eastAsia="lv-LV"/>
        </w:rPr>
        <w:t xml:space="preserve"> pirmās instances tiesā piepras</w:t>
      </w:r>
      <w:r w:rsidR="00DB01EC" w:rsidRPr="00A75170">
        <w:rPr>
          <w:rFonts w:cs="Times New Roman"/>
          <w:color w:val="000000"/>
          <w:szCs w:val="24"/>
          <w:lang w:eastAsia="lv-LV"/>
        </w:rPr>
        <w:t>īto sodu</w:t>
      </w:r>
      <w:r w:rsidR="009D5A5F" w:rsidRPr="00A75170">
        <w:rPr>
          <w:rFonts w:cs="Times New Roman"/>
          <w:color w:val="000000"/>
          <w:szCs w:val="24"/>
          <w:lang w:eastAsia="lv-LV"/>
        </w:rPr>
        <w:t>;</w:t>
      </w:r>
    </w:p>
    <w:p w14:paraId="5880DE29" w14:textId="247C81C3"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apelācijas instance</w:t>
      </w:r>
      <w:r w:rsidR="00EA22BF" w:rsidRPr="00A75170">
        <w:rPr>
          <w:rFonts w:cs="Times New Roman"/>
          <w:color w:val="000000"/>
          <w:szCs w:val="24"/>
          <w:lang w:eastAsia="lv-LV"/>
        </w:rPr>
        <w:t>s tiesa</w:t>
      </w:r>
      <w:r w:rsidRPr="00A75170">
        <w:rPr>
          <w:rFonts w:cs="Times New Roman"/>
          <w:color w:val="000000"/>
          <w:szCs w:val="24"/>
          <w:lang w:eastAsia="lv-LV"/>
        </w:rPr>
        <w:t>:</w:t>
      </w:r>
    </w:p>
    <w:p w14:paraId="62D7B896" w14:textId="22E97FE0"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12.11.2020.</w:t>
      </w:r>
      <w:r w:rsidR="00EA22BF" w:rsidRPr="00A75170">
        <w:rPr>
          <w:rFonts w:cs="Times New Roman"/>
          <w:color w:val="000000"/>
          <w:szCs w:val="24"/>
          <w:lang w:eastAsia="lv-LV"/>
        </w:rPr>
        <w:t> </w:t>
      </w:r>
      <w:r w:rsidRPr="00A75170">
        <w:rPr>
          <w:rFonts w:cs="Times New Roman"/>
          <w:color w:val="000000"/>
          <w:szCs w:val="24"/>
          <w:lang w:eastAsia="lv-LV"/>
        </w:rPr>
        <w:t>Rīgas apgabaltiesa nolēma 15.10.2019.</w:t>
      </w:r>
      <w:r w:rsidR="00EA22BF" w:rsidRPr="00A75170">
        <w:rPr>
          <w:rFonts w:cs="Times New Roman"/>
          <w:color w:val="000000"/>
          <w:szCs w:val="24"/>
          <w:lang w:eastAsia="lv-LV"/>
        </w:rPr>
        <w:t> </w:t>
      </w:r>
      <w:r w:rsidRPr="00A75170">
        <w:rPr>
          <w:rFonts w:cs="Times New Roman"/>
          <w:color w:val="000000"/>
          <w:szCs w:val="24"/>
          <w:lang w:eastAsia="lv-LV"/>
        </w:rPr>
        <w:t>Rīgas pilsētas Vidzemes priekšpilsētas tiesas spriedumu atstāt negrozītu;</w:t>
      </w:r>
    </w:p>
    <w:p w14:paraId="08D14FB3" w14:textId="68DAE8F5"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23.11.2020.</w:t>
      </w:r>
      <w:r w:rsidR="00EA22BF" w:rsidRPr="00A75170">
        <w:rPr>
          <w:rFonts w:cs="Times New Roman"/>
          <w:color w:val="000000"/>
          <w:szCs w:val="24"/>
          <w:lang w:eastAsia="lv-LV"/>
        </w:rPr>
        <w:t> </w:t>
      </w:r>
      <w:r w:rsidRPr="00A75170">
        <w:rPr>
          <w:rFonts w:cs="Times New Roman"/>
          <w:color w:val="000000"/>
          <w:szCs w:val="24"/>
          <w:lang w:eastAsia="lv-LV"/>
        </w:rPr>
        <w:t>iesniegts kasācijas protests;</w:t>
      </w:r>
    </w:p>
    <w:p w14:paraId="5FBC206F" w14:textId="4C237161" w:rsidR="009E3CCA" w:rsidRPr="00F320C7" w:rsidRDefault="00E51A5A" w:rsidP="00E329FC">
      <w:pPr>
        <w:pStyle w:val="ListParagraph"/>
        <w:numPr>
          <w:ilvl w:val="1"/>
          <w:numId w:val="55"/>
        </w:numPr>
        <w:spacing w:line="240" w:lineRule="auto"/>
        <w:jc w:val="both"/>
        <w:rPr>
          <w:rFonts w:cs="Times New Roman"/>
          <w:color w:val="000000"/>
          <w:szCs w:val="24"/>
          <w:lang w:eastAsia="lv-LV"/>
        </w:rPr>
      </w:pPr>
      <w:r w:rsidRPr="00F320C7">
        <w:rPr>
          <w:rFonts w:cs="Times New Roman"/>
          <w:color w:val="000000"/>
          <w:szCs w:val="24"/>
          <w:lang w:eastAsia="lv-LV"/>
        </w:rPr>
        <w:t>21.01.2021.</w:t>
      </w:r>
      <w:r w:rsidR="00EA22BF" w:rsidRPr="00F320C7">
        <w:rPr>
          <w:rFonts w:cs="Times New Roman"/>
          <w:color w:val="000000"/>
          <w:szCs w:val="24"/>
          <w:lang w:eastAsia="lv-LV"/>
        </w:rPr>
        <w:t> </w:t>
      </w:r>
      <w:r w:rsidRPr="00F320C7">
        <w:rPr>
          <w:rFonts w:cs="Times New Roman"/>
          <w:color w:val="000000"/>
          <w:szCs w:val="24"/>
          <w:lang w:eastAsia="lv-LV"/>
        </w:rPr>
        <w:t>Senāts atteica ierosināt kasācijas tiesvedību</w:t>
      </w:r>
      <w:r w:rsidR="009E3CCA" w:rsidRPr="00F320C7">
        <w:rPr>
          <w:rFonts w:cs="Times New Roman"/>
          <w:color w:val="000000"/>
          <w:szCs w:val="24"/>
          <w:lang w:eastAsia="lv-LV"/>
        </w:rPr>
        <w:t>;</w:t>
      </w:r>
    </w:p>
    <w:p w14:paraId="66C4839F" w14:textId="77777777" w:rsidR="00CC17A2" w:rsidRPr="00A75170" w:rsidRDefault="00CC17A2" w:rsidP="00A75170">
      <w:pPr>
        <w:pStyle w:val="ListParagraph"/>
        <w:spacing w:after="0" w:line="240" w:lineRule="auto"/>
        <w:ind w:left="1225"/>
        <w:jc w:val="both"/>
        <w:rPr>
          <w:rFonts w:cs="Times New Roman"/>
          <w:color w:val="000000"/>
          <w:szCs w:val="24"/>
          <w:lang w:eastAsia="lv-LV"/>
        </w:rPr>
      </w:pPr>
    </w:p>
    <w:p w14:paraId="619CC942" w14:textId="30E0498E"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EA22BF" w:rsidRPr="00A75170">
        <w:rPr>
          <w:rFonts w:cs="Times New Roman"/>
          <w:color w:val="000000"/>
          <w:szCs w:val="24"/>
          <w:lang w:eastAsia="lv-LV"/>
        </w:rPr>
        <w:t> </w:t>
      </w:r>
      <w:r w:rsidRPr="00A75170">
        <w:rPr>
          <w:rFonts w:cs="Times New Roman"/>
          <w:color w:val="000000"/>
          <w:szCs w:val="24"/>
          <w:lang w:eastAsia="lv-LV"/>
        </w:rPr>
        <w:t xml:space="preserve">15830011612 – divu personu apsūdzībā pēc Krimināllikuma 218. panta otrās daļas, 275. panta otrās daļas, nodarot kaitējumu 97 719,14 </w:t>
      </w:r>
      <w:r w:rsidRPr="00A75170">
        <w:rPr>
          <w:rFonts w:cs="Times New Roman"/>
          <w:i/>
          <w:iCs/>
          <w:color w:val="000000"/>
          <w:szCs w:val="24"/>
          <w:lang w:eastAsia="lv-LV"/>
        </w:rPr>
        <w:t>euro</w:t>
      </w:r>
      <w:r w:rsidR="00EA22BF" w:rsidRPr="00A75170">
        <w:rPr>
          <w:rFonts w:cs="Times New Roman"/>
          <w:color w:val="000000"/>
          <w:szCs w:val="24"/>
          <w:lang w:eastAsia="lv-LV"/>
        </w:rPr>
        <w:t xml:space="preserve"> un </w:t>
      </w:r>
      <w:r w:rsidRPr="00A75170">
        <w:rPr>
          <w:rFonts w:cs="Times New Roman"/>
          <w:color w:val="000000"/>
          <w:szCs w:val="24"/>
          <w:lang w:eastAsia="lv-LV"/>
        </w:rPr>
        <w:t>to neatlīdzinot:</w:t>
      </w:r>
    </w:p>
    <w:p w14:paraId="56E1C789" w14:textId="1882761F"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EA22BF" w:rsidRPr="00A75170">
        <w:rPr>
          <w:rFonts w:cs="Times New Roman"/>
          <w:color w:val="000000"/>
          <w:szCs w:val="24"/>
          <w:lang w:eastAsia="lv-LV"/>
        </w:rPr>
        <w:t>s</w:t>
      </w:r>
      <w:r w:rsidRPr="00A75170">
        <w:rPr>
          <w:rFonts w:cs="Times New Roman"/>
          <w:color w:val="000000"/>
          <w:szCs w:val="24"/>
          <w:lang w:eastAsia="lv-LV"/>
        </w:rPr>
        <w:t xml:space="preserve"> instance</w:t>
      </w:r>
      <w:r w:rsidR="00EA22BF" w:rsidRPr="00A75170">
        <w:rPr>
          <w:rFonts w:cs="Times New Roman"/>
          <w:color w:val="000000"/>
          <w:szCs w:val="24"/>
          <w:lang w:eastAsia="lv-LV"/>
        </w:rPr>
        <w:t>s tiesa</w:t>
      </w:r>
      <w:r w:rsidRPr="00A75170">
        <w:rPr>
          <w:rFonts w:cs="Times New Roman"/>
          <w:color w:val="000000"/>
          <w:szCs w:val="24"/>
          <w:lang w:eastAsia="lv-LV"/>
        </w:rPr>
        <w:t>:</w:t>
      </w:r>
    </w:p>
    <w:p w14:paraId="2EB0B574" w14:textId="18221F7E"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lūdza </w:t>
      </w:r>
      <w:r w:rsidR="00DB01EC" w:rsidRPr="00A75170">
        <w:rPr>
          <w:rFonts w:cs="Times New Roman"/>
          <w:color w:val="000000"/>
          <w:szCs w:val="24"/>
          <w:lang w:eastAsia="lv-LV"/>
        </w:rPr>
        <w:t xml:space="preserve">tiesu vienu apsūdzēto </w:t>
      </w:r>
      <w:r w:rsidRPr="00A75170">
        <w:rPr>
          <w:rFonts w:cs="Times New Roman"/>
          <w:color w:val="000000"/>
          <w:szCs w:val="24"/>
          <w:lang w:eastAsia="lv-LV"/>
        </w:rPr>
        <w:t>atzīt par vainīgu pēc Krimināllikuma 218.</w:t>
      </w:r>
      <w:r w:rsidR="00EA22BF" w:rsidRPr="00A75170">
        <w:rPr>
          <w:rFonts w:cs="Times New Roman"/>
          <w:color w:val="000000"/>
          <w:szCs w:val="24"/>
          <w:lang w:eastAsia="lv-LV"/>
        </w:rPr>
        <w:t> </w:t>
      </w:r>
      <w:r w:rsidRPr="00A75170">
        <w:rPr>
          <w:rFonts w:cs="Times New Roman"/>
          <w:color w:val="000000"/>
          <w:szCs w:val="24"/>
          <w:lang w:eastAsia="lv-LV"/>
        </w:rPr>
        <w:t xml:space="preserve">panta otrās daļas </w:t>
      </w:r>
      <w:r w:rsidR="00DB01EC" w:rsidRPr="00A75170">
        <w:rPr>
          <w:rFonts w:cs="Times New Roman"/>
          <w:color w:val="000000"/>
          <w:szCs w:val="24"/>
          <w:lang w:eastAsia="lv-LV"/>
        </w:rPr>
        <w:t xml:space="preserve">un sodīt </w:t>
      </w:r>
      <w:r w:rsidR="00EA22BF" w:rsidRPr="00A75170">
        <w:rPr>
          <w:rFonts w:cs="Times New Roman"/>
          <w:color w:val="000000"/>
          <w:szCs w:val="24"/>
          <w:lang w:eastAsia="lv-LV"/>
        </w:rPr>
        <w:t xml:space="preserve">ar </w:t>
      </w:r>
      <w:r w:rsidRPr="00A75170">
        <w:rPr>
          <w:rFonts w:cs="Times New Roman"/>
          <w:color w:val="000000"/>
          <w:szCs w:val="24"/>
          <w:lang w:eastAsia="lv-LV"/>
        </w:rPr>
        <w:t xml:space="preserve">brīvības atņemšanu uz </w:t>
      </w:r>
      <w:r w:rsidR="00595307" w:rsidRPr="00A75170">
        <w:rPr>
          <w:rFonts w:cs="Times New Roman"/>
          <w:color w:val="000000"/>
          <w:szCs w:val="24"/>
          <w:lang w:eastAsia="lv-LV"/>
        </w:rPr>
        <w:t>1 </w:t>
      </w:r>
      <w:r w:rsidRPr="00A75170">
        <w:rPr>
          <w:rFonts w:cs="Times New Roman"/>
          <w:color w:val="000000"/>
          <w:szCs w:val="24"/>
          <w:lang w:eastAsia="lv-LV"/>
        </w:rPr>
        <w:t xml:space="preserve">gadu un </w:t>
      </w:r>
      <w:r w:rsidR="00595307" w:rsidRPr="00A75170">
        <w:rPr>
          <w:rFonts w:cs="Times New Roman"/>
          <w:color w:val="000000"/>
          <w:szCs w:val="24"/>
          <w:lang w:eastAsia="lv-LV"/>
        </w:rPr>
        <w:t>6 </w:t>
      </w:r>
      <w:r w:rsidRPr="00A75170">
        <w:rPr>
          <w:rFonts w:cs="Times New Roman"/>
          <w:color w:val="000000"/>
          <w:szCs w:val="24"/>
          <w:lang w:eastAsia="lv-LV"/>
        </w:rPr>
        <w:t>mēnešiem, nepiemērojot mantas konfiskāciju, atņemot tiesības uz noteiktu nodarbošanos – dibināt un būt par zemnieku saimniecības īpašnieku</w:t>
      </w:r>
      <w:r w:rsidR="00595307" w:rsidRPr="00A75170">
        <w:rPr>
          <w:rFonts w:cs="Times New Roman"/>
          <w:color w:val="000000"/>
          <w:szCs w:val="24"/>
          <w:lang w:eastAsia="lv-LV"/>
        </w:rPr>
        <w:t xml:space="preserve"> – </w:t>
      </w:r>
      <w:r w:rsidRPr="00A75170">
        <w:rPr>
          <w:rFonts w:cs="Times New Roman"/>
          <w:color w:val="000000"/>
          <w:szCs w:val="24"/>
          <w:lang w:eastAsia="lv-LV"/>
        </w:rPr>
        <w:t xml:space="preserve">uz </w:t>
      </w:r>
      <w:r w:rsidR="00595307" w:rsidRPr="00A75170">
        <w:rPr>
          <w:rFonts w:cs="Times New Roman"/>
          <w:color w:val="000000"/>
          <w:szCs w:val="24"/>
          <w:lang w:eastAsia="lv-LV"/>
        </w:rPr>
        <w:t>2 </w:t>
      </w:r>
      <w:r w:rsidRPr="00A75170">
        <w:rPr>
          <w:rFonts w:cs="Times New Roman"/>
          <w:color w:val="000000"/>
          <w:szCs w:val="24"/>
          <w:lang w:eastAsia="lv-LV"/>
        </w:rPr>
        <w:t>gadiem</w:t>
      </w:r>
      <w:r w:rsidR="00595307" w:rsidRPr="00A75170">
        <w:rPr>
          <w:rFonts w:cs="Times New Roman"/>
          <w:color w:val="000000"/>
          <w:szCs w:val="24"/>
          <w:lang w:eastAsia="lv-LV"/>
        </w:rPr>
        <w:t xml:space="preserve">, </w:t>
      </w:r>
      <w:r w:rsidR="00FF1327" w:rsidRPr="00A75170">
        <w:rPr>
          <w:rFonts w:cs="Times New Roman"/>
          <w:color w:val="000000"/>
          <w:szCs w:val="24"/>
          <w:lang w:eastAsia="lv-LV"/>
        </w:rPr>
        <w:t xml:space="preserve">un atzīt par vainīgu </w:t>
      </w:r>
      <w:r w:rsidRPr="00A75170">
        <w:rPr>
          <w:rFonts w:cs="Times New Roman"/>
          <w:color w:val="000000"/>
          <w:szCs w:val="24"/>
          <w:lang w:eastAsia="lv-LV"/>
        </w:rPr>
        <w:t xml:space="preserve">pēc Krimināllikuma 275. panta otrās daļas </w:t>
      </w:r>
      <w:r w:rsidR="00FF1327" w:rsidRPr="00A75170">
        <w:rPr>
          <w:rFonts w:cs="Times New Roman"/>
          <w:color w:val="000000"/>
          <w:szCs w:val="24"/>
          <w:lang w:eastAsia="lv-LV"/>
        </w:rPr>
        <w:t xml:space="preserve">un par </w:t>
      </w:r>
      <w:r w:rsidRPr="00A75170">
        <w:rPr>
          <w:rFonts w:cs="Times New Roman"/>
          <w:color w:val="000000"/>
          <w:szCs w:val="24"/>
          <w:lang w:eastAsia="lv-LV"/>
        </w:rPr>
        <w:t>katr</w:t>
      </w:r>
      <w:r w:rsidR="00902F38" w:rsidRPr="00A75170">
        <w:rPr>
          <w:rFonts w:cs="Times New Roman"/>
          <w:color w:val="000000"/>
          <w:szCs w:val="24"/>
          <w:lang w:eastAsia="lv-LV"/>
        </w:rPr>
        <w:t>a</w:t>
      </w:r>
      <w:r w:rsidRPr="00A75170">
        <w:rPr>
          <w:rFonts w:cs="Times New Roman"/>
          <w:color w:val="000000"/>
          <w:szCs w:val="24"/>
          <w:lang w:eastAsia="lv-LV"/>
        </w:rPr>
        <w:t xml:space="preserve"> atsevišķ</w:t>
      </w:r>
      <w:r w:rsidR="00704F30" w:rsidRPr="00A75170">
        <w:rPr>
          <w:rFonts w:cs="Times New Roman"/>
          <w:color w:val="000000"/>
          <w:szCs w:val="24"/>
          <w:lang w:eastAsia="lv-LV"/>
        </w:rPr>
        <w:t>a</w:t>
      </w:r>
      <w:r w:rsidRPr="00A75170">
        <w:rPr>
          <w:rFonts w:cs="Times New Roman"/>
          <w:color w:val="000000"/>
          <w:szCs w:val="24"/>
          <w:lang w:eastAsia="lv-LV"/>
        </w:rPr>
        <w:t xml:space="preserve"> noziedzīga nodarījuma izdarīšanu </w:t>
      </w:r>
      <w:r w:rsidR="00FF1327" w:rsidRPr="00A75170">
        <w:rPr>
          <w:rFonts w:cs="Times New Roman"/>
          <w:color w:val="000000"/>
          <w:szCs w:val="24"/>
          <w:lang w:eastAsia="lv-LV"/>
        </w:rPr>
        <w:t xml:space="preserve">sodīt </w:t>
      </w:r>
      <w:r w:rsidRPr="00A75170">
        <w:rPr>
          <w:rFonts w:cs="Times New Roman"/>
          <w:color w:val="000000"/>
          <w:szCs w:val="24"/>
          <w:lang w:eastAsia="lv-LV"/>
        </w:rPr>
        <w:t xml:space="preserve">ar brīvības </w:t>
      </w:r>
      <w:r w:rsidR="00704F30" w:rsidRPr="00A75170">
        <w:rPr>
          <w:rFonts w:cs="Times New Roman"/>
          <w:color w:val="000000"/>
          <w:szCs w:val="24"/>
          <w:lang w:eastAsia="lv-LV"/>
        </w:rPr>
        <w:t xml:space="preserve">atņemšanu </w:t>
      </w:r>
      <w:r w:rsidRPr="00A75170">
        <w:rPr>
          <w:rFonts w:cs="Times New Roman"/>
          <w:color w:val="000000"/>
          <w:szCs w:val="24"/>
          <w:lang w:eastAsia="lv-LV"/>
        </w:rPr>
        <w:t>uz</w:t>
      </w:r>
      <w:r w:rsidR="00704F30" w:rsidRPr="00A75170">
        <w:rPr>
          <w:rFonts w:cs="Times New Roman"/>
          <w:color w:val="000000"/>
          <w:szCs w:val="24"/>
          <w:lang w:eastAsia="lv-LV"/>
        </w:rPr>
        <w:t xml:space="preserve"> 6 </w:t>
      </w:r>
      <w:r w:rsidRPr="00A75170">
        <w:rPr>
          <w:rFonts w:cs="Times New Roman"/>
          <w:color w:val="000000"/>
          <w:szCs w:val="24"/>
          <w:lang w:eastAsia="lv-LV"/>
        </w:rPr>
        <w:t>mēnešiem</w:t>
      </w:r>
      <w:r w:rsidR="00704F30" w:rsidRPr="00A75170">
        <w:rPr>
          <w:rFonts w:cs="Times New Roman"/>
          <w:color w:val="000000"/>
          <w:szCs w:val="24"/>
          <w:lang w:eastAsia="lv-LV"/>
        </w:rPr>
        <w:t>,</w:t>
      </w:r>
      <w:r w:rsidRPr="00A75170">
        <w:rPr>
          <w:rFonts w:cs="Times New Roman"/>
          <w:color w:val="000000"/>
          <w:szCs w:val="24"/>
          <w:lang w:eastAsia="lv-LV"/>
        </w:rPr>
        <w:t xml:space="preserve"> galīgo sodu par izdarītiem vairākiem noziedzīgiem nodarījumiem</w:t>
      </w:r>
      <w:r w:rsidR="00902F38" w:rsidRPr="00A75170">
        <w:rPr>
          <w:rFonts w:cs="Times New Roman"/>
          <w:color w:val="000000"/>
          <w:szCs w:val="24"/>
          <w:lang w:eastAsia="lv-LV"/>
        </w:rPr>
        <w:t xml:space="preserve"> </w:t>
      </w:r>
      <w:r w:rsidRPr="00A75170">
        <w:rPr>
          <w:rFonts w:cs="Times New Roman"/>
          <w:color w:val="000000"/>
          <w:szCs w:val="24"/>
          <w:lang w:eastAsia="lv-LV"/>
        </w:rPr>
        <w:t>no</w:t>
      </w:r>
      <w:r w:rsidR="00902F38" w:rsidRPr="00A75170">
        <w:rPr>
          <w:rFonts w:cs="Times New Roman"/>
          <w:color w:val="000000"/>
          <w:szCs w:val="24"/>
          <w:lang w:eastAsia="lv-LV"/>
        </w:rPr>
        <w:t>sakot</w:t>
      </w:r>
      <w:r w:rsidR="00640318" w:rsidRPr="00A75170">
        <w:rPr>
          <w:rFonts w:cs="Times New Roman"/>
          <w:color w:val="000000"/>
          <w:szCs w:val="24"/>
          <w:lang w:eastAsia="lv-LV"/>
        </w:rPr>
        <w:t xml:space="preserve"> </w:t>
      </w:r>
      <w:r w:rsidRPr="00A75170">
        <w:rPr>
          <w:rFonts w:cs="Times New Roman"/>
          <w:color w:val="000000"/>
          <w:szCs w:val="24"/>
          <w:lang w:eastAsia="lv-LV"/>
        </w:rPr>
        <w:t xml:space="preserve">brīvības atņemšanu uz </w:t>
      </w:r>
      <w:r w:rsidR="00704F30" w:rsidRPr="00A75170">
        <w:rPr>
          <w:rFonts w:cs="Times New Roman"/>
          <w:color w:val="000000"/>
          <w:szCs w:val="24"/>
          <w:lang w:eastAsia="lv-LV"/>
        </w:rPr>
        <w:t>2 </w:t>
      </w:r>
      <w:r w:rsidRPr="00A75170">
        <w:rPr>
          <w:rFonts w:cs="Times New Roman"/>
          <w:color w:val="000000"/>
          <w:szCs w:val="24"/>
          <w:lang w:eastAsia="lv-LV"/>
        </w:rPr>
        <w:t>gadiem</w:t>
      </w:r>
      <w:r w:rsidR="00704F30" w:rsidRPr="00A75170">
        <w:rPr>
          <w:rFonts w:cs="Times New Roman"/>
          <w:color w:val="000000"/>
          <w:szCs w:val="24"/>
          <w:lang w:eastAsia="lv-LV"/>
        </w:rPr>
        <w:t>,</w:t>
      </w:r>
      <w:r w:rsidRPr="00A75170">
        <w:rPr>
          <w:rFonts w:cs="Times New Roman"/>
          <w:color w:val="000000"/>
          <w:szCs w:val="24"/>
          <w:lang w:eastAsia="lv-LV"/>
        </w:rPr>
        <w:t xml:space="preserve"> bez mantas konfiskācijas, atņem</w:t>
      </w:r>
      <w:r w:rsidR="00704F30" w:rsidRPr="00A75170">
        <w:rPr>
          <w:rFonts w:cs="Times New Roman"/>
          <w:color w:val="000000"/>
          <w:szCs w:val="24"/>
          <w:lang w:eastAsia="lv-LV"/>
        </w:rPr>
        <w:t>o</w:t>
      </w:r>
      <w:r w:rsidRPr="00A75170">
        <w:rPr>
          <w:rFonts w:cs="Times New Roman"/>
          <w:color w:val="000000"/>
          <w:szCs w:val="24"/>
          <w:lang w:eastAsia="lv-LV"/>
        </w:rPr>
        <w:t>t tiesības uz noteiktu nodarbošanos – dibināt un būt par zemnieku saimniecības īpašnieku</w:t>
      </w:r>
      <w:r w:rsidR="00FF1327" w:rsidRPr="00A75170">
        <w:rPr>
          <w:rFonts w:cs="Times New Roman"/>
          <w:color w:val="000000"/>
          <w:szCs w:val="24"/>
          <w:lang w:eastAsia="lv-LV"/>
        </w:rPr>
        <w:t xml:space="preserve"> – </w:t>
      </w:r>
      <w:r w:rsidRPr="00A75170">
        <w:rPr>
          <w:rFonts w:cs="Times New Roman"/>
          <w:color w:val="000000"/>
          <w:szCs w:val="24"/>
          <w:lang w:eastAsia="lv-LV"/>
        </w:rPr>
        <w:t>uz</w:t>
      </w:r>
      <w:r w:rsidR="00704F30" w:rsidRPr="00A75170">
        <w:rPr>
          <w:rFonts w:cs="Times New Roman"/>
          <w:color w:val="000000"/>
          <w:szCs w:val="24"/>
          <w:lang w:eastAsia="lv-LV"/>
        </w:rPr>
        <w:t xml:space="preserve"> 2 </w:t>
      </w:r>
      <w:r w:rsidRPr="00A75170">
        <w:rPr>
          <w:rFonts w:cs="Times New Roman"/>
          <w:color w:val="000000"/>
          <w:szCs w:val="24"/>
          <w:lang w:eastAsia="lv-LV"/>
        </w:rPr>
        <w:t>gadiem</w:t>
      </w:r>
      <w:r w:rsidR="00FF1327" w:rsidRPr="00A75170">
        <w:rPr>
          <w:rFonts w:cs="Times New Roman"/>
          <w:color w:val="000000"/>
          <w:szCs w:val="24"/>
          <w:lang w:eastAsia="lv-LV"/>
        </w:rPr>
        <w:t xml:space="preserve">, un </w:t>
      </w:r>
      <w:r w:rsidRPr="00A75170">
        <w:rPr>
          <w:rFonts w:cs="Times New Roman"/>
          <w:color w:val="000000"/>
          <w:szCs w:val="24"/>
          <w:lang w:eastAsia="lv-LV"/>
        </w:rPr>
        <w:t xml:space="preserve">otru </w:t>
      </w:r>
      <w:r w:rsidR="00FF1327" w:rsidRPr="00A75170">
        <w:rPr>
          <w:rFonts w:cs="Times New Roman"/>
          <w:color w:val="000000"/>
          <w:szCs w:val="24"/>
          <w:lang w:eastAsia="lv-LV"/>
        </w:rPr>
        <w:t>apsūdzēto atzīt par vainīgu</w:t>
      </w:r>
      <w:r w:rsidRPr="00A75170">
        <w:rPr>
          <w:rFonts w:cs="Times New Roman"/>
          <w:color w:val="000000"/>
          <w:szCs w:val="24"/>
          <w:lang w:eastAsia="lv-LV"/>
        </w:rPr>
        <w:t xml:space="preserve"> pēc Krimināllikuma 275. panta otrās </w:t>
      </w:r>
      <w:r w:rsidR="00F53862" w:rsidRPr="00A75170">
        <w:rPr>
          <w:rFonts w:cs="Times New Roman"/>
          <w:color w:val="000000"/>
          <w:szCs w:val="24"/>
          <w:lang w:eastAsia="lv-LV"/>
        </w:rPr>
        <w:t xml:space="preserve">daļas </w:t>
      </w:r>
      <w:r w:rsidR="00FF1327" w:rsidRPr="00A75170">
        <w:rPr>
          <w:rFonts w:cs="Times New Roman"/>
          <w:color w:val="000000"/>
          <w:szCs w:val="24"/>
          <w:lang w:eastAsia="lv-LV"/>
        </w:rPr>
        <w:t xml:space="preserve">un </w:t>
      </w:r>
      <w:r w:rsidRPr="00A75170">
        <w:rPr>
          <w:rFonts w:cs="Times New Roman"/>
          <w:color w:val="000000"/>
          <w:szCs w:val="24"/>
          <w:lang w:eastAsia="lv-LV"/>
        </w:rPr>
        <w:t>par katr</w:t>
      </w:r>
      <w:r w:rsidR="00902F38" w:rsidRPr="00A75170">
        <w:rPr>
          <w:rFonts w:cs="Times New Roman"/>
          <w:color w:val="000000"/>
          <w:szCs w:val="24"/>
          <w:lang w:eastAsia="lv-LV"/>
        </w:rPr>
        <w:t>a</w:t>
      </w:r>
      <w:r w:rsidRPr="00A75170">
        <w:rPr>
          <w:rFonts w:cs="Times New Roman"/>
          <w:color w:val="000000"/>
          <w:szCs w:val="24"/>
          <w:lang w:eastAsia="lv-LV"/>
        </w:rPr>
        <w:t xml:space="preserve"> atsevišķ</w:t>
      </w:r>
      <w:r w:rsidR="00902F38" w:rsidRPr="00A75170">
        <w:rPr>
          <w:rFonts w:cs="Times New Roman"/>
          <w:color w:val="000000"/>
          <w:szCs w:val="24"/>
          <w:lang w:eastAsia="lv-LV"/>
        </w:rPr>
        <w:t>a</w:t>
      </w:r>
      <w:r w:rsidRPr="00A75170">
        <w:rPr>
          <w:rFonts w:cs="Times New Roman"/>
          <w:color w:val="000000"/>
          <w:szCs w:val="24"/>
          <w:lang w:eastAsia="lv-LV"/>
        </w:rPr>
        <w:t xml:space="preserve"> noziedzīg</w:t>
      </w:r>
      <w:r w:rsidR="00902F38" w:rsidRPr="00A75170">
        <w:rPr>
          <w:rFonts w:cs="Times New Roman"/>
          <w:color w:val="000000"/>
          <w:szCs w:val="24"/>
          <w:lang w:eastAsia="lv-LV"/>
        </w:rPr>
        <w:t>a</w:t>
      </w:r>
      <w:r w:rsidRPr="00A75170">
        <w:rPr>
          <w:rFonts w:cs="Times New Roman"/>
          <w:color w:val="000000"/>
          <w:szCs w:val="24"/>
          <w:lang w:eastAsia="lv-LV"/>
        </w:rPr>
        <w:t xml:space="preserve"> nodarījum</w:t>
      </w:r>
      <w:r w:rsidR="00902F38" w:rsidRPr="00A75170">
        <w:rPr>
          <w:rFonts w:cs="Times New Roman"/>
          <w:color w:val="000000"/>
          <w:szCs w:val="24"/>
          <w:lang w:eastAsia="lv-LV"/>
        </w:rPr>
        <w:t xml:space="preserve">a izdarīšanu </w:t>
      </w:r>
      <w:r w:rsidR="002C260B" w:rsidRPr="00A75170">
        <w:rPr>
          <w:rFonts w:cs="Times New Roman"/>
          <w:color w:val="000000"/>
          <w:szCs w:val="24"/>
          <w:lang w:eastAsia="lv-LV"/>
        </w:rPr>
        <w:t xml:space="preserve">sodīt </w:t>
      </w:r>
      <w:r w:rsidR="00902F38" w:rsidRPr="00A75170">
        <w:rPr>
          <w:rFonts w:cs="Times New Roman"/>
          <w:color w:val="000000"/>
          <w:szCs w:val="24"/>
          <w:lang w:eastAsia="lv-LV"/>
        </w:rPr>
        <w:t>ar piespiedu darbu uz 60 stundām</w:t>
      </w:r>
      <w:r w:rsidRPr="00A75170">
        <w:rPr>
          <w:rFonts w:cs="Times New Roman"/>
          <w:color w:val="000000"/>
          <w:szCs w:val="24"/>
          <w:lang w:eastAsia="lv-LV"/>
        </w:rPr>
        <w:t>, saskaņā ar Krimināllikuma 50.</w:t>
      </w:r>
      <w:r w:rsidR="00BE4040" w:rsidRPr="00A75170">
        <w:rPr>
          <w:rFonts w:cs="Times New Roman"/>
          <w:color w:val="000000"/>
          <w:szCs w:val="24"/>
          <w:lang w:eastAsia="lv-LV"/>
        </w:rPr>
        <w:t> </w:t>
      </w:r>
      <w:r w:rsidRPr="00A75170">
        <w:rPr>
          <w:rFonts w:cs="Times New Roman"/>
          <w:color w:val="000000"/>
          <w:szCs w:val="24"/>
          <w:lang w:eastAsia="lv-LV"/>
        </w:rPr>
        <w:t xml:space="preserve">panta pirmo un otro daļu galīgo sodu nosakot piespiedu darbu </w:t>
      </w:r>
      <w:r w:rsidR="00BE4040" w:rsidRPr="00A75170">
        <w:rPr>
          <w:rFonts w:cs="Times New Roman"/>
          <w:color w:val="000000"/>
          <w:szCs w:val="24"/>
          <w:lang w:eastAsia="lv-LV"/>
        </w:rPr>
        <w:t xml:space="preserve">uz </w:t>
      </w:r>
      <w:r w:rsidRPr="00A75170">
        <w:rPr>
          <w:rFonts w:cs="Times New Roman"/>
          <w:color w:val="000000"/>
          <w:szCs w:val="24"/>
          <w:lang w:eastAsia="lv-LV"/>
        </w:rPr>
        <w:t>240 stund</w:t>
      </w:r>
      <w:r w:rsidR="00BE4040" w:rsidRPr="00A75170">
        <w:rPr>
          <w:rFonts w:cs="Times New Roman"/>
          <w:color w:val="000000"/>
          <w:szCs w:val="24"/>
          <w:lang w:eastAsia="lv-LV"/>
        </w:rPr>
        <w:t>ām</w:t>
      </w:r>
      <w:r w:rsidRPr="00A75170">
        <w:rPr>
          <w:rFonts w:cs="Times New Roman"/>
          <w:color w:val="000000"/>
          <w:szCs w:val="24"/>
          <w:lang w:eastAsia="lv-LV"/>
        </w:rPr>
        <w:t>;</w:t>
      </w:r>
    </w:p>
    <w:p w14:paraId="4C2DDF15" w14:textId="743139AB"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13.02.2020.</w:t>
      </w:r>
      <w:r w:rsidR="00640318" w:rsidRPr="00A75170">
        <w:rPr>
          <w:rFonts w:cs="Times New Roman"/>
          <w:color w:val="000000"/>
          <w:szCs w:val="24"/>
          <w:lang w:eastAsia="lv-LV"/>
        </w:rPr>
        <w:t> </w:t>
      </w:r>
      <w:r w:rsidRPr="00A75170">
        <w:rPr>
          <w:rFonts w:cs="Times New Roman"/>
          <w:color w:val="000000"/>
          <w:szCs w:val="24"/>
          <w:lang w:eastAsia="lv-LV"/>
        </w:rPr>
        <w:t>Zemgales rajona ties</w:t>
      </w:r>
      <w:r w:rsidR="00640318" w:rsidRPr="00A75170">
        <w:rPr>
          <w:rFonts w:cs="Times New Roman"/>
          <w:color w:val="000000"/>
          <w:szCs w:val="24"/>
          <w:lang w:eastAsia="lv-LV"/>
        </w:rPr>
        <w:t>a</w:t>
      </w:r>
      <w:r w:rsidRPr="00A75170">
        <w:rPr>
          <w:rFonts w:cs="Times New Roman"/>
          <w:color w:val="000000"/>
          <w:szCs w:val="24"/>
          <w:lang w:eastAsia="lv-LV"/>
        </w:rPr>
        <w:t xml:space="preserve"> (Bauskā) nosprieda vienu apsūdzēto </w:t>
      </w:r>
      <w:r w:rsidR="00F53862" w:rsidRPr="00A75170">
        <w:rPr>
          <w:rFonts w:cs="Times New Roman"/>
          <w:color w:val="000000"/>
          <w:szCs w:val="24"/>
          <w:lang w:eastAsia="lv-LV"/>
        </w:rPr>
        <w:t xml:space="preserve">atzīt par vainīgu </w:t>
      </w:r>
      <w:r w:rsidRPr="00A75170">
        <w:rPr>
          <w:rFonts w:cs="Times New Roman"/>
          <w:color w:val="000000"/>
          <w:szCs w:val="24"/>
          <w:lang w:eastAsia="lv-LV"/>
        </w:rPr>
        <w:t>pēc K</w:t>
      </w:r>
      <w:r w:rsidR="00640318" w:rsidRPr="00A75170">
        <w:rPr>
          <w:rFonts w:cs="Times New Roman"/>
          <w:color w:val="000000"/>
          <w:szCs w:val="24"/>
          <w:lang w:eastAsia="lv-LV"/>
        </w:rPr>
        <w:t xml:space="preserve">rimināllikuma </w:t>
      </w:r>
      <w:r w:rsidRPr="00A75170">
        <w:rPr>
          <w:rFonts w:cs="Times New Roman"/>
          <w:color w:val="000000"/>
          <w:szCs w:val="24"/>
          <w:lang w:eastAsia="lv-LV"/>
        </w:rPr>
        <w:t>218.</w:t>
      </w:r>
      <w:r w:rsidR="00640318" w:rsidRPr="00A75170">
        <w:rPr>
          <w:rFonts w:cs="Times New Roman"/>
          <w:color w:val="000000"/>
          <w:szCs w:val="24"/>
          <w:lang w:eastAsia="lv-LV"/>
        </w:rPr>
        <w:t> </w:t>
      </w:r>
      <w:r w:rsidRPr="00A75170">
        <w:rPr>
          <w:rFonts w:cs="Times New Roman"/>
          <w:color w:val="000000"/>
          <w:szCs w:val="24"/>
          <w:lang w:eastAsia="lv-LV"/>
        </w:rPr>
        <w:t xml:space="preserve">panta otrās daļas </w:t>
      </w:r>
      <w:r w:rsidR="002C260B" w:rsidRPr="00A75170">
        <w:rPr>
          <w:rFonts w:cs="Times New Roman"/>
          <w:color w:val="000000"/>
          <w:szCs w:val="24"/>
          <w:lang w:eastAsia="lv-LV"/>
        </w:rPr>
        <w:t xml:space="preserve">un sodīt </w:t>
      </w:r>
      <w:r w:rsidRPr="00A75170">
        <w:rPr>
          <w:rFonts w:cs="Times New Roman"/>
          <w:color w:val="000000"/>
          <w:szCs w:val="24"/>
          <w:lang w:eastAsia="lv-LV"/>
        </w:rPr>
        <w:t xml:space="preserve">ar brīvības atņemšanu uz </w:t>
      </w:r>
      <w:r w:rsidR="00F53862" w:rsidRPr="00A75170">
        <w:rPr>
          <w:rFonts w:cs="Times New Roman"/>
          <w:color w:val="000000"/>
          <w:szCs w:val="24"/>
          <w:lang w:eastAsia="lv-LV"/>
        </w:rPr>
        <w:t>2 </w:t>
      </w:r>
      <w:r w:rsidRPr="00A75170">
        <w:rPr>
          <w:rFonts w:cs="Times New Roman"/>
          <w:color w:val="000000"/>
          <w:szCs w:val="24"/>
          <w:lang w:eastAsia="lv-LV"/>
        </w:rPr>
        <w:t>gadiem, bez mantas konfiskācijas, neatņemot tiesības veikt uzņēmējdarbību. Saskaņā ar Krimināllikuma 55.</w:t>
      </w:r>
      <w:r w:rsidR="00F53862" w:rsidRPr="00A75170">
        <w:rPr>
          <w:rFonts w:cs="Times New Roman"/>
          <w:color w:val="000000"/>
          <w:szCs w:val="24"/>
          <w:lang w:eastAsia="lv-LV"/>
        </w:rPr>
        <w:t> </w:t>
      </w:r>
      <w:r w:rsidRPr="00A75170">
        <w:rPr>
          <w:rFonts w:cs="Times New Roman"/>
          <w:color w:val="000000"/>
          <w:szCs w:val="24"/>
          <w:lang w:eastAsia="lv-LV"/>
        </w:rPr>
        <w:t xml:space="preserve">pantu brīvības atņemšanas sodu tiesa noteica nosacīti ar pārbaudes laiku uz </w:t>
      </w:r>
      <w:r w:rsidR="00F53862" w:rsidRPr="00A75170">
        <w:rPr>
          <w:rFonts w:cs="Times New Roman"/>
          <w:color w:val="000000"/>
          <w:szCs w:val="24"/>
          <w:lang w:eastAsia="lv-LV"/>
        </w:rPr>
        <w:t>3 </w:t>
      </w:r>
      <w:r w:rsidRPr="00A75170">
        <w:rPr>
          <w:rFonts w:cs="Times New Roman"/>
          <w:color w:val="000000"/>
          <w:szCs w:val="24"/>
          <w:lang w:eastAsia="lv-LV"/>
        </w:rPr>
        <w:t>gadiem. Pēc Krimināllikuma 275. panta otrās daļas abi apsūdzētie tika attaisnoti;</w:t>
      </w:r>
    </w:p>
    <w:p w14:paraId="16D40E76" w14:textId="59AB5E0C"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sakarā ar to, ka tiesas nolēmums būtiski atšķīrās no prokurora viedokļa, 15.05.2020.</w:t>
      </w:r>
      <w:r w:rsidR="00F53862" w:rsidRPr="00A75170">
        <w:rPr>
          <w:rFonts w:cs="Times New Roman"/>
          <w:color w:val="000000"/>
          <w:szCs w:val="24"/>
          <w:lang w:eastAsia="lv-LV"/>
        </w:rPr>
        <w:t> </w:t>
      </w:r>
      <w:r w:rsidRPr="00A75170">
        <w:rPr>
          <w:rFonts w:cs="Times New Roman"/>
          <w:color w:val="000000"/>
          <w:szCs w:val="24"/>
          <w:lang w:eastAsia="lv-LV"/>
        </w:rPr>
        <w:t>tika iesniegts apelācijas protests, lūdzot atzīt abus apsūdzētos par vainīgiem viņiem inkriminētajos noziedzīgajos nodarījumos un piespriest prokurora pirmās instances tiesā pieprasītos sodus;</w:t>
      </w:r>
    </w:p>
    <w:p w14:paraId="603B7292" w14:textId="3F575EB9"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apelācijas instance</w:t>
      </w:r>
      <w:r w:rsidR="00F53862" w:rsidRPr="00A75170">
        <w:rPr>
          <w:rFonts w:cs="Times New Roman"/>
          <w:color w:val="000000"/>
          <w:szCs w:val="24"/>
          <w:lang w:eastAsia="lv-LV"/>
        </w:rPr>
        <w:t>s tiesa</w:t>
      </w:r>
      <w:r w:rsidRPr="00A75170">
        <w:rPr>
          <w:rFonts w:cs="Times New Roman"/>
          <w:color w:val="000000"/>
          <w:szCs w:val="24"/>
          <w:lang w:eastAsia="lv-LV"/>
        </w:rPr>
        <w:t>:</w:t>
      </w:r>
    </w:p>
    <w:p w14:paraId="63A74399" w14:textId="6AEAD056"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26.10.2020.</w:t>
      </w:r>
      <w:r w:rsidR="00F53862" w:rsidRPr="00A75170">
        <w:rPr>
          <w:rFonts w:cs="Times New Roman"/>
          <w:color w:val="000000"/>
          <w:szCs w:val="24"/>
          <w:lang w:eastAsia="lv-LV"/>
        </w:rPr>
        <w:t> </w:t>
      </w:r>
      <w:r w:rsidRPr="00A75170">
        <w:rPr>
          <w:rFonts w:cs="Times New Roman"/>
          <w:color w:val="000000"/>
          <w:szCs w:val="24"/>
          <w:lang w:eastAsia="lv-LV"/>
        </w:rPr>
        <w:t>Zemgales apgabaltiesa nolēma 13.02.2020.</w:t>
      </w:r>
      <w:r w:rsidR="00F53862" w:rsidRPr="00A75170">
        <w:rPr>
          <w:rFonts w:cs="Times New Roman"/>
          <w:color w:val="000000"/>
          <w:szCs w:val="24"/>
          <w:lang w:eastAsia="lv-LV"/>
        </w:rPr>
        <w:t> </w:t>
      </w:r>
      <w:r w:rsidRPr="00A75170">
        <w:rPr>
          <w:rFonts w:cs="Times New Roman"/>
          <w:color w:val="000000"/>
          <w:szCs w:val="24"/>
          <w:lang w:eastAsia="lv-LV"/>
        </w:rPr>
        <w:t>Zemgales rajona tiesas spriedumu atstāt negrozītu;</w:t>
      </w:r>
    </w:p>
    <w:p w14:paraId="22D92863" w14:textId="6E0D2868"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06.11.2020.</w:t>
      </w:r>
      <w:r w:rsidR="009B52FF" w:rsidRPr="00A75170">
        <w:rPr>
          <w:rFonts w:cs="Times New Roman"/>
          <w:color w:val="000000"/>
          <w:szCs w:val="24"/>
          <w:lang w:eastAsia="lv-LV"/>
        </w:rPr>
        <w:t> </w:t>
      </w:r>
      <w:r w:rsidRPr="00A75170">
        <w:rPr>
          <w:rFonts w:cs="Times New Roman"/>
          <w:color w:val="000000"/>
          <w:szCs w:val="24"/>
          <w:lang w:eastAsia="lv-LV"/>
        </w:rPr>
        <w:t>Bauskas rajona prokuratūras prokurors iesniedz kasācijas protestu;</w:t>
      </w:r>
    </w:p>
    <w:p w14:paraId="16EC2F22" w14:textId="517BF121" w:rsidR="00E51A5A" w:rsidRPr="00F320C7" w:rsidRDefault="00E51A5A" w:rsidP="00E329FC">
      <w:pPr>
        <w:pStyle w:val="ListParagraph"/>
        <w:numPr>
          <w:ilvl w:val="1"/>
          <w:numId w:val="55"/>
        </w:numPr>
        <w:spacing w:line="240" w:lineRule="auto"/>
        <w:jc w:val="both"/>
        <w:rPr>
          <w:rFonts w:cs="Times New Roman"/>
          <w:color w:val="000000"/>
          <w:szCs w:val="24"/>
          <w:lang w:eastAsia="lv-LV"/>
        </w:rPr>
      </w:pPr>
      <w:r w:rsidRPr="00F320C7">
        <w:rPr>
          <w:rFonts w:cs="Times New Roman"/>
          <w:color w:val="000000"/>
          <w:szCs w:val="24"/>
          <w:lang w:eastAsia="lv-LV"/>
        </w:rPr>
        <w:t>22.12.2020.</w:t>
      </w:r>
      <w:r w:rsidR="009B52FF" w:rsidRPr="00F320C7">
        <w:rPr>
          <w:rFonts w:cs="Times New Roman"/>
          <w:color w:val="000000"/>
          <w:szCs w:val="24"/>
          <w:lang w:eastAsia="lv-LV"/>
        </w:rPr>
        <w:t> </w:t>
      </w:r>
      <w:r w:rsidRPr="00F320C7">
        <w:rPr>
          <w:rFonts w:cs="Times New Roman"/>
          <w:color w:val="000000"/>
          <w:szCs w:val="24"/>
          <w:lang w:eastAsia="lv-LV"/>
        </w:rPr>
        <w:t xml:space="preserve">Senāts </w:t>
      </w:r>
      <w:r w:rsidR="00F320C7">
        <w:rPr>
          <w:rFonts w:cs="Times New Roman"/>
          <w:color w:val="000000"/>
          <w:szCs w:val="24"/>
          <w:lang w:eastAsia="lv-LV"/>
        </w:rPr>
        <w:t xml:space="preserve">atteica </w:t>
      </w:r>
      <w:r w:rsidRPr="00F320C7">
        <w:rPr>
          <w:rFonts w:cs="Times New Roman"/>
          <w:color w:val="000000"/>
          <w:szCs w:val="24"/>
          <w:lang w:eastAsia="lv-LV"/>
        </w:rPr>
        <w:t>ierosināt kasācijas tiesvedību;</w:t>
      </w:r>
    </w:p>
    <w:p w14:paraId="7DD8DED3" w14:textId="77777777" w:rsidR="00E51A5A" w:rsidRPr="00A75170" w:rsidRDefault="00E51A5A" w:rsidP="00A75170">
      <w:pPr>
        <w:pStyle w:val="ListParagraph"/>
        <w:spacing w:line="240" w:lineRule="auto"/>
        <w:ind w:left="0"/>
        <w:jc w:val="both"/>
        <w:rPr>
          <w:rFonts w:cs="Times New Roman"/>
          <w:color w:val="000000"/>
          <w:szCs w:val="24"/>
          <w:lang w:eastAsia="lv-LV"/>
        </w:rPr>
      </w:pPr>
    </w:p>
    <w:p w14:paraId="03E93CB1" w14:textId="3C64930F"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9B52FF" w:rsidRPr="00A75170">
        <w:rPr>
          <w:rFonts w:cs="Times New Roman"/>
          <w:color w:val="000000"/>
          <w:szCs w:val="24"/>
          <w:lang w:eastAsia="lv-LV"/>
        </w:rPr>
        <w:t> </w:t>
      </w:r>
      <w:r w:rsidRPr="00A75170">
        <w:rPr>
          <w:rFonts w:cs="Times New Roman"/>
          <w:color w:val="000000"/>
          <w:szCs w:val="24"/>
          <w:lang w:eastAsia="lv-LV"/>
        </w:rPr>
        <w:t xml:space="preserve">15830012214 – vienas personas apsūdzībā pēc Krimināllikuma 218. panta otrās daļas, nodarot kaitējumu 14 112,86 </w:t>
      </w:r>
      <w:r w:rsidRPr="00A75170">
        <w:rPr>
          <w:rFonts w:cs="Times New Roman"/>
          <w:i/>
          <w:iCs/>
          <w:color w:val="000000"/>
          <w:szCs w:val="24"/>
          <w:lang w:eastAsia="lv-LV"/>
        </w:rPr>
        <w:t>euro</w:t>
      </w:r>
      <w:r w:rsidR="009B52FF" w:rsidRPr="00A75170">
        <w:rPr>
          <w:rFonts w:cs="Times New Roman"/>
          <w:color w:val="000000"/>
          <w:szCs w:val="24"/>
          <w:lang w:eastAsia="lv-LV"/>
        </w:rPr>
        <w:t xml:space="preserve"> un </w:t>
      </w:r>
      <w:r w:rsidRPr="00A75170">
        <w:rPr>
          <w:rFonts w:cs="Times New Roman"/>
          <w:color w:val="000000"/>
          <w:szCs w:val="24"/>
          <w:lang w:eastAsia="lv-LV"/>
        </w:rPr>
        <w:t>to neatlīdzinot:</w:t>
      </w:r>
    </w:p>
    <w:p w14:paraId="25CA057B" w14:textId="3A21835E"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9B52FF" w:rsidRPr="00A75170">
        <w:rPr>
          <w:rFonts w:cs="Times New Roman"/>
          <w:color w:val="000000"/>
          <w:szCs w:val="24"/>
          <w:lang w:eastAsia="lv-LV"/>
        </w:rPr>
        <w:t>s</w:t>
      </w:r>
      <w:r w:rsidRPr="00A75170">
        <w:rPr>
          <w:rFonts w:cs="Times New Roman"/>
          <w:color w:val="000000"/>
          <w:szCs w:val="24"/>
          <w:lang w:eastAsia="lv-LV"/>
        </w:rPr>
        <w:t xml:space="preserve"> instance</w:t>
      </w:r>
      <w:r w:rsidR="009B52FF" w:rsidRPr="00A75170">
        <w:rPr>
          <w:rFonts w:cs="Times New Roman"/>
          <w:color w:val="000000"/>
          <w:szCs w:val="24"/>
          <w:lang w:eastAsia="lv-LV"/>
        </w:rPr>
        <w:t>s tiesa</w:t>
      </w:r>
      <w:r w:rsidRPr="00A75170">
        <w:rPr>
          <w:rFonts w:cs="Times New Roman"/>
          <w:color w:val="000000"/>
          <w:szCs w:val="24"/>
          <w:lang w:eastAsia="lv-LV"/>
        </w:rPr>
        <w:t>:</w:t>
      </w:r>
    </w:p>
    <w:p w14:paraId="5240F57B" w14:textId="6BBE56DD"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lūdza </w:t>
      </w:r>
      <w:r w:rsidR="008275D3" w:rsidRPr="00A75170">
        <w:rPr>
          <w:rFonts w:cs="Times New Roman"/>
          <w:color w:val="000000"/>
          <w:szCs w:val="24"/>
          <w:lang w:eastAsia="lv-LV"/>
        </w:rPr>
        <w:t xml:space="preserve">tiesu </w:t>
      </w:r>
      <w:r w:rsidR="00333CD6" w:rsidRPr="00A75170">
        <w:rPr>
          <w:rFonts w:cs="Times New Roman"/>
          <w:color w:val="000000"/>
          <w:szCs w:val="24"/>
          <w:lang w:eastAsia="lv-LV"/>
        </w:rPr>
        <w:t xml:space="preserve">apsūdzēto </w:t>
      </w:r>
      <w:r w:rsidR="00CE7721" w:rsidRPr="00A75170">
        <w:rPr>
          <w:rFonts w:cs="Times New Roman"/>
          <w:color w:val="000000"/>
          <w:szCs w:val="24"/>
          <w:lang w:eastAsia="lv-LV"/>
        </w:rPr>
        <w:t xml:space="preserve">atzīt </w:t>
      </w:r>
      <w:r w:rsidR="008275D3" w:rsidRPr="00A75170">
        <w:rPr>
          <w:rFonts w:cs="Times New Roman"/>
          <w:color w:val="000000"/>
          <w:szCs w:val="24"/>
          <w:lang w:eastAsia="lv-LV"/>
        </w:rPr>
        <w:t xml:space="preserve">par vainīgu pēc Krimināllikuma 218. panta otrās daļas un </w:t>
      </w:r>
      <w:r w:rsidRPr="00A75170">
        <w:rPr>
          <w:rFonts w:cs="Times New Roman"/>
          <w:color w:val="000000"/>
          <w:szCs w:val="24"/>
          <w:lang w:eastAsia="lv-LV"/>
        </w:rPr>
        <w:t>sodīt ar brīvības atņemšana uz 4 mēnešiem, bez mantas konfiskācijas, atņemot tiesības veikt uzņēmējdarbību uz 2 gadiem;</w:t>
      </w:r>
    </w:p>
    <w:p w14:paraId="2116598F" w14:textId="39078FF4"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13.01.2020.</w:t>
      </w:r>
      <w:r w:rsidR="009B52FF" w:rsidRPr="00A75170">
        <w:rPr>
          <w:rFonts w:cs="Times New Roman"/>
          <w:color w:val="000000"/>
          <w:szCs w:val="24"/>
          <w:lang w:eastAsia="lv-LV"/>
        </w:rPr>
        <w:t> </w:t>
      </w:r>
      <w:r w:rsidRPr="00A75170">
        <w:rPr>
          <w:rFonts w:cs="Times New Roman"/>
          <w:color w:val="000000"/>
          <w:szCs w:val="24"/>
          <w:lang w:eastAsia="lv-LV"/>
        </w:rPr>
        <w:t>Rīgas pilsētas Vidzemes priekšpilsētas tiesa</w:t>
      </w:r>
      <w:r w:rsidR="008275D3" w:rsidRPr="00A75170">
        <w:rPr>
          <w:rFonts w:cs="Times New Roman"/>
          <w:color w:val="000000"/>
          <w:szCs w:val="24"/>
          <w:lang w:eastAsia="lv-LV"/>
        </w:rPr>
        <w:t xml:space="preserve"> nosprieda apsūdzēto atzīt par vainīgu pēc Krimināllikuma 218. panta otrās daļas un </w:t>
      </w:r>
      <w:r w:rsidRPr="00A75170">
        <w:rPr>
          <w:rFonts w:cs="Times New Roman"/>
          <w:color w:val="000000"/>
          <w:szCs w:val="24"/>
          <w:lang w:eastAsia="lv-LV"/>
        </w:rPr>
        <w:t xml:space="preserve">sodīt ar brīvības atņemšanu uz </w:t>
      </w:r>
      <w:r w:rsidR="009B52FF" w:rsidRPr="00A75170">
        <w:rPr>
          <w:rFonts w:cs="Times New Roman"/>
          <w:color w:val="000000"/>
          <w:szCs w:val="24"/>
          <w:lang w:eastAsia="lv-LV"/>
        </w:rPr>
        <w:t>1 </w:t>
      </w:r>
      <w:r w:rsidRPr="00A75170">
        <w:rPr>
          <w:rFonts w:cs="Times New Roman"/>
          <w:color w:val="000000"/>
          <w:szCs w:val="24"/>
          <w:lang w:eastAsia="lv-LV"/>
        </w:rPr>
        <w:t xml:space="preserve">gadu, bez mantas konfiskācijas, atņemot tiesības veikt uzņēmējdarbību uz </w:t>
      </w:r>
      <w:r w:rsidR="009B52FF" w:rsidRPr="00A75170">
        <w:rPr>
          <w:rFonts w:cs="Times New Roman"/>
          <w:color w:val="000000"/>
          <w:szCs w:val="24"/>
          <w:lang w:eastAsia="lv-LV"/>
        </w:rPr>
        <w:t>1 </w:t>
      </w:r>
      <w:r w:rsidRPr="00A75170">
        <w:rPr>
          <w:rFonts w:cs="Times New Roman"/>
          <w:color w:val="000000"/>
          <w:szCs w:val="24"/>
          <w:lang w:eastAsia="lv-LV"/>
        </w:rPr>
        <w:t xml:space="preserve">gadu. Saskaņā ar Krimināllikuma 55. pantu brīvības atņemšanas sods noteikts nosacīti ar pārbaudes laiku uz </w:t>
      </w:r>
      <w:r w:rsidR="009B52FF" w:rsidRPr="00A75170">
        <w:rPr>
          <w:rFonts w:cs="Times New Roman"/>
          <w:color w:val="000000"/>
          <w:szCs w:val="24"/>
          <w:lang w:eastAsia="lv-LV"/>
        </w:rPr>
        <w:t>2 </w:t>
      </w:r>
      <w:r w:rsidRPr="00A75170">
        <w:rPr>
          <w:rFonts w:cs="Times New Roman"/>
          <w:color w:val="000000"/>
          <w:szCs w:val="24"/>
          <w:lang w:eastAsia="lv-LV"/>
        </w:rPr>
        <w:t>gadiem;</w:t>
      </w:r>
    </w:p>
    <w:p w14:paraId="71768FAC" w14:textId="4035567B"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lastRenderedPageBreak/>
        <w:t>10.06.2020.</w:t>
      </w:r>
      <w:r w:rsidR="009B52FF" w:rsidRPr="00A75170">
        <w:rPr>
          <w:rFonts w:cs="Times New Roman"/>
          <w:color w:val="000000"/>
          <w:szCs w:val="24"/>
          <w:lang w:eastAsia="lv-LV"/>
        </w:rPr>
        <w:t> </w:t>
      </w:r>
      <w:r w:rsidRPr="00A75170">
        <w:rPr>
          <w:rFonts w:cs="Times New Roman"/>
          <w:color w:val="000000"/>
          <w:szCs w:val="24"/>
          <w:lang w:eastAsia="lv-LV"/>
        </w:rPr>
        <w:t>prokurors iesniedza apelācijas protestu</w:t>
      </w:r>
      <w:r w:rsidR="00F12237" w:rsidRPr="00A75170">
        <w:rPr>
          <w:rFonts w:cs="Times New Roman"/>
          <w:color w:val="000000"/>
          <w:szCs w:val="24"/>
          <w:lang w:eastAsia="lv-LV"/>
        </w:rPr>
        <w:t xml:space="preserve"> daļā par sodu</w:t>
      </w:r>
      <w:r w:rsidRPr="00A75170">
        <w:rPr>
          <w:rFonts w:cs="Times New Roman"/>
          <w:color w:val="000000"/>
          <w:szCs w:val="24"/>
          <w:lang w:eastAsia="lv-LV"/>
        </w:rPr>
        <w:t xml:space="preserve">, lūdzot </w:t>
      </w:r>
      <w:r w:rsidR="00F12237" w:rsidRPr="00A75170">
        <w:rPr>
          <w:rFonts w:cs="Times New Roman"/>
          <w:color w:val="000000"/>
          <w:szCs w:val="24"/>
          <w:lang w:eastAsia="lv-LV"/>
        </w:rPr>
        <w:t xml:space="preserve">piespriest </w:t>
      </w:r>
      <w:r w:rsidRPr="00A75170">
        <w:rPr>
          <w:rFonts w:cs="Times New Roman"/>
          <w:bCs/>
          <w:color w:val="000000"/>
          <w:szCs w:val="24"/>
          <w:lang w:eastAsia="lv-LV"/>
        </w:rPr>
        <w:t xml:space="preserve">brīvības atņemšanas sodu uz </w:t>
      </w:r>
      <w:r w:rsidR="009B52FF" w:rsidRPr="00A75170">
        <w:rPr>
          <w:rFonts w:cs="Times New Roman"/>
          <w:bCs/>
          <w:color w:val="000000"/>
          <w:szCs w:val="24"/>
          <w:lang w:eastAsia="lv-LV"/>
        </w:rPr>
        <w:t>4 </w:t>
      </w:r>
      <w:r w:rsidRPr="00A75170">
        <w:rPr>
          <w:rFonts w:cs="Times New Roman"/>
          <w:bCs/>
          <w:color w:val="000000"/>
          <w:szCs w:val="24"/>
          <w:lang w:eastAsia="lv-LV"/>
        </w:rPr>
        <w:t xml:space="preserve">mēnešiem, bez mantas konfiskācijas, atņemot tiesības veikt uzņēmējdarbību uz </w:t>
      </w:r>
      <w:r w:rsidR="009B52FF" w:rsidRPr="00A75170">
        <w:rPr>
          <w:rFonts w:cs="Times New Roman"/>
          <w:bCs/>
          <w:color w:val="000000"/>
          <w:szCs w:val="24"/>
          <w:lang w:eastAsia="lv-LV"/>
        </w:rPr>
        <w:t>1 </w:t>
      </w:r>
      <w:r w:rsidRPr="00A75170">
        <w:rPr>
          <w:rFonts w:cs="Times New Roman"/>
          <w:bCs/>
          <w:color w:val="000000"/>
          <w:szCs w:val="24"/>
          <w:lang w:eastAsia="lv-LV"/>
        </w:rPr>
        <w:t>gadu;</w:t>
      </w:r>
    </w:p>
    <w:p w14:paraId="387998D1" w14:textId="34755ECC" w:rsidR="00C63961" w:rsidRPr="00C63961"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bCs/>
          <w:color w:val="000000"/>
          <w:szCs w:val="24"/>
          <w:lang w:eastAsia="lv-LV"/>
        </w:rPr>
        <w:t>apelācijas instance</w:t>
      </w:r>
      <w:r w:rsidR="009B52FF" w:rsidRPr="00A75170">
        <w:rPr>
          <w:rFonts w:cs="Times New Roman"/>
          <w:bCs/>
          <w:color w:val="000000"/>
          <w:szCs w:val="24"/>
          <w:lang w:eastAsia="lv-LV"/>
        </w:rPr>
        <w:t>s tiesa</w:t>
      </w:r>
      <w:r w:rsidRPr="00A75170">
        <w:rPr>
          <w:rFonts w:cs="Times New Roman"/>
          <w:bCs/>
          <w:color w:val="000000"/>
          <w:szCs w:val="24"/>
          <w:lang w:eastAsia="lv-LV"/>
        </w:rPr>
        <w:t>:</w:t>
      </w:r>
      <w:r w:rsidR="00F638AC">
        <w:rPr>
          <w:rFonts w:cs="Times New Roman"/>
          <w:bCs/>
          <w:color w:val="000000"/>
          <w:szCs w:val="24"/>
          <w:lang w:eastAsia="lv-LV"/>
        </w:rPr>
        <w:t xml:space="preserve"> </w:t>
      </w:r>
      <w:r w:rsidR="009B52FF" w:rsidRPr="00F638AC">
        <w:rPr>
          <w:rFonts w:cs="Times New Roman"/>
          <w:color w:val="000000"/>
          <w:szCs w:val="24"/>
          <w:lang w:eastAsia="lv-LV"/>
        </w:rPr>
        <w:t>krimināl</w:t>
      </w:r>
      <w:r w:rsidRPr="00F638AC">
        <w:rPr>
          <w:rFonts w:cs="Times New Roman"/>
          <w:color w:val="000000"/>
          <w:szCs w:val="24"/>
          <w:lang w:eastAsia="lv-LV"/>
        </w:rPr>
        <w:t>lieta nav izskatīta;</w:t>
      </w:r>
    </w:p>
    <w:p w14:paraId="0B038201" w14:textId="77777777" w:rsidR="00C63961" w:rsidRPr="00A75170" w:rsidRDefault="00C63961" w:rsidP="00A75170">
      <w:pPr>
        <w:pStyle w:val="ListParagraph"/>
        <w:spacing w:line="240" w:lineRule="auto"/>
        <w:ind w:left="0"/>
        <w:jc w:val="both"/>
        <w:rPr>
          <w:rFonts w:cs="Times New Roman"/>
          <w:color w:val="000000"/>
          <w:szCs w:val="24"/>
          <w:lang w:eastAsia="lv-LV"/>
        </w:rPr>
      </w:pPr>
    </w:p>
    <w:p w14:paraId="4FD5A5CC" w14:textId="7A0A60BD" w:rsidR="00E51A5A"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9B52FF" w:rsidRPr="00A75170">
        <w:rPr>
          <w:rFonts w:cs="Times New Roman"/>
          <w:color w:val="000000"/>
          <w:szCs w:val="24"/>
          <w:lang w:eastAsia="lv-LV"/>
        </w:rPr>
        <w:t> </w:t>
      </w:r>
      <w:r w:rsidRPr="00A75170">
        <w:rPr>
          <w:rFonts w:cs="Times New Roman"/>
          <w:color w:val="000000"/>
          <w:szCs w:val="24"/>
          <w:lang w:eastAsia="lv-LV"/>
        </w:rPr>
        <w:t xml:space="preserve">11824000717 – divu personu apsūdzībā pēc Krimināllikuma 221. panta trešās daļas, nodarot kaitējumu 20 035,39 </w:t>
      </w:r>
      <w:r w:rsidRPr="00A75170">
        <w:rPr>
          <w:rFonts w:cs="Times New Roman"/>
          <w:i/>
          <w:iCs/>
          <w:color w:val="000000"/>
          <w:szCs w:val="24"/>
          <w:lang w:eastAsia="lv-LV"/>
        </w:rPr>
        <w:t>euro</w:t>
      </w:r>
      <w:r w:rsidR="009B52FF" w:rsidRPr="00A75170">
        <w:rPr>
          <w:rFonts w:cs="Times New Roman"/>
          <w:color w:val="000000"/>
          <w:szCs w:val="24"/>
          <w:lang w:eastAsia="lv-LV"/>
        </w:rPr>
        <w:t xml:space="preserve"> un </w:t>
      </w:r>
      <w:r w:rsidRPr="00A75170">
        <w:rPr>
          <w:rFonts w:cs="Times New Roman"/>
          <w:color w:val="000000"/>
          <w:szCs w:val="24"/>
          <w:lang w:eastAsia="lv-LV"/>
        </w:rPr>
        <w:t xml:space="preserve">atlīdzinot 3200 </w:t>
      </w:r>
      <w:r w:rsidRPr="00A75170">
        <w:rPr>
          <w:rFonts w:cs="Times New Roman"/>
          <w:i/>
          <w:iCs/>
          <w:color w:val="000000"/>
          <w:szCs w:val="24"/>
          <w:lang w:eastAsia="lv-LV"/>
        </w:rPr>
        <w:t>euro</w:t>
      </w:r>
      <w:r w:rsidRPr="00A75170">
        <w:rPr>
          <w:rFonts w:cs="Times New Roman"/>
          <w:color w:val="000000"/>
          <w:szCs w:val="24"/>
          <w:lang w:eastAsia="lv-LV"/>
        </w:rPr>
        <w:t>:</w:t>
      </w:r>
    </w:p>
    <w:p w14:paraId="5246717A" w14:textId="209F07DA" w:rsidR="00E51A5A" w:rsidRDefault="00E51A5A" w:rsidP="00E329FC">
      <w:pPr>
        <w:pStyle w:val="ListParagraph"/>
        <w:numPr>
          <w:ilvl w:val="1"/>
          <w:numId w:val="55"/>
        </w:numPr>
        <w:spacing w:line="240" w:lineRule="auto"/>
        <w:jc w:val="both"/>
        <w:rPr>
          <w:rFonts w:cs="Times New Roman"/>
          <w:color w:val="000000"/>
          <w:szCs w:val="24"/>
          <w:lang w:eastAsia="lv-LV"/>
        </w:rPr>
      </w:pPr>
      <w:r w:rsidRPr="00C63961">
        <w:rPr>
          <w:rFonts w:cs="Times New Roman"/>
          <w:color w:val="000000"/>
          <w:szCs w:val="24"/>
          <w:lang w:eastAsia="lv-LV"/>
        </w:rPr>
        <w:t>pirmā</w:t>
      </w:r>
      <w:r w:rsidR="001C50D5" w:rsidRPr="00C63961">
        <w:rPr>
          <w:rFonts w:cs="Times New Roman"/>
          <w:color w:val="000000"/>
          <w:szCs w:val="24"/>
          <w:lang w:eastAsia="lv-LV"/>
        </w:rPr>
        <w:t>s</w:t>
      </w:r>
      <w:r w:rsidRPr="00C63961">
        <w:rPr>
          <w:rFonts w:cs="Times New Roman"/>
          <w:color w:val="000000"/>
          <w:szCs w:val="24"/>
          <w:lang w:eastAsia="lv-LV"/>
        </w:rPr>
        <w:t xml:space="preserve"> instance</w:t>
      </w:r>
      <w:r w:rsidR="001C50D5" w:rsidRPr="00C63961">
        <w:rPr>
          <w:rFonts w:cs="Times New Roman"/>
          <w:color w:val="000000"/>
          <w:szCs w:val="24"/>
          <w:lang w:eastAsia="lv-LV"/>
        </w:rPr>
        <w:t>s tiesa</w:t>
      </w:r>
      <w:r w:rsidRPr="00C63961">
        <w:rPr>
          <w:rFonts w:cs="Times New Roman"/>
          <w:color w:val="000000"/>
          <w:szCs w:val="24"/>
          <w:lang w:eastAsia="lv-LV"/>
        </w:rPr>
        <w:t>:</w:t>
      </w:r>
    </w:p>
    <w:p w14:paraId="737C4483" w14:textId="723FE2F7" w:rsidR="00E51A5A" w:rsidRDefault="00E51A5A" w:rsidP="00E329FC">
      <w:pPr>
        <w:pStyle w:val="ListParagraph"/>
        <w:numPr>
          <w:ilvl w:val="2"/>
          <w:numId w:val="55"/>
        </w:numPr>
        <w:spacing w:line="240" w:lineRule="auto"/>
        <w:jc w:val="both"/>
        <w:rPr>
          <w:rFonts w:cs="Times New Roman"/>
          <w:color w:val="000000"/>
          <w:szCs w:val="24"/>
          <w:lang w:eastAsia="lv-LV"/>
        </w:rPr>
      </w:pPr>
      <w:r w:rsidRPr="00C63961">
        <w:rPr>
          <w:rFonts w:cs="Times New Roman"/>
          <w:color w:val="000000"/>
          <w:szCs w:val="24"/>
          <w:lang w:eastAsia="lv-LV"/>
        </w:rPr>
        <w:t>ar Daugavpils tiesas 11.06.2020.</w:t>
      </w:r>
      <w:r w:rsidR="001C50D5" w:rsidRPr="00C63961">
        <w:rPr>
          <w:rFonts w:cs="Times New Roman"/>
          <w:color w:val="000000"/>
          <w:szCs w:val="24"/>
          <w:lang w:eastAsia="lv-LV"/>
        </w:rPr>
        <w:t> </w:t>
      </w:r>
      <w:r w:rsidRPr="00C63961">
        <w:rPr>
          <w:rFonts w:cs="Times New Roman"/>
          <w:color w:val="000000"/>
          <w:szCs w:val="24"/>
          <w:lang w:eastAsia="lv-LV"/>
        </w:rPr>
        <w:t>spriedumu vi</w:t>
      </w:r>
      <w:r w:rsidR="000F1329" w:rsidRPr="00C63961">
        <w:rPr>
          <w:rFonts w:cs="Times New Roman"/>
          <w:color w:val="000000"/>
          <w:szCs w:val="24"/>
          <w:lang w:eastAsia="lv-LV"/>
        </w:rPr>
        <w:t>ens apsūdzētais</w:t>
      </w:r>
      <w:r w:rsidRPr="00C63961">
        <w:rPr>
          <w:rFonts w:cs="Times New Roman"/>
          <w:color w:val="000000"/>
          <w:szCs w:val="24"/>
          <w:lang w:eastAsia="lv-LV"/>
        </w:rPr>
        <w:t xml:space="preserve"> atzīt</w:t>
      </w:r>
      <w:r w:rsidR="000F1329" w:rsidRPr="00C63961">
        <w:rPr>
          <w:rFonts w:cs="Times New Roman"/>
          <w:color w:val="000000"/>
          <w:szCs w:val="24"/>
          <w:lang w:eastAsia="lv-LV"/>
        </w:rPr>
        <w:t>s</w:t>
      </w:r>
      <w:r w:rsidRPr="00C63961">
        <w:rPr>
          <w:rFonts w:cs="Times New Roman"/>
          <w:color w:val="000000"/>
          <w:szCs w:val="24"/>
          <w:lang w:eastAsia="lv-LV"/>
        </w:rPr>
        <w:t xml:space="preserve"> par vainīgu </w:t>
      </w:r>
      <w:r w:rsidR="000F1329" w:rsidRPr="00C63961">
        <w:rPr>
          <w:rFonts w:cs="Times New Roman"/>
          <w:color w:val="000000"/>
          <w:szCs w:val="24"/>
          <w:lang w:eastAsia="lv-LV"/>
        </w:rPr>
        <w:t xml:space="preserve">pēc </w:t>
      </w:r>
      <w:r w:rsidRPr="00C63961">
        <w:rPr>
          <w:rFonts w:cs="Times New Roman"/>
          <w:color w:val="000000"/>
          <w:szCs w:val="24"/>
          <w:lang w:eastAsia="lv-LV"/>
        </w:rPr>
        <w:t>Krimināllikuma 221.</w:t>
      </w:r>
      <w:r w:rsidR="00C04E5A" w:rsidRPr="00C63961">
        <w:rPr>
          <w:rFonts w:cs="Times New Roman"/>
          <w:color w:val="000000"/>
          <w:szCs w:val="24"/>
          <w:lang w:eastAsia="lv-LV"/>
        </w:rPr>
        <w:t> </w:t>
      </w:r>
      <w:r w:rsidRPr="00C63961">
        <w:rPr>
          <w:rFonts w:cs="Times New Roman"/>
          <w:color w:val="000000"/>
          <w:szCs w:val="24"/>
          <w:lang w:eastAsia="lv-LV"/>
        </w:rPr>
        <w:t>panta trešā</w:t>
      </w:r>
      <w:r w:rsidR="000F1329" w:rsidRPr="00C63961">
        <w:rPr>
          <w:rFonts w:cs="Times New Roman"/>
          <w:color w:val="000000"/>
          <w:szCs w:val="24"/>
          <w:lang w:eastAsia="lv-LV"/>
        </w:rPr>
        <w:t>s</w:t>
      </w:r>
      <w:r w:rsidRPr="00C63961">
        <w:rPr>
          <w:rFonts w:cs="Times New Roman"/>
          <w:color w:val="000000"/>
          <w:szCs w:val="24"/>
          <w:lang w:eastAsia="lv-LV"/>
        </w:rPr>
        <w:t xml:space="preserve"> daļ</w:t>
      </w:r>
      <w:r w:rsidR="000F1329" w:rsidRPr="00C63961">
        <w:rPr>
          <w:rFonts w:cs="Times New Roman"/>
          <w:color w:val="000000"/>
          <w:szCs w:val="24"/>
          <w:lang w:eastAsia="lv-LV"/>
        </w:rPr>
        <w:t>as</w:t>
      </w:r>
      <w:r w:rsidRPr="00C63961">
        <w:rPr>
          <w:rFonts w:cs="Times New Roman"/>
          <w:color w:val="000000"/>
          <w:szCs w:val="24"/>
          <w:lang w:eastAsia="lv-LV"/>
        </w:rPr>
        <w:t>, apstiprinot noslēgto vienošanos par vainas atzīšanu un sodu</w:t>
      </w:r>
      <w:r w:rsidR="00977032" w:rsidRPr="00C63961">
        <w:rPr>
          <w:rFonts w:cs="Times New Roman"/>
          <w:color w:val="000000"/>
          <w:szCs w:val="24"/>
          <w:lang w:eastAsia="lv-LV"/>
        </w:rPr>
        <w:t>,</w:t>
      </w:r>
      <w:r w:rsidR="001C50D5" w:rsidRPr="00C63961">
        <w:rPr>
          <w:rFonts w:cs="Times New Roman"/>
          <w:color w:val="000000"/>
          <w:szCs w:val="24"/>
          <w:lang w:eastAsia="lv-LV"/>
        </w:rPr>
        <w:t xml:space="preserve"> un </w:t>
      </w:r>
      <w:r w:rsidRPr="00C63961">
        <w:rPr>
          <w:rFonts w:cs="Times New Roman"/>
          <w:color w:val="000000"/>
          <w:szCs w:val="24"/>
          <w:lang w:eastAsia="lv-LV"/>
        </w:rPr>
        <w:t>piespr</w:t>
      </w:r>
      <w:r w:rsidR="00977032" w:rsidRPr="00C63961">
        <w:rPr>
          <w:rFonts w:cs="Times New Roman"/>
          <w:color w:val="000000"/>
          <w:szCs w:val="24"/>
          <w:lang w:eastAsia="lv-LV"/>
        </w:rPr>
        <w:t xml:space="preserve">iests </w:t>
      </w:r>
      <w:r w:rsidRPr="00C63961">
        <w:rPr>
          <w:rFonts w:cs="Times New Roman"/>
          <w:color w:val="000000"/>
          <w:szCs w:val="24"/>
          <w:lang w:eastAsia="lv-LV"/>
        </w:rPr>
        <w:t>sod</w:t>
      </w:r>
      <w:r w:rsidR="00977032" w:rsidRPr="00C63961">
        <w:rPr>
          <w:rFonts w:cs="Times New Roman"/>
          <w:color w:val="000000"/>
          <w:szCs w:val="24"/>
          <w:lang w:eastAsia="lv-LV"/>
        </w:rPr>
        <w:t>s</w:t>
      </w:r>
      <w:r w:rsidRPr="00C63961">
        <w:rPr>
          <w:rFonts w:cs="Times New Roman"/>
          <w:color w:val="000000"/>
          <w:szCs w:val="24"/>
          <w:lang w:eastAsia="lv-LV"/>
        </w:rPr>
        <w:t xml:space="preserve"> – piespiedu darb</w:t>
      </w:r>
      <w:r w:rsidR="00977032" w:rsidRPr="00C63961">
        <w:rPr>
          <w:rFonts w:cs="Times New Roman"/>
          <w:color w:val="000000"/>
          <w:szCs w:val="24"/>
          <w:lang w:eastAsia="lv-LV"/>
        </w:rPr>
        <w:t>s</w:t>
      </w:r>
      <w:r w:rsidRPr="00C63961">
        <w:rPr>
          <w:rFonts w:cs="Times New Roman"/>
          <w:color w:val="000000"/>
          <w:szCs w:val="24"/>
          <w:lang w:eastAsia="lv-LV"/>
        </w:rPr>
        <w:t xml:space="preserve"> uz </w:t>
      </w:r>
      <w:r w:rsidR="001C50D5" w:rsidRPr="00C63961">
        <w:rPr>
          <w:rFonts w:cs="Times New Roman"/>
          <w:color w:val="000000"/>
          <w:szCs w:val="24"/>
          <w:lang w:eastAsia="lv-LV"/>
        </w:rPr>
        <w:t xml:space="preserve">260 </w:t>
      </w:r>
      <w:r w:rsidRPr="00C63961">
        <w:rPr>
          <w:rFonts w:cs="Times New Roman"/>
          <w:color w:val="000000"/>
          <w:szCs w:val="24"/>
          <w:lang w:eastAsia="lv-LV"/>
        </w:rPr>
        <w:t>stundām un probācijas uzraudzīb</w:t>
      </w:r>
      <w:r w:rsidR="00977032" w:rsidRPr="00C63961">
        <w:rPr>
          <w:rFonts w:cs="Times New Roman"/>
          <w:color w:val="000000"/>
          <w:szCs w:val="24"/>
          <w:lang w:eastAsia="lv-LV"/>
        </w:rPr>
        <w:t>a</w:t>
      </w:r>
      <w:r w:rsidRPr="00C63961">
        <w:rPr>
          <w:rFonts w:cs="Times New Roman"/>
          <w:color w:val="000000"/>
          <w:szCs w:val="24"/>
          <w:lang w:eastAsia="lv-LV"/>
        </w:rPr>
        <w:t xml:space="preserve"> uz </w:t>
      </w:r>
      <w:r w:rsidR="001C50D5" w:rsidRPr="00C63961">
        <w:rPr>
          <w:rFonts w:cs="Times New Roman"/>
          <w:color w:val="000000"/>
          <w:szCs w:val="24"/>
          <w:lang w:eastAsia="lv-LV"/>
        </w:rPr>
        <w:t>1 </w:t>
      </w:r>
      <w:r w:rsidRPr="00C63961">
        <w:rPr>
          <w:rFonts w:cs="Times New Roman"/>
          <w:color w:val="000000"/>
          <w:szCs w:val="24"/>
          <w:lang w:eastAsia="lv-LV"/>
        </w:rPr>
        <w:t xml:space="preserve">gadu un </w:t>
      </w:r>
      <w:r w:rsidR="001C50D5" w:rsidRPr="00C63961">
        <w:rPr>
          <w:rFonts w:cs="Times New Roman"/>
          <w:color w:val="000000"/>
          <w:szCs w:val="24"/>
          <w:lang w:eastAsia="lv-LV"/>
        </w:rPr>
        <w:t>6 </w:t>
      </w:r>
      <w:r w:rsidRPr="00C63961">
        <w:rPr>
          <w:rFonts w:cs="Times New Roman"/>
          <w:color w:val="000000"/>
          <w:szCs w:val="24"/>
          <w:lang w:eastAsia="lv-LV"/>
        </w:rPr>
        <w:t>mēnešiem</w:t>
      </w:r>
      <w:r w:rsidR="00977032" w:rsidRPr="00C63961">
        <w:rPr>
          <w:rFonts w:cs="Times New Roman"/>
          <w:color w:val="000000"/>
          <w:szCs w:val="24"/>
          <w:lang w:eastAsia="lv-LV"/>
        </w:rPr>
        <w:t>, un otrs apsūdzētais</w:t>
      </w:r>
      <w:r w:rsidRPr="00C63961">
        <w:rPr>
          <w:rFonts w:cs="Times New Roman"/>
          <w:color w:val="000000"/>
          <w:szCs w:val="24"/>
          <w:lang w:eastAsia="lv-LV"/>
        </w:rPr>
        <w:t xml:space="preserve"> atzīt</w:t>
      </w:r>
      <w:r w:rsidR="00977032" w:rsidRPr="00C63961">
        <w:rPr>
          <w:rFonts w:cs="Times New Roman"/>
          <w:color w:val="000000"/>
          <w:szCs w:val="24"/>
          <w:lang w:eastAsia="lv-LV"/>
        </w:rPr>
        <w:t>s</w:t>
      </w:r>
      <w:r w:rsidRPr="00C63961">
        <w:rPr>
          <w:rFonts w:cs="Times New Roman"/>
          <w:color w:val="000000"/>
          <w:szCs w:val="24"/>
          <w:lang w:eastAsia="lv-LV"/>
        </w:rPr>
        <w:t xml:space="preserve"> par vainīgu </w:t>
      </w:r>
      <w:r w:rsidR="00977032" w:rsidRPr="00C63961">
        <w:rPr>
          <w:rFonts w:cs="Times New Roman"/>
          <w:color w:val="000000"/>
          <w:szCs w:val="24"/>
          <w:lang w:eastAsia="lv-LV"/>
        </w:rPr>
        <w:t xml:space="preserve">pēc </w:t>
      </w:r>
      <w:r w:rsidRPr="00C63961">
        <w:rPr>
          <w:rFonts w:cs="Times New Roman"/>
          <w:color w:val="000000"/>
          <w:szCs w:val="24"/>
          <w:lang w:eastAsia="lv-LV"/>
        </w:rPr>
        <w:t>Krimināllikuma 221.</w:t>
      </w:r>
      <w:r w:rsidR="001C50D5" w:rsidRPr="00C63961">
        <w:rPr>
          <w:rFonts w:cs="Times New Roman"/>
          <w:color w:val="000000"/>
          <w:szCs w:val="24"/>
          <w:lang w:eastAsia="lv-LV"/>
        </w:rPr>
        <w:t> </w:t>
      </w:r>
      <w:r w:rsidRPr="00C63961">
        <w:rPr>
          <w:rFonts w:cs="Times New Roman"/>
          <w:color w:val="000000"/>
          <w:szCs w:val="24"/>
          <w:lang w:eastAsia="lv-LV"/>
        </w:rPr>
        <w:t>panta trešā</w:t>
      </w:r>
      <w:r w:rsidR="00977032" w:rsidRPr="00C63961">
        <w:rPr>
          <w:rFonts w:cs="Times New Roman"/>
          <w:color w:val="000000"/>
          <w:szCs w:val="24"/>
          <w:lang w:eastAsia="lv-LV"/>
        </w:rPr>
        <w:t>s</w:t>
      </w:r>
      <w:r w:rsidRPr="00C63961">
        <w:rPr>
          <w:rFonts w:cs="Times New Roman"/>
          <w:color w:val="000000"/>
          <w:szCs w:val="24"/>
          <w:lang w:eastAsia="lv-LV"/>
        </w:rPr>
        <w:t xml:space="preserve"> daļ</w:t>
      </w:r>
      <w:r w:rsidR="00977032" w:rsidRPr="00C63961">
        <w:rPr>
          <w:rFonts w:cs="Times New Roman"/>
          <w:color w:val="000000"/>
          <w:szCs w:val="24"/>
          <w:lang w:eastAsia="lv-LV"/>
        </w:rPr>
        <w:t>as</w:t>
      </w:r>
      <w:r w:rsidRPr="00C63961">
        <w:rPr>
          <w:rFonts w:cs="Times New Roman"/>
          <w:color w:val="000000"/>
          <w:szCs w:val="24"/>
          <w:lang w:eastAsia="lv-LV"/>
        </w:rPr>
        <w:t>, apstiprinot noslēgto vienošanos par vainas atzīšanu un sodu</w:t>
      </w:r>
      <w:r w:rsidR="00977032" w:rsidRPr="00C63961">
        <w:rPr>
          <w:rFonts w:cs="Times New Roman"/>
          <w:color w:val="000000"/>
          <w:szCs w:val="24"/>
          <w:lang w:eastAsia="lv-LV"/>
        </w:rPr>
        <w:t>,</w:t>
      </w:r>
      <w:r w:rsidR="008F4652" w:rsidRPr="00C63961">
        <w:rPr>
          <w:rFonts w:cs="Times New Roman"/>
          <w:color w:val="000000"/>
          <w:szCs w:val="24"/>
          <w:lang w:eastAsia="lv-LV"/>
        </w:rPr>
        <w:t xml:space="preserve"> un</w:t>
      </w:r>
      <w:r w:rsidRPr="00C63961">
        <w:rPr>
          <w:rFonts w:cs="Times New Roman"/>
          <w:color w:val="000000"/>
          <w:szCs w:val="24"/>
          <w:lang w:eastAsia="lv-LV"/>
        </w:rPr>
        <w:t xml:space="preserve"> piesprie</w:t>
      </w:r>
      <w:r w:rsidR="00333CD6" w:rsidRPr="00C63961">
        <w:rPr>
          <w:rFonts w:cs="Times New Roman"/>
          <w:color w:val="000000"/>
          <w:szCs w:val="24"/>
          <w:lang w:eastAsia="lv-LV"/>
        </w:rPr>
        <w:t>sts</w:t>
      </w:r>
      <w:r w:rsidRPr="00C63961">
        <w:rPr>
          <w:rFonts w:cs="Times New Roman"/>
          <w:color w:val="000000"/>
          <w:szCs w:val="24"/>
          <w:lang w:eastAsia="lv-LV"/>
        </w:rPr>
        <w:t xml:space="preserve"> sod</w:t>
      </w:r>
      <w:r w:rsidR="00333CD6" w:rsidRPr="00C63961">
        <w:rPr>
          <w:rFonts w:cs="Times New Roman"/>
          <w:color w:val="000000"/>
          <w:szCs w:val="24"/>
          <w:lang w:eastAsia="lv-LV"/>
        </w:rPr>
        <w:t>s</w:t>
      </w:r>
      <w:r w:rsidRPr="00C63961">
        <w:rPr>
          <w:rFonts w:cs="Times New Roman"/>
          <w:color w:val="000000"/>
          <w:szCs w:val="24"/>
          <w:lang w:eastAsia="lv-LV"/>
        </w:rPr>
        <w:t xml:space="preserve"> – piespiedu darb</w:t>
      </w:r>
      <w:r w:rsidR="00333CD6" w:rsidRPr="00C63961">
        <w:rPr>
          <w:rFonts w:cs="Times New Roman"/>
          <w:color w:val="000000"/>
          <w:szCs w:val="24"/>
          <w:lang w:eastAsia="lv-LV"/>
        </w:rPr>
        <w:t>s</w:t>
      </w:r>
      <w:r w:rsidRPr="00C63961">
        <w:rPr>
          <w:rFonts w:cs="Times New Roman"/>
          <w:color w:val="000000"/>
          <w:szCs w:val="24"/>
          <w:lang w:eastAsia="lv-LV"/>
        </w:rPr>
        <w:t xml:space="preserve"> uz </w:t>
      </w:r>
      <w:r w:rsidR="001C50D5" w:rsidRPr="00C63961">
        <w:rPr>
          <w:rFonts w:cs="Times New Roman"/>
          <w:color w:val="000000"/>
          <w:szCs w:val="24"/>
          <w:lang w:eastAsia="lv-LV"/>
        </w:rPr>
        <w:t>240 </w:t>
      </w:r>
      <w:r w:rsidRPr="00C63961">
        <w:rPr>
          <w:rFonts w:cs="Times New Roman"/>
          <w:color w:val="000000"/>
          <w:szCs w:val="24"/>
          <w:lang w:eastAsia="lv-LV"/>
        </w:rPr>
        <w:t>stundām un probācijas uzraudzīb</w:t>
      </w:r>
      <w:r w:rsidR="00333CD6" w:rsidRPr="00C63961">
        <w:rPr>
          <w:rFonts w:cs="Times New Roman"/>
          <w:color w:val="000000"/>
          <w:szCs w:val="24"/>
          <w:lang w:eastAsia="lv-LV"/>
        </w:rPr>
        <w:t>a</w:t>
      </w:r>
      <w:r w:rsidRPr="00C63961">
        <w:rPr>
          <w:rFonts w:cs="Times New Roman"/>
          <w:color w:val="000000"/>
          <w:szCs w:val="24"/>
          <w:lang w:eastAsia="lv-LV"/>
        </w:rPr>
        <w:t xml:space="preserve"> uz</w:t>
      </w:r>
      <w:r w:rsidR="001C50D5" w:rsidRPr="00C63961">
        <w:rPr>
          <w:rFonts w:cs="Times New Roman"/>
          <w:color w:val="000000"/>
          <w:szCs w:val="24"/>
          <w:lang w:eastAsia="lv-LV"/>
        </w:rPr>
        <w:t xml:space="preserve"> 1 </w:t>
      </w:r>
      <w:r w:rsidRPr="00C63961">
        <w:rPr>
          <w:rFonts w:cs="Times New Roman"/>
          <w:color w:val="000000"/>
          <w:szCs w:val="24"/>
          <w:lang w:eastAsia="lv-LV"/>
        </w:rPr>
        <w:t xml:space="preserve">gadu un </w:t>
      </w:r>
      <w:r w:rsidR="001C50D5" w:rsidRPr="00C63961">
        <w:rPr>
          <w:rFonts w:cs="Times New Roman"/>
          <w:color w:val="000000"/>
          <w:szCs w:val="24"/>
          <w:lang w:eastAsia="lv-LV"/>
        </w:rPr>
        <w:t>6 </w:t>
      </w:r>
      <w:r w:rsidRPr="00C63961">
        <w:rPr>
          <w:rFonts w:cs="Times New Roman"/>
          <w:color w:val="000000"/>
          <w:szCs w:val="24"/>
          <w:lang w:eastAsia="lv-LV"/>
        </w:rPr>
        <w:t>mēnešiem;</w:t>
      </w:r>
    </w:p>
    <w:p w14:paraId="015D44B6" w14:textId="77702FCC" w:rsidR="00E51A5A" w:rsidRDefault="00E51A5A" w:rsidP="00E329FC">
      <w:pPr>
        <w:pStyle w:val="ListParagraph"/>
        <w:numPr>
          <w:ilvl w:val="2"/>
          <w:numId w:val="55"/>
        </w:numPr>
        <w:spacing w:line="240" w:lineRule="auto"/>
        <w:jc w:val="both"/>
        <w:rPr>
          <w:rFonts w:cs="Times New Roman"/>
          <w:color w:val="000000"/>
          <w:szCs w:val="24"/>
          <w:lang w:eastAsia="lv-LV"/>
        </w:rPr>
      </w:pPr>
      <w:r w:rsidRPr="00C63961">
        <w:rPr>
          <w:rFonts w:cs="Times New Roman"/>
          <w:color w:val="000000"/>
          <w:szCs w:val="24"/>
          <w:lang w:eastAsia="lv-LV"/>
        </w:rPr>
        <w:t>14.08.2021.</w:t>
      </w:r>
      <w:r w:rsidR="001C50D5" w:rsidRPr="00C63961">
        <w:rPr>
          <w:rFonts w:cs="Times New Roman"/>
          <w:color w:val="000000"/>
          <w:szCs w:val="24"/>
          <w:lang w:eastAsia="lv-LV"/>
        </w:rPr>
        <w:t> </w:t>
      </w:r>
      <w:r w:rsidRPr="00C63961">
        <w:rPr>
          <w:rFonts w:cs="Times New Roman"/>
          <w:color w:val="000000"/>
          <w:szCs w:val="24"/>
          <w:lang w:eastAsia="lv-LV"/>
        </w:rPr>
        <w:t xml:space="preserve">virsprokurors izmantoja amatā augstāka prokurora tiesības un iesniedza kasācijas protestu, lūdzot pilnībā atcelt </w:t>
      </w:r>
      <w:r w:rsidR="00333CD6" w:rsidRPr="00C63961">
        <w:rPr>
          <w:rFonts w:cs="Times New Roman"/>
          <w:color w:val="000000"/>
          <w:szCs w:val="24"/>
          <w:lang w:eastAsia="lv-LV"/>
        </w:rPr>
        <w:t xml:space="preserve">pirmās instances tiesas </w:t>
      </w:r>
      <w:r w:rsidRPr="00C63961">
        <w:rPr>
          <w:rFonts w:cs="Times New Roman"/>
          <w:color w:val="000000"/>
          <w:szCs w:val="24"/>
          <w:lang w:eastAsia="lv-LV"/>
        </w:rPr>
        <w:t>spriedumu;</w:t>
      </w:r>
    </w:p>
    <w:p w14:paraId="00A687C5" w14:textId="5D4BE9E4" w:rsidR="00E51A5A" w:rsidRPr="00C63961" w:rsidRDefault="00E51A5A" w:rsidP="00E329FC">
      <w:pPr>
        <w:pStyle w:val="ListParagraph"/>
        <w:numPr>
          <w:ilvl w:val="1"/>
          <w:numId w:val="55"/>
        </w:numPr>
        <w:spacing w:line="240" w:lineRule="auto"/>
        <w:jc w:val="both"/>
        <w:rPr>
          <w:rFonts w:cs="Times New Roman"/>
          <w:color w:val="000000"/>
          <w:szCs w:val="24"/>
          <w:lang w:eastAsia="lv-LV"/>
        </w:rPr>
      </w:pPr>
      <w:r w:rsidRPr="00C63961">
        <w:rPr>
          <w:rFonts w:cs="Times New Roman"/>
          <w:color w:val="000000"/>
          <w:szCs w:val="24"/>
          <w:lang w:eastAsia="lv-LV"/>
        </w:rPr>
        <w:t>22.10.2020.</w:t>
      </w:r>
      <w:r w:rsidR="00C04E5A" w:rsidRPr="00C63961">
        <w:rPr>
          <w:rFonts w:cs="Times New Roman"/>
          <w:color w:val="000000"/>
          <w:szCs w:val="24"/>
          <w:lang w:eastAsia="lv-LV"/>
        </w:rPr>
        <w:t> </w:t>
      </w:r>
      <w:r w:rsidRPr="00C63961">
        <w:rPr>
          <w:rFonts w:cs="Times New Roman"/>
          <w:color w:val="000000"/>
          <w:szCs w:val="24"/>
          <w:lang w:eastAsia="lv-LV"/>
        </w:rPr>
        <w:t>ierosināta kasācijas tiesvedība</w:t>
      </w:r>
      <w:r w:rsidR="00F638AC" w:rsidRPr="00C63961">
        <w:rPr>
          <w:rFonts w:cs="Times New Roman"/>
          <w:color w:val="000000"/>
          <w:szCs w:val="24"/>
          <w:lang w:eastAsia="lv-LV"/>
        </w:rPr>
        <w:t>: k</w:t>
      </w:r>
      <w:r w:rsidR="00C04E5A" w:rsidRPr="00C63961">
        <w:rPr>
          <w:rFonts w:cs="Times New Roman"/>
          <w:color w:val="000000"/>
          <w:szCs w:val="24"/>
          <w:lang w:eastAsia="lv-LV"/>
        </w:rPr>
        <w:t>rimināll</w:t>
      </w:r>
      <w:r w:rsidRPr="00C63961">
        <w:rPr>
          <w:rFonts w:cs="Times New Roman"/>
          <w:color w:val="000000"/>
          <w:szCs w:val="24"/>
          <w:lang w:eastAsia="lv-LV"/>
        </w:rPr>
        <w:t>ieta vēl nav izskatīta;</w:t>
      </w:r>
    </w:p>
    <w:p w14:paraId="5957C874" w14:textId="77777777" w:rsidR="00C04E5A" w:rsidRPr="00A75170" w:rsidRDefault="00C04E5A" w:rsidP="00A75170">
      <w:pPr>
        <w:pStyle w:val="ListParagraph"/>
        <w:spacing w:line="240" w:lineRule="auto"/>
        <w:ind w:left="1728"/>
        <w:jc w:val="both"/>
        <w:rPr>
          <w:rFonts w:cs="Times New Roman"/>
          <w:color w:val="000000"/>
          <w:szCs w:val="24"/>
          <w:lang w:eastAsia="lv-LV"/>
        </w:rPr>
      </w:pPr>
    </w:p>
    <w:p w14:paraId="0FB33296" w14:textId="255D2887"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C04E5A" w:rsidRPr="00A75170">
        <w:rPr>
          <w:rFonts w:cs="Times New Roman"/>
          <w:color w:val="000000"/>
          <w:szCs w:val="24"/>
          <w:lang w:eastAsia="lv-LV"/>
        </w:rPr>
        <w:t> </w:t>
      </w:r>
      <w:r w:rsidRPr="00A75170">
        <w:rPr>
          <w:rFonts w:cs="Times New Roman"/>
          <w:color w:val="000000"/>
          <w:szCs w:val="24"/>
          <w:lang w:eastAsia="lv-LV"/>
        </w:rPr>
        <w:t>15840101319 – vienas personas apsūdzībā pēc Krimināllikuma 218.</w:t>
      </w:r>
      <w:r w:rsidR="00C04E5A" w:rsidRPr="00A75170">
        <w:rPr>
          <w:rFonts w:cs="Times New Roman"/>
          <w:color w:val="000000"/>
          <w:szCs w:val="24"/>
          <w:lang w:eastAsia="lv-LV"/>
        </w:rPr>
        <w:t> </w:t>
      </w:r>
      <w:r w:rsidRPr="00A75170">
        <w:rPr>
          <w:rFonts w:cs="Times New Roman"/>
          <w:color w:val="000000"/>
          <w:szCs w:val="24"/>
          <w:lang w:eastAsia="lv-LV"/>
        </w:rPr>
        <w:t xml:space="preserve">panta otrās daļas, nodarot kaitējumu 44 643,90 </w:t>
      </w:r>
      <w:r w:rsidRPr="00A75170">
        <w:rPr>
          <w:rFonts w:cs="Times New Roman"/>
          <w:i/>
          <w:iCs/>
          <w:color w:val="000000"/>
          <w:szCs w:val="24"/>
          <w:lang w:eastAsia="lv-LV"/>
        </w:rPr>
        <w:t>euro</w:t>
      </w:r>
      <w:r w:rsidR="00C04E5A" w:rsidRPr="00A75170">
        <w:rPr>
          <w:rFonts w:cs="Times New Roman"/>
          <w:color w:val="000000"/>
          <w:szCs w:val="24"/>
          <w:lang w:eastAsia="lv-LV"/>
        </w:rPr>
        <w:t xml:space="preserve"> un </w:t>
      </w:r>
      <w:r w:rsidRPr="00A75170">
        <w:rPr>
          <w:rFonts w:cs="Times New Roman"/>
          <w:color w:val="000000"/>
          <w:szCs w:val="24"/>
          <w:lang w:eastAsia="lv-LV"/>
        </w:rPr>
        <w:t xml:space="preserve">atlīdzinot 1500 </w:t>
      </w:r>
      <w:r w:rsidRPr="00A75170">
        <w:rPr>
          <w:rFonts w:cs="Times New Roman"/>
          <w:i/>
          <w:iCs/>
          <w:color w:val="000000"/>
          <w:szCs w:val="24"/>
          <w:lang w:eastAsia="lv-LV"/>
        </w:rPr>
        <w:t>euro:</w:t>
      </w:r>
    </w:p>
    <w:p w14:paraId="68A869CD" w14:textId="49C2BF12"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C04E5A" w:rsidRPr="00A75170">
        <w:rPr>
          <w:rFonts w:cs="Times New Roman"/>
          <w:color w:val="000000"/>
          <w:szCs w:val="24"/>
          <w:lang w:eastAsia="lv-LV"/>
        </w:rPr>
        <w:t>s</w:t>
      </w:r>
      <w:r w:rsidRPr="00A75170">
        <w:rPr>
          <w:rFonts w:cs="Times New Roman"/>
          <w:color w:val="000000"/>
          <w:szCs w:val="24"/>
          <w:lang w:eastAsia="lv-LV"/>
        </w:rPr>
        <w:t xml:space="preserve"> instance</w:t>
      </w:r>
      <w:r w:rsidR="00C04E5A" w:rsidRPr="00A75170">
        <w:rPr>
          <w:rFonts w:cs="Times New Roman"/>
          <w:color w:val="000000"/>
          <w:szCs w:val="24"/>
          <w:lang w:eastAsia="lv-LV"/>
        </w:rPr>
        <w:t>s tiesa</w:t>
      </w:r>
      <w:r w:rsidRPr="00A75170">
        <w:rPr>
          <w:rFonts w:cs="Times New Roman"/>
          <w:color w:val="000000"/>
          <w:szCs w:val="24"/>
          <w:lang w:eastAsia="lv-LV"/>
        </w:rPr>
        <w:t>:</w:t>
      </w:r>
    </w:p>
    <w:p w14:paraId="1FEFC37D" w14:textId="43501489"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lūdza </w:t>
      </w:r>
      <w:r w:rsidR="00333CD6" w:rsidRPr="00A75170">
        <w:rPr>
          <w:rFonts w:cs="Times New Roman"/>
          <w:color w:val="000000"/>
          <w:szCs w:val="24"/>
          <w:lang w:eastAsia="lv-LV"/>
        </w:rPr>
        <w:t xml:space="preserve">tiesu apsūdzēto </w:t>
      </w:r>
      <w:r w:rsidR="00CE7721" w:rsidRPr="00A75170">
        <w:rPr>
          <w:rFonts w:cs="Times New Roman"/>
          <w:color w:val="000000"/>
          <w:szCs w:val="24"/>
          <w:lang w:eastAsia="lv-LV"/>
        </w:rPr>
        <w:t xml:space="preserve">atzīt </w:t>
      </w:r>
      <w:r w:rsidR="00333CD6" w:rsidRPr="00A75170">
        <w:rPr>
          <w:rFonts w:cs="Times New Roman"/>
          <w:color w:val="000000"/>
          <w:szCs w:val="24"/>
          <w:lang w:eastAsia="lv-LV"/>
        </w:rPr>
        <w:t xml:space="preserve">par vainīgu </w:t>
      </w:r>
      <w:r w:rsidR="00CE7721" w:rsidRPr="00A75170">
        <w:rPr>
          <w:rFonts w:cs="Times New Roman"/>
          <w:color w:val="000000"/>
          <w:szCs w:val="24"/>
          <w:lang w:eastAsia="lv-LV"/>
        </w:rPr>
        <w:t xml:space="preserve">pēc Krimināllikuma 218. panta otrās daļas un </w:t>
      </w:r>
      <w:r w:rsidRPr="00A75170">
        <w:rPr>
          <w:rFonts w:cs="Times New Roman"/>
          <w:color w:val="000000"/>
          <w:szCs w:val="24"/>
          <w:lang w:eastAsia="lv-LV"/>
        </w:rPr>
        <w:t xml:space="preserve">sodīt ar brīvības atņemšanu uz </w:t>
      </w:r>
      <w:r w:rsidR="00C04E5A" w:rsidRPr="00A75170">
        <w:rPr>
          <w:rFonts w:cs="Times New Roman"/>
          <w:color w:val="000000"/>
          <w:szCs w:val="24"/>
          <w:lang w:eastAsia="lv-LV"/>
        </w:rPr>
        <w:t>2 </w:t>
      </w:r>
      <w:r w:rsidRPr="00A75170">
        <w:rPr>
          <w:rFonts w:cs="Times New Roman"/>
          <w:color w:val="000000"/>
          <w:szCs w:val="24"/>
          <w:lang w:eastAsia="lv-LV"/>
        </w:rPr>
        <w:t>gadiem, atņemot tiesības veikt vis</w:t>
      </w:r>
      <w:r w:rsidR="00CE7721" w:rsidRPr="00A75170">
        <w:rPr>
          <w:rFonts w:cs="Times New Roman"/>
          <w:color w:val="000000"/>
          <w:szCs w:val="24"/>
          <w:lang w:eastAsia="lv-LV"/>
        </w:rPr>
        <w:t>u</w:t>
      </w:r>
      <w:r w:rsidRPr="00A75170">
        <w:rPr>
          <w:rFonts w:cs="Times New Roman"/>
          <w:color w:val="000000"/>
          <w:szCs w:val="24"/>
          <w:lang w:eastAsia="lv-LV"/>
        </w:rPr>
        <w:t xml:space="preserve"> veid</w:t>
      </w:r>
      <w:r w:rsidR="00CE7721" w:rsidRPr="00A75170">
        <w:rPr>
          <w:rFonts w:cs="Times New Roman"/>
          <w:color w:val="000000"/>
          <w:szCs w:val="24"/>
          <w:lang w:eastAsia="lv-LV"/>
        </w:rPr>
        <w:t>u</w:t>
      </w:r>
      <w:r w:rsidRPr="00A75170">
        <w:rPr>
          <w:rFonts w:cs="Times New Roman"/>
          <w:color w:val="000000"/>
          <w:szCs w:val="24"/>
          <w:lang w:eastAsia="lv-LV"/>
        </w:rPr>
        <w:t xml:space="preserve"> komercdarbību uz 5</w:t>
      </w:r>
      <w:r w:rsidR="00CE7721" w:rsidRPr="00A75170">
        <w:rPr>
          <w:rFonts w:cs="Times New Roman"/>
          <w:color w:val="000000"/>
          <w:szCs w:val="24"/>
          <w:lang w:eastAsia="lv-LV"/>
        </w:rPr>
        <w:t> </w:t>
      </w:r>
      <w:r w:rsidRPr="00A75170">
        <w:rPr>
          <w:rFonts w:cs="Times New Roman"/>
          <w:color w:val="000000"/>
          <w:szCs w:val="24"/>
          <w:lang w:eastAsia="lv-LV"/>
        </w:rPr>
        <w:t xml:space="preserve">gadiem. Uz tiesas dienu apsūdzētais valstij radītos zaudējumus bija atlīdzinājis tikai 1500 </w:t>
      </w:r>
      <w:r w:rsidRPr="00A75170">
        <w:rPr>
          <w:rFonts w:cs="Times New Roman"/>
          <w:i/>
          <w:iCs/>
          <w:color w:val="000000"/>
          <w:szCs w:val="24"/>
          <w:lang w:eastAsia="lv-LV"/>
        </w:rPr>
        <w:t>euro</w:t>
      </w:r>
      <w:r w:rsidRPr="00A75170">
        <w:rPr>
          <w:rFonts w:cs="Times New Roman"/>
          <w:color w:val="000000"/>
          <w:szCs w:val="24"/>
          <w:lang w:eastAsia="lv-LV"/>
        </w:rPr>
        <w:t xml:space="preserve"> apmērā un viņš atradās apcietinājumā par jaun</w:t>
      </w:r>
      <w:r w:rsidR="00C04E5A" w:rsidRPr="00A75170">
        <w:rPr>
          <w:rFonts w:cs="Times New Roman"/>
          <w:color w:val="000000"/>
          <w:szCs w:val="24"/>
          <w:lang w:eastAsia="lv-LV"/>
        </w:rPr>
        <w:t>a</w:t>
      </w:r>
      <w:r w:rsidRPr="00A75170">
        <w:rPr>
          <w:rFonts w:cs="Times New Roman"/>
          <w:color w:val="000000"/>
          <w:szCs w:val="24"/>
          <w:lang w:eastAsia="lv-LV"/>
        </w:rPr>
        <w:t xml:space="preserve"> analoģisk</w:t>
      </w:r>
      <w:r w:rsidR="00C04E5A" w:rsidRPr="00A75170">
        <w:rPr>
          <w:rFonts w:cs="Times New Roman"/>
          <w:color w:val="000000"/>
          <w:szCs w:val="24"/>
          <w:lang w:eastAsia="lv-LV"/>
        </w:rPr>
        <w:t>a</w:t>
      </w:r>
      <w:r w:rsidRPr="00A75170">
        <w:rPr>
          <w:rFonts w:cs="Times New Roman"/>
          <w:color w:val="000000"/>
          <w:szCs w:val="24"/>
          <w:lang w:eastAsia="lv-LV"/>
        </w:rPr>
        <w:t xml:space="preserve"> noziedzīg</w:t>
      </w:r>
      <w:r w:rsidR="00C04E5A" w:rsidRPr="00A75170">
        <w:rPr>
          <w:rFonts w:cs="Times New Roman"/>
          <w:color w:val="000000"/>
          <w:szCs w:val="24"/>
          <w:lang w:eastAsia="lv-LV"/>
        </w:rPr>
        <w:t>a</w:t>
      </w:r>
      <w:r w:rsidRPr="00A75170">
        <w:rPr>
          <w:rFonts w:cs="Times New Roman"/>
          <w:color w:val="000000"/>
          <w:szCs w:val="24"/>
          <w:lang w:eastAsia="lv-LV"/>
        </w:rPr>
        <w:t xml:space="preserve"> nodarījum</w:t>
      </w:r>
      <w:r w:rsidR="00C04E5A" w:rsidRPr="00A75170">
        <w:rPr>
          <w:rFonts w:cs="Times New Roman"/>
          <w:color w:val="000000"/>
          <w:szCs w:val="24"/>
          <w:lang w:eastAsia="lv-LV"/>
        </w:rPr>
        <w:t>a</w:t>
      </w:r>
      <w:r w:rsidRPr="00A75170">
        <w:rPr>
          <w:rFonts w:cs="Times New Roman"/>
          <w:color w:val="000000"/>
          <w:szCs w:val="24"/>
          <w:lang w:eastAsia="lv-LV"/>
        </w:rPr>
        <w:t xml:space="preserve"> izdarīšanu</w:t>
      </w:r>
      <w:r w:rsidR="004A0C0D" w:rsidRPr="00A75170">
        <w:rPr>
          <w:rFonts w:cs="Times New Roman"/>
          <w:color w:val="000000"/>
          <w:szCs w:val="24"/>
          <w:lang w:eastAsia="lv-LV"/>
        </w:rPr>
        <w:t>;</w:t>
      </w:r>
    </w:p>
    <w:p w14:paraId="4C2B64AE" w14:textId="29F8823A"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03.07.2020.</w:t>
      </w:r>
      <w:r w:rsidR="00C04E5A" w:rsidRPr="00A75170">
        <w:rPr>
          <w:rFonts w:cs="Times New Roman"/>
          <w:color w:val="000000"/>
          <w:szCs w:val="24"/>
          <w:lang w:eastAsia="lv-LV"/>
        </w:rPr>
        <w:t> </w:t>
      </w:r>
      <w:r w:rsidRPr="00A75170">
        <w:rPr>
          <w:rFonts w:cs="Times New Roman"/>
          <w:color w:val="000000"/>
          <w:szCs w:val="24"/>
          <w:lang w:eastAsia="lv-LV"/>
        </w:rPr>
        <w:t>Rīgas pilsētas Pārdaugavas tiesa</w:t>
      </w:r>
      <w:r w:rsidR="00A968F1" w:rsidRPr="00A75170">
        <w:rPr>
          <w:rFonts w:cs="Times New Roman"/>
          <w:color w:val="000000"/>
          <w:szCs w:val="24"/>
          <w:lang w:eastAsia="lv-LV"/>
        </w:rPr>
        <w:t xml:space="preserve"> nosprieda apsūdzēto atzīt par vainīgu pēc Krimināllikuma 218. panta otrās daļas un</w:t>
      </w:r>
      <w:r w:rsidRPr="00A75170">
        <w:rPr>
          <w:rFonts w:cs="Times New Roman"/>
          <w:color w:val="000000"/>
          <w:szCs w:val="24"/>
          <w:lang w:eastAsia="lv-LV"/>
        </w:rPr>
        <w:t xml:space="preserve"> sodīt ar īslaicīgu brīvības atņemšanu uz </w:t>
      </w:r>
      <w:r w:rsidR="00C04E5A" w:rsidRPr="00A75170">
        <w:rPr>
          <w:rFonts w:cs="Times New Roman"/>
          <w:color w:val="000000"/>
          <w:szCs w:val="24"/>
          <w:lang w:eastAsia="lv-LV"/>
        </w:rPr>
        <w:t>2 </w:t>
      </w:r>
      <w:r w:rsidRPr="00A75170">
        <w:rPr>
          <w:rFonts w:cs="Times New Roman"/>
          <w:color w:val="000000"/>
          <w:szCs w:val="24"/>
          <w:lang w:eastAsia="lv-LV"/>
        </w:rPr>
        <w:t xml:space="preserve">mēnešiem, atņemot tiesības veikt visu veidu komercdarbību uz </w:t>
      </w:r>
      <w:r w:rsidR="00C04E5A" w:rsidRPr="00A75170">
        <w:rPr>
          <w:rFonts w:cs="Times New Roman"/>
          <w:color w:val="000000"/>
          <w:szCs w:val="24"/>
          <w:lang w:eastAsia="lv-LV"/>
        </w:rPr>
        <w:t>2 </w:t>
      </w:r>
      <w:r w:rsidRPr="00A75170">
        <w:rPr>
          <w:rFonts w:cs="Times New Roman"/>
          <w:color w:val="000000"/>
          <w:szCs w:val="24"/>
          <w:lang w:eastAsia="lv-LV"/>
        </w:rPr>
        <w:t>gadiem;</w:t>
      </w:r>
    </w:p>
    <w:p w14:paraId="37C251FC" w14:textId="61585573"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20.08.2020.</w:t>
      </w:r>
      <w:r w:rsidR="001C27F6" w:rsidRPr="00A75170">
        <w:rPr>
          <w:rFonts w:cs="Times New Roman"/>
          <w:color w:val="000000"/>
          <w:szCs w:val="24"/>
          <w:lang w:eastAsia="lv-LV"/>
        </w:rPr>
        <w:t> </w:t>
      </w:r>
      <w:r w:rsidRPr="00A75170">
        <w:rPr>
          <w:rFonts w:cs="Times New Roman"/>
          <w:color w:val="000000"/>
          <w:szCs w:val="24"/>
          <w:lang w:eastAsia="lv-LV"/>
        </w:rPr>
        <w:t>prokurors iesniedza apelācijas protestu daļā par sodu, lūdzot to noteikt</w:t>
      </w:r>
      <w:r w:rsidR="009D5A5F" w:rsidRPr="00A75170">
        <w:rPr>
          <w:rFonts w:cs="Times New Roman"/>
          <w:color w:val="000000"/>
          <w:szCs w:val="24"/>
          <w:lang w:eastAsia="lv-LV"/>
        </w:rPr>
        <w:t xml:space="preserve"> </w:t>
      </w:r>
      <w:r w:rsidRPr="00A75170">
        <w:rPr>
          <w:rFonts w:cs="Times New Roman"/>
          <w:color w:val="000000"/>
          <w:szCs w:val="24"/>
          <w:lang w:eastAsia="lv-LV"/>
        </w:rPr>
        <w:t>pirm</w:t>
      </w:r>
      <w:r w:rsidR="001C27F6" w:rsidRPr="00A75170">
        <w:rPr>
          <w:rFonts w:cs="Times New Roman"/>
          <w:color w:val="000000"/>
          <w:szCs w:val="24"/>
          <w:lang w:eastAsia="lv-LV"/>
        </w:rPr>
        <w:t>ās</w:t>
      </w:r>
      <w:r w:rsidRPr="00A75170">
        <w:rPr>
          <w:rFonts w:cs="Times New Roman"/>
          <w:color w:val="000000"/>
          <w:szCs w:val="24"/>
          <w:lang w:eastAsia="lv-LV"/>
        </w:rPr>
        <w:t xml:space="preserve"> instanc</w:t>
      </w:r>
      <w:r w:rsidR="001C27F6" w:rsidRPr="00A75170">
        <w:rPr>
          <w:rFonts w:cs="Times New Roman"/>
          <w:color w:val="000000"/>
          <w:szCs w:val="24"/>
          <w:lang w:eastAsia="lv-LV"/>
        </w:rPr>
        <w:t>es tiesā</w:t>
      </w:r>
      <w:r w:rsidRPr="00A75170">
        <w:rPr>
          <w:rFonts w:cs="Times New Roman"/>
          <w:color w:val="000000"/>
          <w:szCs w:val="24"/>
          <w:lang w:eastAsia="lv-LV"/>
        </w:rPr>
        <w:t xml:space="preserve"> pieprasītajā apmērā</w:t>
      </w:r>
      <w:r w:rsidR="00697ABC">
        <w:rPr>
          <w:rFonts w:cs="Times New Roman"/>
          <w:color w:val="000000"/>
          <w:szCs w:val="24"/>
          <w:lang w:eastAsia="lv-LV"/>
        </w:rPr>
        <w:t>;</w:t>
      </w:r>
    </w:p>
    <w:p w14:paraId="2B3CB45F" w14:textId="30008798" w:rsidR="00E51A5A" w:rsidRPr="00F638AC"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apelācijas instance</w:t>
      </w:r>
      <w:r w:rsidR="001C27F6" w:rsidRPr="00A75170">
        <w:rPr>
          <w:rFonts w:cs="Times New Roman"/>
          <w:color w:val="000000"/>
          <w:szCs w:val="24"/>
          <w:lang w:eastAsia="lv-LV"/>
        </w:rPr>
        <w:t>s tiesa</w:t>
      </w:r>
      <w:r w:rsidRPr="00A75170">
        <w:rPr>
          <w:rFonts w:cs="Times New Roman"/>
          <w:color w:val="000000"/>
          <w:szCs w:val="24"/>
          <w:lang w:eastAsia="lv-LV"/>
        </w:rPr>
        <w:t>:</w:t>
      </w:r>
      <w:r w:rsidR="00F638AC">
        <w:rPr>
          <w:rFonts w:cs="Times New Roman"/>
          <w:color w:val="000000"/>
          <w:szCs w:val="24"/>
          <w:lang w:eastAsia="lv-LV"/>
        </w:rPr>
        <w:t xml:space="preserve"> </w:t>
      </w:r>
      <w:r w:rsidRPr="00F638AC">
        <w:rPr>
          <w:rFonts w:cs="Times New Roman"/>
          <w:color w:val="000000"/>
          <w:szCs w:val="24"/>
          <w:lang w:eastAsia="lv-LV"/>
        </w:rPr>
        <w:t>ar 07.01.2021.</w:t>
      </w:r>
      <w:r w:rsidR="001C27F6" w:rsidRPr="00F638AC">
        <w:rPr>
          <w:rFonts w:cs="Times New Roman"/>
          <w:color w:val="000000"/>
          <w:szCs w:val="24"/>
          <w:lang w:eastAsia="lv-LV"/>
        </w:rPr>
        <w:t> </w:t>
      </w:r>
      <w:r w:rsidRPr="00F638AC">
        <w:rPr>
          <w:rFonts w:cs="Times New Roman"/>
          <w:color w:val="000000"/>
          <w:szCs w:val="24"/>
          <w:lang w:eastAsia="lv-LV"/>
        </w:rPr>
        <w:t>Rīgas apgabaltiesas spriedumu</w:t>
      </w:r>
      <w:r w:rsidR="001C27F6" w:rsidRPr="00F638AC">
        <w:rPr>
          <w:rFonts w:cs="Times New Roman"/>
          <w:color w:val="000000"/>
          <w:szCs w:val="24"/>
          <w:lang w:eastAsia="lv-LV"/>
        </w:rPr>
        <w:t xml:space="preserve"> </w:t>
      </w:r>
      <w:r w:rsidRPr="00F638AC">
        <w:rPr>
          <w:rFonts w:cs="Times New Roman"/>
          <w:color w:val="000000"/>
          <w:szCs w:val="24"/>
          <w:lang w:eastAsia="lv-LV"/>
        </w:rPr>
        <w:t>03.07.2020.</w:t>
      </w:r>
      <w:r w:rsidR="001C27F6" w:rsidRPr="00F638AC">
        <w:rPr>
          <w:rFonts w:cs="Times New Roman"/>
          <w:color w:val="000000"/>
          <w:szCs w:val="24"/>
          <w:lang w:eastAsia="lv-LV"/>
        </w:rPr>
        <w:t> </w:t>
      </w:r>
      <w:r w:rsidRPr="00F638AC">
        <w:rPr>
          <w:rFonts w:cs="Times New Roman"/>
          <w:color w:val="000000"/>
          <w:szCs w:val="24"/>
          <w:lang w:eastAsia="lv-LV"/>
        </w:rPr>
        <w:t>Rīgas</w:t>
      </w:r>
      <w:r w:rsidR="00DF36CB" w:rsidRPr="00F638AC">
        <w:rPr>
          <w:rFonts w:cs="Times New Roman"/>
          <w:color w:val="000000"/>
          <w:szCs w:val="24"/>
          <w:lang w:eastAsia="lv-LV"/>
        </w:rPr>
        <w:t xml:space="preserve"> </w:t>
      </w:r>
      <w:r w:rsidRPr="00F638AC">
        <w:rPr>
          <w:rFonts w:cs="Times New Roman"/>
          <w:color w:val="000000"/>
          <w:szCs w:val="24"/>
          <w:lang w:eastAsia="lv-LV"/>
        </w:rPr>
        <w:t>pilsētas Pārdaugavas tiesas spriedums atcelts daļā par apsūdzētajam noteikto sodu pēc Krimināllikuma 218.</w:t>
      </w:r>
      <w:r w:rsidR="008F4652" w:rsidRPr="00F638AC">
        <w:rPr>
          <w:rFonts w:cs="Times New Roman"/>
          <w:color w:val="000000"/>
          <w:szCs w:val="24"/>
          <w:lang w:eastAsia="lv-LV"/>
        </w:rPr>
        <w:t> </w:t>
      </w:r>
      <w:r w:rsidRPr="00F638AC">
        <w:rPr>
          <w:rFonts w:cs="Times New Roman"/>
          <w:color w:val="000000"/>
          <w:szCs w:val="24"/>
          <w:lang w:eastAsia="lv-LV"/>
        </w:rPr>
        <w:t xml:space="preserve">panta otrās daļas, to nosakot brīvības atņemšanas veidā uz </w:t>
      </w:r>
      <w:r w:rsidR="008F4652" w:rsidRPr="00F638AC">
        <w:rPr>
          <w:rFonts w:cs="Times New Roman"/>
          <w:color w:val="000000"/>
          <w:szCs w:val="24"/>
          <w:lang w:eastAsia="lv-LV"/>
        </w:rPr>
        <w:t>1 </w:t>
      </w:r>
      <w:r w:rsidRPr="00F638AC">
        <w:rPr>
          <w:rFonts w:cs="Times New Roman"/>
          <w:color w:val="000000"/>
          <w:szCs w:val="24"/>
          <w:lang w:eastAsia="lv-LV"/>
        </w:rPr>
        <w:t>gadu, atņemot tiesības veikt visu veid</w:t>
      </w:r>
      <w:r w:rsidR="008F4652" w:rsidRPr="00F638AC">
        <w:rPr>
          <w:rFonts w:cs="Times New Roman"/>
          <w:color w:val="000000"/>
          <w:szCs w:val="24"/>
          <w:lang w:eastAsia="lv-LV"/>
        </w:rPr>
        <w:t>u</w:t>
      </w:r>
      <w:r w:rsidRPr="00F638AC">
        <w:rPr>
          <w:rFonts w:cs="Times New Roman"/>
          <w:color w:val="000000"/>
          <w:szCs w:val="24"/>
          <w:lang w:eastAsia="lv-LV"/>
        </w:rPr>
        <w:t xml:space="preserve"> komercdarbību uz </w:t>
      </w:r>
      <w:r w:rsidR="009E3CCA" w:rsidRPr="00F638AC">
        <w:rPr>
          <w:rFonts w:cs="Times New Roman"/>
          <w:color w:val="000000"/>
          <w:szCs w:val="24"/>
          <w:lang w:eastAsia="lv-LV"/>
        </w:rPr>
        <w:t>3 </w:t>
      </w:r>
      <w:r w:rsidRPr="00F638AC">
        <w:rPr>
          <w:rFonts w:cs="Times New Roman"/>
          <w:color w:val="000000"/>
          <w:szCs w:val="24"/>
          <w:lang w:eastAsia="lv-LV"/>
        </w:rPr>
        <w:t>gadiem</w:t>
      </w:r>
      <w:r w:rsidR="004A0C0D" w:rsidRPr="00F638AC">
        <w:rPr>
          <w:rFonts w:cs="Times New Roman"/>
          <w:color w:val="000000"/>
          <w:szCs w:val="24"/>
          <w:lang w:eastAsia="lv-LV"/>
        </w:rPr>
        <w:t>;</w:t>
      </w:r>
    </w:p>
    <w:p w14:paraId="52E076AE" w14:textId="77777777" w:rsidR="00E51A5A" w:rsidRPr="00A75170" w:rsidRDefault="00E51A5A" w:rsidP="00A75170">
      <w:pPr>
        <w:pStyle w:val="ListParagraph"/>
        <w:spacing w:line="240" w:lineRule="auto"/>
        <w:jc w:val="both"/>
        <w:rPr>
          <w:rFonts w:cs="Times New Roman"/>
          <w:color w:val="000000"/>
          <w:szCs w:val="24"/>
          <w:lang w:eastAsia="lv-LV"/>
        </w:rPr>
      </w:pPr>
    </w:p>
    <w:p w14:paraId="0835C6B5" w14:textId="5801D503"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Nr.</w:t>
      </w:r>
      <w:r w:rsidR="004A0C0D" w:rsidRPr="00A75170">
        <w:rPr>
          <w:rFonts w:cs="Times New Roman"/>
          <w:color w:val="000000"/>
          <w:szCs w:val="24"/>
          <w:lang w:eastAsia="lv-LV"/>
        </w:rPr>
        <w:t> </w:t>
      </w:r>
      <w:r w:rsidRPr="00A75170">
        <w:rPr>
          <w:rFonts w:cs="Times New Roman"/>
          <w:color w:val="000000"/>
          <w:szCs w:val="24"/>
          <w:lang w:eastAsia="lv-LV"/>
        </w:rPr>
        <w:t>11815004818 – vienas personas apsūdzībā pēc Krimināllikuma 177.</w:t>
      </w:r>
      <w:r w:rsidR="004A0C0D" w:rsidRPr="00A75170">
        <w:rPr>
          <w:rFonts w:cs="Times New Roman"/>
          <w:color w:val="000000"/>
          <w:szCs w:val="24"/>
          <w:lang w:eastAsia="lv-LV"/>
        </w:rPr>
        <w:t> </w:t>
      </w:r>
      <w:r w:rsidRPr="00A75170">
        <w:rPr>
          <w:rFonts w:cs="Times New Roman"/>
          <w:color w:val="000000"/>
          <w:szCs w:val="24"/>
          <w:lang w:eastAsia="lv-LV"/>
        </w:rPr>
        <w:t>panta trešās daļas, nodarot kaitējumu 2 544 781,83</w:t>
      </w:r>
      <w:r w:rsidR="004A0C0D" w:rsidRPr="00A75170">
        <w:rPr>
          <w:rFonts w:cs="Times New Roman"/>
          <w:color w:val="000000"/>
          <w:szCs w:val="24"/>
          <w:lang w:eastAsia="lv-LV"/>
        </w:rPr>
        <w:t> </w:t>
      </w:r>
      <w:r w:rsidRPr="00A75170">
        <w:rPr>
          <w:rFonts w:cs="Times New Roman"/>
          <w:i/>
          <w:iCs/>
          <w:color w:val="000000"/>
          <w:szCs w:val="24"/>
          <w:lang w:eastAsia="lv-LV"/>
        </w:rPr>
        <w:t>euro</w:t>
      </w:r>
      <w:r w:rsidR="004A0C0D" w:rsidRPr="00A75170">
        <w:rPr>
          <w:rFonts w:cs="Times New Roman"/>
          <w:color w:val="000000"/>
          <w:szCs w:val="24"/>
          <w:lang w:eastAsia="lv-LV"/>
        </w:rPr>
        <w:t xml:space="preserve"> un </w:t>
      </w:r>
      <w:r w:rsidRPr="00A75170">
        <w:rPr>
          <w:rFonts w:cs="Times New Roman"/>
          <w:color w:val="000000"/>
          <w:szCs w:val="24"/>
          <w:lang w:eastAsia="lv-LV"/>
        </w:rPr>
        <w:t>to neatlīdzinot:</w:t>
      </w:r>
    </w:p>
    <w:p w14:paraId="1214CAE6" w14:textId="3C0E88BB"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CA4878">
        <w:rPr>
          <w:rFonts w:cs="Times New Roman"/>
          <w:color w:val="000000"/>
          <w:szCs w:val="24"/>
          <w:lang w:eastAsia="lv-LV"/>
        </w:rPr>
        <w:t>s</w:t>
      </w:r>
      <w:r w:rsidRPr="00A75170">
        <w:rPr>
          <w:rFonts w:cs="Times New Roman"/>
          <w:color w:val="000000"/>
          <w:szCs w:val="24"/>
          <w:lang w:eastAsia="lv-LV"/>
        </w:rPr>
        <w:t xml:space="preserve"> instance</w:t>
      </w:r>
      <w:r w:rsidR="00CA4878">
        <w:rPr>
          <w:rFonts w:cs="Times New Roman"/>
          <w:color w:val="000000"/>
          <w:szCs w:val="24"/>
          <w:lang w:eastAsia="lv-LV"/>
        </w:rPr>
        <w:t>s tiesa</w:t>
      </w:r>
      <w:r w:rsidRPr="00A75170">
        <w:rPr>
          <w:rFonts w:cs="Times New Roman"/>
          <w:color w:val="000000"/>
          <w:szCs w:val="24"/>
          <w:lang w:eastAsia="lv-LV"/>
        </w:rPr>
        <w:t>:</w:t>
      </w:r>
    </w:p>
    <w:p w14:paraId="42B8956C" w14:textId="33C2AA81"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lūdza </w:t>
      </w:r>
      <w:r w:rsidR="00697ABC">
        <w:rPr>
          <w:rFonts w:cs="Times New Roman"/>
          <w:color w:val="000000"/>
          <w:szCs w:val="24"/>
          <w:lang w:eastAsia="lv-LV"/>
        </w:rPr>
        <w:t>tiesu</w:t>
      </w:r>
      <w:r w:rsidRPr="00A75170">
        <w:rPr>
          <w:rFonts w:cs="Times New Roman"/>
          <w:color w:val="000000"/>
          <w:szCs w:val="24"/>
          <w:lang w:eastAsia="lv-LV"/>
        </w:rPr>
        <w:t xml:space="preserve"> apsūdzēto </w:t>
      </w:r>
      <w:r w:rsidR="00697ABC">
        <w:rPr>
          <w:rFonts w:cs="Times New Roman"/>
          <w:color w:val="000000"/>
          <w:szCs w:val="24"/>
          <w:lang w:eastAsia="lv-LV"/>
        </w:rPr>
        <w:t xml:space="preserve">atzīt </w:t>
      </w:r>
      <w:r w:rsidRPr="00A75170">
        <w:rPr>
          <w:rFonts w:cs="Times New Roman"/>
          <w:color w:val="000000"/>
          <w:szCs w:val="24"/>
          <w:lang w:eastAsia="lv-LV"/>
        </w:rPr>
        <w:t xml:space="preserve">par vainīgu </w:t>
      </w:r>
      <w:r w:rsidR="00697ABC">
        <w:rPr>
          <w:rFonts w:cs="Times New Roman"/>
          <w:color w:val="000000"/>
          <w:szCs w:val="24"/>
          <w:lang w:eastAsia="lv-LV"/>
        </w:rPr>
        <w:t xml:space="preserve">pēc </w:t>
      </w:r>
      <w:r w:rsidRPr="00A75170">
        <w:rPr>
          <w:rFonts w:cs="Times New Roman"/>
          <w:color w:val="000000"/>
          <w:szCs w:val="24"/>
          <w:lang w:eastAsia="lv-LV"/>
        </w:rPr>
        <w:t>Krimināllikuma 177.</w:t>
      </w:r>
      <w:r w:rsidR="00697ABC">
        <w:rPr>
          <w:rFonts w:cs="Times New Roman"/>
          <w:color w:val="000000"/>
          <w:szCs w:val="24"/>
          <w:lang w:eastAsia="lv-LV"/>
        </w:rPr>
        <w:t> </w:t>
      </w:r>
      <w:r w:rsidRPr="00A75170">
        <w:rPr>
          <w:rFonts w:cs="Times New Roman"/>
          <w:color w:val="000000"/>
          <w:szCs w:val="24"/>
          <w:lang w:eastAsia="lv-LV"/>
        </w:rPr>
        <w:t>panta treš</w:t>
      </w:r>
      <w:r w:rsidR="00697ABC">
        <w:rPr>
          <w:rFonts w:cs="Times New Roman"/>
          <w:color w:val="000000"/>
          <w:szCs w:val="24"/>
          <w:lang w:eastAsia="lv-LV"/>
        </w:rPr>
        <w:t>ās</w:t>
      </w:r>
      <w:r w:rsidRPr="00A75170">
        <w:rPr>
          <w:rFonts w:cs="Times New Roman"/>
          <w:color w:val="000000"/>
          <w:szCs w:val="24"/>
          <w:lang w:eastAsia="lv-LV"/>
        </w:rPr>
        <w:t xml:space="preserve"> daļa</w:t>
      </w:r>
      <w:r w:rsidR="00697ABC">
        <w:rPr>
          <w:rFonts w:cs="Times New Roman"/>
          <w:color w:val="000000"/>
          <w:szCs w:val="24"/>
          <w:lang w:eastAsia="lv-LV"/>
        </w:rPr>
        <w:t>s</w:t>
      </w:r>
      <w:r w:rsidRPr="00A75170">
        <w:rPr>
          <w:rFonts w:cs="Times New Roman"/>
          <w:color w:val="000000"/>
          <w:szCs w:val="24"/>
          <w:lang w:eastAsia="lv-LV"/>
        </w:rPr>
        <w:t xml:space="preserve"> un sodīt ar brīvības atņemšanu uz </w:t>
      </w:r>
      <w:r w:rsidR="00697ABC">
        <w:rPr>
          <w:rFonts w:cs="Times New Roman"/>
          <w:color w:val="000000"/>
          <w:szCs w:val="24"/>
          <w:lang w:eastAsia="lv-LV"/>
        </w:rPr>
        <w:t>7 </w:t>
      </w:r>
      <w:r w:rsidRPr="00A75170">
        <w:rPr>
          <w:rFonts w:cs="Times New Roman"/>
          <w:color w:val="000000"/>
          <w:szCs w:val="24"/>
          <w:lang w:eastAsia="lv-LV"/>
        </w:rPr>
        <w:t>gadiem, attiecībā pret SIA piemērot Krimināllikuma 70</w:t>
      </w:r>
      <w:r w:rsidR="00697ABC">
        <w:rPr>
          <w:rFonts w:cs="Times New Roman"/>
          <w:color w:val="000000"/>
          <w:szCs w:val="24"/>
          <w:lang w:eastAsia="lv-LV"/>
        </w:rPr>
        <w:t>.</w:t>
      </w:r>
      <w:r w:rsidR="00697ABC" w:rsidRPr="00697ABC">
        <w:rPr>
          <w:rFonts w:cs="Times New Roman"/>
          <w:color w:val="000000"/>
          <w:szCs w:val="24"/>
          <w:vertAlign w:val="superscript"/>
          <w:lang w:eastAsia="lv-LV"/>
        </w:rPr>
        <w:t>3</w:t>
      </w:r>
      <w:r w:rsidR="00697ABC">
        <w:rPr>
          <w:rFonts w:cs="Times New Roman"/>
          <w:color w:val="000000"/>
          <w:szCs w:val="24"/>
          <w:lang w:eastAsia="lv-LV"/>
        </w:rPr>
        <w:t xml:space="preserve"> </w:t>
      </w:r>
      <w:r w:rsidRPr="00A75170">
        <w:rPr>
          <w:rFonts w:cs="Times New Roman"/>
          <w:color w:val="000000"/>
          <w:szCs w:val="24"/>
          <w:lang w:eastAsia="lv-LV"/>
        </w:rPr>
        <w:t>pantā paredzēto piespiedu ietekmēšanas līdzekli – likvidāciju</w:t>
      </w:r>
      <w:r w:rsidR="00697ABC">
        <w:rPr>
          <w:rFonts w:cs="Times New Roman"/>
          <w:color w:val="000000"/>
          <w:szCs w:val="24"/>
          <w:lang w:eastAsia="lv-LV"/>
        </w:rPr>
        <w:t xml:space="preserve"> –</w:t>
      </w:r>
      <w:r w:rsidRPr="00A75170">
        <w:rPr>
          <w:rFonts w:cs="Times New Roman"/>
          <w:color w:val="000000"/>
          <w:szCs w:val="24"/>
          <w:lang w:eastAsia="lv-LV"/>
        </w:rPr>
        <w:t>, atzīt SIA naudas līdzekļus par noziedzīgi iegūt</w:t>
      </w:r>
      <w:r w:rsidR="00697ABC">
        <w:rPr>
          <w:rFonts w:cs="Times New Roman"/>
          <w:color w:val="000000"/>
          <w:szCs w:val="24"/>
          <w:lang w:eastAsia="lv-LV"/>
        </w:rPr>
        <w:t>u</w:t>
      </w:r>
      <w:r w:rsidRPr="00A75170">
        <w:rPr>
          <w:rFonts w:cs="Times New Roman"/>
          <w:color w:val="000000"/>
          <w:szCs w:val="24"/>
          <w:lang w:eastAsia="lv-LV"/>
        </w:rPr>
        <w:t xml:space="preserve"> mantu un konfiscēt Kriminālprocesa likuma 365.</w:t>
      </w:r>
      <w:r w:rsidR="00697ABC">
        <w:rPr>
          <w:rFonts w:cs="Times New Roman"/>
          <w:color w:val="000000"/>
          <w:szCs w:val="24"/>
          <w:lang w:eastAsia="lv-LV"/>
        </w:rPr>
        <w:t> </w:t>
      </w:r>
      <w:r w:rsidRPr="00A75170">
        <w:rPr>
          <w:rFonts w:cs="Times New Roman"/>
          <w:color w:val="000000"/>
          <w:szCs w:val="24"/>
          <w:lang w:eastAsia="lv-LV"/>
        </w:rPr>
        <w:t>panta pirmās daļas kārtībā, piedzīt valsts labā mantiskā kaitējuma atlīdzību;</w:t>
      </w:r>
    </w:p>
    <w:p w14:paraId="3E492F18" w14:textId="578D5226"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03.07.2020. Zemgales rajona tiesa</w:t>
      </w:r>
      <w:r w:rsidR="00CF76FD">
        <w:rPr>
          <w:rFonts w:cs="Times New Roman"/>
          <w:color w:val="000000"/>
          <w:szCs w:val="24"/>
          <w:lang w:eastAsia="lv-LV"/>
        </w:rPr>
        <w:t xml:space="preserve"> nosprieda </w:t>
      </w:r>
      <w:r w:rsidRPr="00A75170">
        <w:rPr>
          <w:rFonts w:cs="Times New Roman"/>
          <w:color w:val="000000"/>
          <w:szCs w:val="24"/>
          <w:lang w:eastAsia="lv-LV"/>
        </w:rPr>
        <w:t>apsūdzēt</w:t>
      </w:r>
      <w:r w:rsidR="00CF76FD">
        <w:rPr>
          <w:rFonts w:cs="Times New Roman"/>
          <w:color w:val="000000"/>
          <w:szCs w:val="24"/>
          <w:lang w:eastAsia="lv-LV"/>
        </w:rPr>
        <w:t>o</w:t>
      </w:r>
      <w:r w:rsidRPr="00A75170">
        <w:rPr>
          <w:rFonts w:cs="Times New Roman"/>
          <w:color w:val="000000"/>
          <w:szCs w:val="24"/>
          <w:lang w:eastAsia="lv-LV"/>
        </w:rPr>
        <w:t xml:space="preserve"> atzīt par vainīgu </w:t>
      </w:r>
      <w:r w:rsidR="00CF76FD" w:rsidRPr="00A75170">
        <w:rPr>
          <w:rFonts w:cs="Times New Roman"/>
          <w:color w:val="000000"/>
          <w:szCs w:val="24"/>
          <w:lang w:eastAsia="lv-LV"/>
        </w:rPr>
        <w:t xml:space="preserve">pēc Krimināllikuma 177. panta trešās daļas </w:t>
      </w:r>
      <w:r w:rsidRPr="00A75170">
        <w:rPr>
          <w:rFonts w:cs="Times New Roman"/>
          <w:color w:val="000000"/>
          <w:szCs w:val="24"/>
          <w:lang w:eastAsia="lv-LV"/>
        </w:rPr>
        <w:t xml:space="preserve">un sodīt ar brīvības atņemšanu uz </w:t>
      </w:r>
      <w:r w:rsidR="00CF76FD">
        <w:rPr>
          <w:rFonts w:cs="Times New Roman"/>
          <w:color w:val="000000"/>
          <w:szCs w:val="24"/>
          <w:lang w:eastAsia="lv-LV"/>
        </w:rPr>
        <w:lastRenderedPageBreak/>
        <w:t>3 </w:t>
      </w:r>
      <w:r w:rsidRPr="00A75170">
        <w:rPr>
          <w:rFonts w:cs="Times New Roman"/>
          <w:color w:val="000000"/>
          <w:szCs w:val="24"/>
          <w:lang w:eastAsia="lv-LV"/>
        </w:rPr>
        <w:t>gadiem, piedzenot valsts labā no apsūdzētā</w:t>
      </w:r>
      <w:r w:rsidR="00CF76FD">
        <w:rPr>
          <w:rFonts w:cs="Times New Roman"/>
          <w:color w:val="000000"/>
          <w:szCs w:val="24"/>
          <w:lang w:eastAsia="lv-LV"/>
        </w:rPr>
        <w:t xml:space="preserve"> </w:t>
      </w:r>
      <w:r w:rsidRPr="00A75170">
        <w:rPr>
          <w:rFonts w:cs="Times New Roman"/>
          <w:color w:val="000000"/>
          <w:szCs w:val="24"/>
          <w:lang w:eastAsia="lv-LV"/>
        </w:rPr>
        <w:t xml:space="preserve">solidāri ar SIA mantiskā kaitējuma atlīdzību 2 544 781,83 </w:t>
      </w:r>
      <w:r w:rsidRPr="00A75170">
        <w:rPr>
          <w:rFonts w:cs="Times New Roman"/>
          <w:i/>
          <w:iCs/>
          <w:color w:val="000000"/>
          <w:szCs w:val="24"/>
          <w:lang w:eastAsia="lv-LV"/>
        </w:rPr>
        <w:t>euro</w:t>
      </w:r>
      <w:r w:rsidRPr="00A75170">
        <w:rPr>
          <w:rFonts w:cs="Times New Roman"/>
          <w:color w:val="000000"/>
          <w:szCs w:val="24"/>
          <w:lang w:eastAsia="lv-LV"/>
        </w:rPr>
        <w:t>. Atbilstoši Krimināllikuma 7</w:t>
      </w:r>
      <w:r w:rsidR="00CF76FD">
        <w:rPr>
          <w:rFonts w:cs="Times New Roman"/>
          <w:color w:val="000000"/>
          <w:szCs w:val="24"/>
          <w:lang w:eastAsia="lv-LV"/>
        </w:rPr>
        <w:t>0.</w:t>
      </w:r>
      <w:r w:rsidR="00CF76FD" w:rsidRPr="00CF76FD">
        <w:rPr>
          <w:rFonts w:cs="Times New Roman"/>
          <w:color w:val="000000"/>
          <w:szCs w:val="24"/>
          <w:vertAlign w:val="superscript"/>
          <w:lang w:eastAsia="lv-LV"/>
        </w:rPr>
        <w:t>3</w:t>
      </w:r>
      <w:r w:rsidR="00CF76FD">
        <w:rPr>
          <w:rFonts w:cs="Times New Roman"/>
          <w:color w:val="000000"/>
          <w:szCs w:val="24"/>
          <w:lang w:eastAsia="lv-LV"/>
        </w:rPr>
        <w:t> </w:t>
      </w:r>
      <w:r w:rsidRPr="00A75170">
        <w:rPr>
          <w:rFonts w:cs="Times New Roman"/>
          <w:color w:val="000000"/>
          <w:szCs w:val="24"/>
          <w:lang w:eastAsia="lv-LV"/>
        </w:rPr>
        <w:t>panta pirmajai daļai SIA piemērots piespiedu ietekmēšanas līdzeklis – likvidācija;</w:t>
      </w:r>
    </w:p>
    <w:p w14:paraId="18A083E9" w14:textId="19387EA2"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ņemot vērā, ka 03.07.2020. spriedums būtiski atšķīrās no </w:t>
      </w:r>
      <w:r w:rsidR="00CF76FD">
        <w:rPr>
          <w:rFonts w:cs="Times New Roman"/>
          <w:color w:val="000000"/>
          <w:szCs w:val="24"/>
          <w:lang w:eastAsia="lv-LV"/>
        </w:rPr>
        <w:t>prokurora</w:t>
      </w:r>
      <w:r w:rsidRPr="00A75170">
        <w:rPr>
          <w:rFonts w:cs="Times New Roman"/>
          <w:color w:val="000000"/>
          <w:szCs w:val="24"/>
          <w:lang w:eastAsia="lv-LV"/>
        </w:rPr>
        <w:t xml:space="preserve"> pozīcijas tiesā</w:t>
      </w:r>
      <w:r w:rsidR="00FA299C">
        <w:rPr>
          <w:rFonts w:cs="Times New Roman"/>
          <w:color w:val="000000"/>
          <w:szCs w:val="24"/>
          <w:lang w:eastAsia="lv-LV"/>
        </w:rPr>
        <w:t>, kā arī</w:t>
      </w:r>
      <w:r w:rsidRPr="00A75170">
        <w:rPr>
          <w:rFonts w:cs="Times New Roman"/>
          <w:color w:val="000000"/>
          <w:szCs w:val="24"/>
          <w:lang w:eastAsia="lv-LV"/>
        </w:rPr>
        <w:t xml:space="preserve"> sakarā ar tiesas neizlemto rīcību ar arestēto mantu un procesuālajiem izdevumiem</w:t>
      </w:r>
      <w:r w:rsidR="00CA4878">
        <w:rPr>
          <w:rFonts w:cs="Times New Roman"/>
          <w:color w:val="000000"/>
          <w:szCs w:val="24"/>
          <w:lang w:eastAsia="lv-LV"/>
        </w:rPr>
        <w:t xml:space="preserve"> </w:t>
      </w:r>
      <w:r w:rsidRPr="00A75170">
        <w:rPr>
          <w:rFonts w:cs="Times New Roman"/>
          <w:color w:val="000000"/>
          <w:szCs w:val="24"/>
          <w:lang w:eastAsia="lv-LV"/>
        </w:rPr>
        <w:t>03.08.2020. prokurors iesniedza apelācijas protestu</w:t>
      </w:r>
      <w:r w:rsidR="00CA4878">
        <w:rPr>
          <w:rFonts w:cs="Times New Roman"/>
          <w:color w:val="000000"/>
          <w:szCs w:val="24"/>
          <w:lang w:eastAsia="lv-LV"/>
        </w:rPr>
        <w:t>;</w:t>
      </w:r>
    </w:p>
    <w:p w14:paraId="251BE38F" w14:textId="371DF8CB" w:rsidR="00E51A5A" w:rsidRPr="00FA299C"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apelācijas instance</w:t>
      </w:r>
      <w:r w:rsidR="00CA4878">
        <w:rPr>
          <w:rFonts w:cs="Times New Roman"/>
          <w:color w:val="000000"/>
          <w:szCs w:val="24"/>
          <w:lang w:eastAsia="lv-LV"/>
        </w:rPr>
        <w:t>s tiesa</w:t>
      </w:r>
      <w:r w:rsidRPr="00A75170">
        <w:rPr>
          <w:rFonts w:cs="Times New Roman"/>
          <w:color w:val="000000"/>
          <w:szCs w:val="24"/>
          <w:lang w:eastAsia="lv-LV"/>
        </w:rPr>
        <w:t>:</w:t>
      </w:r>
      <w:r w:rsidR="00FA299C">
        <w:rPr>
          <w:rFonts w:cs="Times New Roman"/>
          <w:color w:val="000000"/>
          <w:szCs w:val="24"/>
          <w:lang w:eastAsia="lv-LV"/>
        </w:rPr>
        <w:t xml:space="preserve"> krimināl</w:t>
      </w:r>
      <w:r w:rsidRPr="00FA299C">
        <w:rPr>
          <w:rFonts w:cs="Times New Roman"/>
          <w:color w:val="000000"/>
          <w:szCs w:val="24"/>
          <w:lang w:eastAsia="lv-LV"/>
        </w:rPr>
        <w:t>lieta vēl nav izskatīta</w:t>
      </w:r>
      <w:r w:rsidR="00CA4878">
        <w:rPr>
          <w:rFonts w:cs="Times New Roman"/>
          <w:color w:val="000000"/>
          <w:szCs w:val="24"/>
          <w:lang w:eastAsia="lv-LV"/>
        </w:rPr>
        <w:t>;</w:t>
      </w:r>
    </w:p>
    <w:p w14:paraId="39F5AAEF" w14:textId="77777777" w:rsidR="00E51A5A" w:rsidRPr="00A75170" w:rsidRDefault="00E51A5A" w:rsidP="00A75170">
      <w:pPr>
        <w:pStyle w:val="ListParagraph"/>
        <w:spacing w:line="240" w:lineRule="auto"/>
        <w:ind w:left="0"/>
        <w:jc w:val="both"/>
        <w:rPr>
          <w:rFonts w:cs="Times New Roman"/>
          <w:color w:val="000000"/>
          <w:szCs w:val="24"/>
          <w:lang w:eastAsia="lv-LV"/>
        </w:rPr>
      </w:pPr>
    </w:p>
    <w:p w14:paraId="20AB5F54" w14:textId="61E4EF47" w:rsidR="00E51A5A" w:rsidRPr="00CA4878"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Nr. 15830010717 – vienas personas apsūdzībā pēc Krimināllikuma 218. panta otrās daļas, </w:t>
      </w:r>
      <w:r w:rsidRPr="00CA4878">
        <w:rPr>
          <w:rFonts w:cs="Times New Roman"/>
          <w:color w:val="000000"/>
          <w:szCs w:val="24"/>
          <w:lang w:eastAsia="lv-LV"/>
        </w:rPr>
        <w:t xml:space="preserve">nodarot kaitējumu 105 667,51 </w:t>
      </w:r>
      <w:r w:rsidRPr="00CA4878">
        <w:rPr>
          <w:rFonts w:cs="Times New Roman"/>
          <w:i/>
          <w:iCs/>
          <w:color w:val="000000"/>
          <w:szCs w:val="24"/>
          <w:lang w:eastAsia="lv-LV"/>
        </w:rPr>
        <w:t xml:space="preserve">euro </w:t>
      </w:r>
      <w:r w:rsidRPr="00CA4878">
        <w:rPr>
          <w:rFonts w:cs="Times New Roman"/>
          <w:color w:val="000000"/>
          <w:szCs w:val="24"/>
          <w:lang w:eastAsia="lv-LV"/>
        </w:rPr>
        <w:t>apmērā</w:t>
      </w:r>
      <w:r w:rsidR="00CA4878">
        <w:rPr>
          <w:rFonts w:cs="Times New Roman"/>
          <w:color w:val="000000"/>
          <w:szCs w:val="24"/>
          <w:lang w:eastAsia="lv-LV"/>
        </w:rPr>
        <w:t xml:space="preserve"> un</w:t>
      </w:r>
      <w:r w:rsidRPr="00CA4878">
        <w:rPr>
          <w:rFonts w:cs="Times New Roman"/>
          <w:color w:val="000000"/>
          <w:szCs w:val="24"/>
          <w:lang w:eastAsia="lv-LV"/>
        </w:rPr>
        <w:t xml:space="preserve"> to pilnībā atlīdzinot:</w:t>
      </w:r>
    </w:p>
    <w:p w14:paraId="6974DE73" w14:textId="0DC31352"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CA4878">
        <w:rPr>
          <w:rFonts w:cs="Times New Roman"/>
          <w:color w:val="000000"/>
          <w:szCs w:val="24"/>
          <w:lang w:eastAsia="lv-LV"/>
        </w:rPr>
        <w:t>s</w:t>
      </w:r>
      <w:r w:rsidRPr="00A75170">
        <w:rPr>
          <w:rFonts w:cs="Times New Roman"/>
          <w:color w:val="000000"/>
          <w:szCs w:val="24"/>
          <w:lang w:eastAsia="lv-LV"/>
        </w:rPr>
        <w:t xml:space="preserve"> instance</w:t>
      </w:r>
      <w:r w:rsidR="00CA4878">
        <w:rPr>
          <w:rFonts w:cs="Times New Roman"/>
          <w:color w:val="000000"/>
          <w:szCs w:val="24"/>
          <w:lang w:eastAsia="lv-LV"/>
        </w:rPr>
        <w:t>s tiesa</w:t>
      </w:r>
      <w:r w:rsidRPr="00A75170">
        <w:rPr>
          <w:rFonts w:cs="Times New Roman"/>
          <w:color w:val="000000"/>
          <w:szCs w:val="24"/>
          <w:lang w:eastAsia="lv-LV"/>
        </w:rPr>
        <w:t>:</w:t>
      </w:r>
    </w:p>
    <w:p w14:paraId="4386BFD0" w14:textId="06CBF10C" w:rsidR="00E51A5A" w:rsidRPr="00CA4878"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w:t>
      </w:r>
      <w:r w:rsidR="008764E1">
        <w:rPr>
          <w:rFonts w:cs="Times New Roman"/>
          <w:color w:val="000000"/>
          <w:szCs w:val="24"/>
          <w:lang w:eastAsia="lv-LV"/>
        </w:rPr>
        <w:t xml:space="preserve">lūdza tiesu </w:t>
      </w:r>
      <w:r w:rsidRPr="00A75170">
        <w:rPr>
          <w:rFonts w:cs="Times New Roman"/>
          <w:color w:val="000000"/>
          <w:szCs w:val="24"/>
          <w:lang w:eastAsia="lv-LV"/>
        </w:rPr>
        <w:t xml:space="preserve">apsūdzēto </w:t>
      </w:r>
      <w:r w:rsidR="008764E1">
        <w:rPr>
          <w:rFonts w:cs="Times New Roman"/>
          <w:color w:val="000000"/>
          <w:szCs w:val="24"/>
          <w:lang w:eastAsia="lv-LV"/>
        </w:rPr>
        <w:t xml:space="preserve">atzīt </w:t>
      </w:r>
      <w:r w:rsidRPr="00A75170">
        <w:rPr>
          <w:rFonts w:cs="Times New Roman"/>
          <w:color w:val="000000"/>
          <w:szCs w:val="24"/>
          <w:lang w:eastAsia="lv-LV"/>
        </w:rPr>
        <w:t xml:space="preserve">par vainīgu </w:t>
      </w:r>
      <w:r w:rsidR="008764E1">
        <w:rPr>
          <w:rFonts w:cs="Times New Roman"/>
          <w:color w:val="000000"/>
          <w:szCs w:val="24"/>
          <w:lang w:eastAsia="lv-LV"/>
        </w:rPr>
        <w:t xml:space="preserve">pēc </w:t>
      </w:r>
      <w:r w:rsidRPr="00A75170">
        <w:rPr>
          <w:rFonts w:cs="Times New Roman"/>
          <w:color w:val="000000"/>
          <w:szCs w:val="24"/>
          <w:lang w:eastAsia="lv-LV"/>
        </w:rPr>
        <w:t>Krimināllikuma 218. panta otrā</w:t>
      </w:r>
      <w:r w:rsidR="008764E1">
        <w:rPr>
          <w:rFonts w:cs="Times New Roman"/>
          <w:color w:val="000000"/>
          <w:szCs w:val="24"/>
          <w:lang w:eastAsia="lv-LV"/>
        </w:rPr>
        <w:t>s</w:t>
      </w:r>
      <w:r w:rsidRPr="00A75170">
        <w:rPr>
          <w:rFonts w:cs="Times New Roman"/>
          <w:color w:val="000000"/>
          <w:szCs w:val="24"/>
          <w:lang w:eastAsia="lv-LV"/>
        </w:rPr>
        <w:t xml:space="preserve"> daļ</w:t>
      </w:r>
      <w:r w:rsidR="008764E1">
        <w:rPr>
          <w:rFonts w:cs="Times New Roman"/>
          <w:color w:val="000000"/>
          <w:szCs w:val="24"/>
          <w:lang w:eastAsia="lv-LV"/>
        </w:rPr>
        <w:t>as</w:t>
      </w:r>
      <w:r w:rsidRPr="00A75170">
        <w:rPr>
          <w:rFonts w:cs="Times New Roman"/>
          <w:color w:val="000000"/>
          <w:szCs w:val="24"/>
          <w:lang w:eastAsia="lv-LV"/>
        </w:rPr>
        <w:t xml:space="preserve"> un sodīt ar brīvības atņemšanu uz </w:t>
      </w:r>
      <w:r w:rsidR="008764E1">
        <w:rPr>
          <w:rFonts w:cs="Times New Roman"/>
          <w:color w:val="000000"/>
          <w:szCs w:val="24"/>
          <w:lang w:eastAsia="lv-LV"/>
        </w:rPr>
        <w:t>10 </w:t>
      </w:r>
      <w:r w:rsidRPr="00A75170">
        <w:rPr>
          <w:rFonts w:cs="Times New Roman"/>
          <w:color w:val="000000"/>
          <w:szCs w:val="24"/>
          <w:lang w:eastAsia="lv-LV"/>
        </w:rPr>
        <w:t>mēnešiem, bez mantas konfiskācijas, aizlie</w:t>
      </w:r>
      <w:r w:rsidR="002667A3">
        <w:rPr>
          <w:rFonts w:cs="Times New Roman"/>
          <w:color w:val="000000"/>
          <w:szCs w:val="24"/>
          <w:lang w:eastAsia="lv-LV"/>
        </w:rPr>
        <w:t>dzot</w:t>
      </w:r>
      <w:r w:rsidRPr="00A75170">
        <w:rPr>
          <w:rFonts w:cs="Times New Roman"/>
          <w:color w:val="000000"/>
          <w:szCs w:val="24"/>
          <w:lang w:eastAsia="lv-LV"/>
        </w:rPr>
        <w:t xml:space="preserve"> ieņemt valdes locekļa amatu uz </w:t>
      </w:r>
      <w:r w:rsidR="008764E1">
        <w:rPr>
          <w:rFonts w:cs="Times New Roman"/>
          <w:color w:val="000000"/>
          <w:szCs w:val="24"/>
          <w:lang w:eastAsia="lv-LV"/>
        </w:rPr>
        <w:t>2 </w:t>
      </w:r>
      <w:r w:rsidRPr="00A75170">
        <w:rPr>
          <w:rFonts w:cs="Times New Roman"/>
          <w:color w:val="000000"/>
          <w:szCs w:val="24"/>
          <w:lang w:eastAsia="lv-LV"/>
        </w:rPr>
        <w:t>gadiem</w:t>
      </w:r>
      <w:r w:rsidR="008764E1">
        <w:rPr>
          <w:rFonts w:cs="Times New Roman"/>
          <w:color w:val="000000"/>
          <w:szCs w:val="24"/>
          <w:lang w:eastAsia="lv-LV"/>
        </w:rPr>
        <w:t xml:space="preserve">, piemērojot </w:t>
      </w:r>
      <w:r w:rsidRPr="00A75170">
        <w:rPr>
          <w:rFonts w:cs="Times New Roman"/>
          <w:color w:val="000000"/>
          <w:szCs w:val="24"/>
          <w:lang w:eastAsia="lv-LV"/>
        </w:rPr>
        <w:t>Krimināllikuma 55.</w:t>
      </w:r>
      <w:r w:rsidR="008764E1">
        <w:rPr>
          <w:rFonts w:cs="Times New Roman"/>
          <w:color w:val="000000"/>
          <w:szCs w:val="24"/>
          <w:lang w:eastAsia="lv-LV"/>
        </w:rPr>
        <w:t> </w:t>
      </w:r>
      <w:r w:rsidRPr="00A75170">
        <w:rPr>
          <w:rFonts w:cs="Times New Roman"/>
          <w:color w:val="000000"/>
          <w:szCs w:val="24"/>
          <w:lang w:eastAsia="lv-LV"/>
        </w:rPr>
        <w:t>pant</w:t>
      </w:r>
      <w:r w:rsidR="008764E1">
        <w:rPr>
          <w:rFonts w:cs="Times New Roman"/>
          <w:color w:val="000000"/>
          <w:szCs w:val="24"/>
          <w:lang w:eastAsia="lv-LV"/>
        </w:rPr>
        <w:t>u</w:t>
      </w:r>
      <w:r w:rsidRPr="00A75170">
        <w:rPr>
          <w:rFonts w:cs="Times New Roman"/>
          <w:color w:val="000000"/>
          <w:szCs w:val="24"/>
          <w:lang w:eastAsia="lv-LV"/>
        </w:rPr>
        <w:t xml:space="preserve">, brīvības atņemšanas sodu noteikt nosacīti ar pārbaudes </w:t>
      </w:r>
      <w:r w:rsidRPr="00CA4878">
        <w:rPr>
          <w:rFonts w:cs="Times New Roman"/>
          <w:color w:val="000000"/>
          <w:szCs w:val="24"/>
          <w:lang w:eastAsia="lv-LV"/>
        </w:rPr>
        <w:t xml:space="preserve">laiku uz </w:t>
      </w:r>
      <w:r w:rsidR="00C95F87">
        <w:rPr>
          <w:rFonts w:cs="Times New Roman"/>
          <w:color w:val="000000"/>
          <w:szCs w:val="24"/>
          <w:lang w:eastAsia="lv-LV"/>
        </w:rPr>
        <w:t>1 </w:t>
      </w:r>
      <w:r w:rsidRPr="00CA4878">
        <w:rPr>
          <w:rFonts w:cs="Times New Roman"/>
          <w:color w:val="000000"/>
          <w:szCs w:val="24"/>
          <w:lang w:eastAsia="lv-LV"/>
        </w:rPr>
        <w:t>gadu</w:t>
      </w:r>
      <w:r w:rsidR="00307876">
        <w:rPr>
          <w:rFonts w:cs="Times New Roman"/>
          <w:color w:val="000000"/>
          <w:szCs w:val="24"/>
          <w:lang w:eastAsia="lv-LV"/>
        </w:rPr>
        <w:t>, attiecībā pret</w:t>
      </w:r>
      <w:r w:rsidRPr="00CA4878">
        <w:rPr>
          <w:rFonts w:cs="Times New Roman"/>
          <w:color w:val="000000"/>
          <w:szCs w:val="24"/>
          <w:lang w:eastAsia="lv-LV"/>
        </w:rPr>
        <w:t xml:space="preserve"> SIA </w:t>
      </w:r>
      <w:r w:rsidR="003416BF">
        <w:rPr>
          <w:rFonts w:cs="Times New Roman"/>
          <w:color w:val="000000"/>
          <w:szCs w:val="24"/>
          <w:lang w:eastAsia="lv-LV"/>
        </w:rPr>
        <w:t xml:space="preserve">piemērot </w:t>
      </w:r>
      <w:r w:rsidRPr="00CA4878">
        <w:rPr>
          <w:rFonts w:cs="Times New Roman"/>
          <w:color w:val="000000"/>
          <w:szCs w:val="24"/>
          <w:lang w:eastAsia="lv-LV"/>
        </w:rPr>
        <w:t>piespiedu ietekmēšanas līdzekļu</w:t>
      </w:r>
      <w:r w:rsidR="00C95F87">
        <w:rPr>
          <w:rFonts w:cs="Times New Roman"/>
          <w:color w:val="000000"/>
          <w:szCs w:val="24"/>
          <w:lang w:eastAsia="lv-LV"/>
        </w:rPr>
        <w:t xml:space="preserve">s – </w:t>
      </w:r>
      <w:r w:rsidRPr="00CA4878">
        <w:rPr>
          <w:rFonts w:cs="Times New Roman"/>
          <w:color w:val="000000"/>
          <w:szCs w:val="24"/>
          <w:lang w:eastAsia="lv-LV"/>
        </w:rPr>
        <w:t>naudas piedziņu 20 minimāl</w:t>
      </w:r>
      <w:r w:rsidR="003416BF">
        <w:rPr>
          <w:rFonts w:cs="Times New Roman"/>
          <w:color w:val="000000"/>
          <w:szCs w:val="24"/>
          <w:lang w:eastAsia="lv-LV"/>
        </w:rPr>
        <w:t>o</w:t>
      </w:r>
      <w:r w:rsidRPr="00CA4878">
        <w:rPr>
          <w:rFonts w:cs="Times New Roman"/>
          <w:color w:val="000000"/>
          <w:szCs w:val="24"/>
          <w:lang w:eastAsia="lv-LV"/>
        </w:rPr>
        <w:t xml:space="preserve"> mēnešalg</w:t>
      </w:r>
      <w:r w:rsidR="003416BF">
        <w:rPr>
          <w:rFonts w:cs="Times New Roman"/>
          <w:color w:val="000000"/>
          <w:szCs w:val="24"/>
          <w:lang w:eastAsia="lv-LV"/>
        </w:rPr>
        <w:t>u</w:t>
      </w:r>
      <w:r w:rsidR="00C95F87">
        <w:rPr>
          <w:rFonts w:cs="Times New Roman"/>
          <w:color w:val="000000"/>
          <w:szCs w:val="24"/>
          <w:lang w:eastAsia="lv-LV"/>
        </w:rPr>
        <w:t xml:space="preserve"> apmērā</w:t>
      </w:r>
      <w:r w:rsidRPr="00CA4878">
        <w:rPr>
          <w:rFonts w:cs="Times New Roman"/>
          <w:color w:val="000000"/>
          <w:szCs w:val="24"/>
          <w:lang w:eastAsia="lv-LV"/>
        </w:rPr>
        <w:t xml:space="preserve"> un arestētās mantas</w:t>
      </w:r>
      <w:r w:rsidR="00C95F87">
        <w:rPr>
          <w:rFonts w:cs="Times New Roman"/>
          <w:color w:val="000000"/>
          <w:szCs w:val="24"/>
          <w:lang w:eastAsia="lv-LV"/>
        </w:rPr>
        <w:t xml:space="preserve"> – </w:t>
      </w:r>
      <w:r w:rsidRPr="00CA4878">
        <w:rPr>
          <w:rFonts w:cs="Times New Roman"/>
          <w:color w:val="000000"/>
          <w:szCs w:val="24"/>
          <w:lang w:eastAsia="lv-LV"/>
        </w:rPr>
        <w:t xml:space="preserve">transportlīdzekļa </w:t>
      </w:r>
      <w:proofErr w:type="spellStart"/>
      <w:r w:rsidRPr="00CA4878">
        <w:rPr>
          <w:rFonts w:cs="Times New Roman"/>
          <w:i/>
          <w:iCs/>
          <w:color w:val="000000"/>
          <w:szCs w:val="24"/>
          <w:lang w:eastAsia="lv-LV"/>
        </w:rPr>
        <w:t>Opel</w:t>
      </w:r>
      <w:proofErr w:type="spellEnd"/>
      <w:r w:rsidRPr="00CA4878">
        <w:rPr>
          <w:rFonts w:cs="Times New Roman"/>
          <w:i/>
          <w:iCs/>
          <w:color w:val="000000"/>
          <w:szCs w:val="24"/>
          <w:lang w:eastAsia="lv-LV"/>
        </w:rPr>
        <w:t xml:space="preserve"> Astra </w:t>
      </w:r>
      <w:proofErr w:type="spellStart"/>
      <w:r w:rsidRPr="00CA4878">
        <w:rPr>
          <w:rFonts w:cs="Times New Roman"/>
          <w:i/>
          <w:iCs/>
          <w:color w:val="000000"/>
          <w:szCs w:val="24"/>
          <w:lang w:eastAsia="lv-LV"/>
        </w:rPr>
        <w:t>Station</w:t>
      </w:r>
      <w:proofErr w:type="spellEnd"/>
      <w:r w:rsidRPr="00CA4878">
        <w:rPr>
          <w:rFonts w:cs="Times New Roman"/>
          <w:i/>
          <w:iCs/>
          <w:color w:val="000000"/>
          <w:szCs w:val="24"/>
          <w:lang w:eastAsia="lv-LV"/>
        </w:rPr>
        <w:t xml:space="preserve"> </w:t>
      </w:r>
      <w:proofErr w:type="spellStart"/>
      <w:r w:rsidRPr="00CA4878">
        <w:rPr>
          <w:rFonts w:cs="Times New Roman"/>
          <w:i/>
          <w:iCs/>
          <w:color w:val="000000"/>
          <w:szCs w:val="24"/>
          <w:lang w:eastAsia="lv-LV"/>
        </w:rPr>
        <w:t>Wagon</w:t>
      </w:r>
      <w:proofErr w:type="spellEnd"/>
      <w:r w:rsidRPr="00CA4878">
        <w:rPr>
          <w:rFonts w:cs="Times New Roman"/>
          <w:color w:val="000000"/>
          <w:szCs w:val="24"/>
          <w:lang w:eastAsia="lv-LV"/>
        </w:rPr>
        <w:t xml:space="preserve"> – konfiskāciju;</w:t>
      </w:r>
    </w:p>
    <w:p w14:paraId="237966D5" w14:textId="303AFD42" w:rsidR="00E51A5A" w:rsidRPr="00CA4878" w:rsidRDefault="00EF0167" w:rsidP="00E329FC">
      <w:pPr>
        <w:pStyle w:val="ListParagraph"/>
        <w:numPr>
          <w:ilvl w:val="2"/>
          <w:numId w:val="55"/>
        </w:numPr>
        <w:spacing w:line="240" w:lineRule="auto"/>
        <w:jc w:val="both"/>
        <w:rPr>
          <w:rFonts w:cs="Times New Roman"/>
          <w:color w:val="000000"/>
          <w:szCs w:val="24"/>
          <w:lang w:eastAsia="lv-LV"/>
        </w:rPr>
      </w:pPr>
      <w:r w:rsidRPr="00CA4878">
        <w:rPr>
          <w:rFonts w:cs="Times New Roman"/>
          <w:color w:val="000000"/>
          <w:szCs w:val="24"/>
          <w:lang w:eastAsia="lv-LV"/>
        </w:rPr>
        <w:t xml:space="preserve">09.11.2020. </w:t>
      </w:r>
      <w:r w:rsidR="00E51A5A" w:rsidRPr="00CA4878">
        <w:rPr>
          <w:rFonts w:cs="Times New Roman"/>
          <w:color w:val="000000"/>
          <w:szCs w:val="24"/>
          <w:lang w:eastAsia="lv-LV"/>
        </w:rPr>
        <w:t>Rīgas pilsētas Vidzemes priekšpilsētas tiesa</w:t>
      </w:r>
      <w:r>
        <w:rPr>
          <w:rFonts w:cs="Times New Roman"/>
          <w:color w:val="000000"/>
          <w:szCs w:val="24"/>
          <w:lang w:eastAsia="lv-LV"/>
        </w:rPr>
        <w:t xml:space="preserve"> nosprieda </w:t>
      </w:r>
      <w:r w:rsidR="00E51A5A" w:rsidRPr="00CA4878">
        <w:rPr>
          <w:rFonts w:cs="Times New Roman"/>
          <w:color w:val="000000"/>
          <w:szCs w:val="24"/>
          <w:lang w:eastAsia="lv-LV"/>
        </w:rPr>
        <w:t>apsūdzēt</w:t>
      </w:r>
      <w:r>
        <w:rPr>
          <w:rFonts w:cs="Times New Roman"/>
          <w:color w:val="000000"/>
          <w:szCs w:val="24"/>
          <w:lang w:eastAsia="lv-LV"/>
        </w:rPr>
        <w:t>o</w:t>
      </w:r>
      <w:r w:rsidR="00E51A5A" w:rsidRPr="00CA4878">
        <w:rPr>
          <w:rFonts w:cs="Times New Roman"/>
          <w:color w:val="000000"/>
          <w:szCs w:val="24"/>
          <w:lang w:eastAsia="lv-LV"/>
        </w:rPr>
        <w:t xml:space="preserve"> atzīt par vainīgu pēc Krimināllikuma 218.</w:t>
      </w:r>
      <w:r>
        <w:rPr>
          <w:rFonts w:cs="Times New Roman"/>
          <w:color w:val="000000"/>
          <w:szCs w:val="24"/>
          <w:lang w:eastAsia="lv-LV"/>
        </w:rPr>
        <w:t> </w:t>
      </w:r>
      <w:r w:rsidR="00E51A5A" w:rsidRPr="00CA4878">
        <w:rPr>
          <w:rFonts w:cs="Times New Roman"/>
          <w:color w:val="000000"/>
          <w:szCs w:val="24"/>
          <w:lang w:eastAsia="lv-LV"/>
        </w:rPr>
        <w:t xml:space="preserve">panta otrās daļas un sodīt ar brīvības atņemšanu uz </w:t>
      </w:r>
      <w:r>
        <w:rPr>
          <w:rFonts w:cs="Times New Roman"/>
          <w:color w:val="000000"/>
          <w:szCs w:val="24"/>
          <w:lang w:eastAsia="lv-LV"/>
        </w:rPr>
        <w:t>10 </w:t>
      </w:r>
      <w:r w:rsidR="00E51A5A" w:rsidRPr="00CA4878">
        <w:rPr>
          <w:rFonts w:cs="Times New Roman"/>
          <w:color w:val="000000"/>
          <w:szCs w:val="24"/>
          <w:lang w:eastAsia="lv-LV"/>
        </w:rPr>
        <w:t>mēnešiem, bez mantas konfiskācijas,</w:t>
      </w:r>
      <w:r w:rsidR="00AE6C69">
        <w:rPr>
          <w:rFonts w:cs="Times New Roman"/>
          <w:color w:val="000000"/>
          <w:szCs w:val="24"/>
          <w:lang w:eastAsia="lv-LV"/>
        </w:rPr>
        <w:t xml:space="preserve"> </w:t>
      </w:r>
      <w:r w:rsidR="00E51A5A" w:rsidRPr="00CA4878">
        <w:rPr>
          <w:rFonts w:cs="Times New Roman"/>
          <w:color w:val="000000"/>
          <w:szCs w:val="24"/>
          <w:lang w:eastAsia="lv-LV"/>
        </w:rPr>
        <w:t>aizlie</w:t>
      </w:r>
      <w:r w:rsidR="00AE6C69">
        <w:rPr>
          <w:rFonts w:cs="Times New Roman"/>
          <w:color w:val="000000"/>
          <w:szCs w:val="24"/>
          <w:lang w:eastAsia="lv-LV"/>
        </w:rPr>
        <w:t>dzot</w:t>
      </w:r>
      <w:r w:rsidR="00E51A5A" w:rsidRPr="00CA4878">
        <w:rPr>
          <w:rFonts w:cs="Times New Roman"/>
          <w:color w:val="000000"/>
          <w:szCs w:val="24"/>
          <w:lang w:eastAsia="lv-LV"/>
        </w:rPr>
        <w:t xml:space="preserve"> ieņemt valdes locekļa amatu uz </w:t>
      </w:r>
      <w:r>
        <w:rPr>
          <w:rFonts w:cs="Times New Roman"/>
          <w:color w:val="000000"/>
          <w:szCs w:val="24"/>
          <w:lang w:eastAsia="lv-LV"/>
        </w:rPr>
        <w:t xml:space="preserve">2 </w:t>
      </w:r>
      <w:r w:rsidR="00E51A5A" w:rsidRPr="00CA4878">
        <w:rPr>
          <w:rFonts w:cs="Times New Roman"/>
          <w:color w:val="000000"/>
          <w:szCs w:val="24"/>
          <w:lang w:eastAsia="lv-LV"/>
        </w:rPr>
        <w:t>gadiem</w:t>
      </w:r>
      <w:r w:rsidR="002667A3">
        <w:rPr>
          <w:rFonts w:cs="Times New Roman"/>
          <w:color w:val="000000"/>
          <w:szCs w:val="24"/>
          <w:lang w:eastAsia="lv-LV"/>
        </w:rPr>
        <w:t xml:space="preserve">. Saskaņā ar </w:t>
      </w:r>
      <w:r w:rsidR="00E51A5A" w:rsidRPr="00CA4878">
        <w:rPr>
          <w:rFonts w:cs="Times New Roman"/>
          <w:color w:val="000000"/>
          <w:szCs w:val="24"/>
          <w:lang w:eastAsia="lv-LV"/>
        </w:rPr>
        <w:t>Krimināllikuma 55. pant</w:t>
      </w:r>
      <w:r w:rsidR="002667A3">
        <w:rPr>
          <w:rFonts w:cs="Times New Roman"/>
          <w:color w:val="000000"/>
          <w:szCs w:val="24"/>
          <w:lang w:eastAsia="lv-LV"/>
        </w:rPr>
        <w:t xml:space="preserve">u </w:t>
      </w:r>
      <w:r w:rsidR="00E51A5A" w:rsidRPr="00CA4878">
        <w:rPr>
          <w:rFonts w:cs="Times New Roman"/>
          <w:color w:val="000000"/>
          <w:szCs w:val="24"/>
          <w:lang w:eastAsia="lv-LV"/>
        </w:rPr>
        <w:t>brīvības atņemšanas sod</w:t>
      </w:r>
      <w:r w:rsidR="00AE6C69">
        <w:rPr>
          <w:rFonts w:cs="Times New Roman"/>
          <w:color w:val="000000"/>
          <w:szCs w:val="24"/>
          <w:lang w:eastAsia="lv-LV"/>
        </w:rPr>
        <w:t>s</w:t>
      </w:r>
      <w:r w:rsidR="00E51A5A" w:rsidRPr="00CA4878">
        <w:rPr>
          <w:rFonts w:cs="Times New Roman"/>
          <w:color w:val="000000"/>
          <w:szCs w:val="24"/>
          <w:lang w:eastAsia="lv-LV"/>
        </w:rPr>
        <w:t xml:space="preserve"> noteikt</w:t>
      </w:r>
      <w:r w:rsidR="002667A3">
        <w:rPr>
          <w:rFonts w:cs="Times New Roman"/>
          <w:color w:val="000000"/>
          <w:szCs w:val="24"/>
          <w:lang w:eastAsia="lv-LV"/>
        </w:rPr>
        <w:t>s</w:t>
      </w:r>
      <w:r w:rsidR="00E51A5A" w:rsidRPr="00CA4878">
        <w:rPr>
          <w:rFonts w:cs="Times New Roman"/>
          <w:color w:val="000000"/>
          <w:szCs w:val="24"/>
          <w:lang w:eastAsia="lv-LV"/>
        </w:rPr>
        <w:t xml:space="preserve"> nosacīti ar pārbaudes laiku uz </w:t>
      </w:r>
      <w:r w:rsidR="002667A3">
        <w:rPr>
          <w:rFonts w:cs="Times New Roman"/>
          <w:color w:val="000000"/>
          <w:szCs w:val="24"/>
          <w:lang w:eastAsia="lv-LV"/>
        </w:rPr>
        <w:t>1 </w:t>
      </w:r>
      <w:r w:rsidR="00E51A5A" w:rsidRPr="00CA4878">
        <w:rPr>
          <w:rFonts w:cs="Times New Roman"/>
          <w:color w:val="000000"/>
          <w:szCs w:val="24"/>
          <w:lang w:eastAsia="lv-LV"/>
        </w:rPr>
        <w:t>gadu. Vienlaikus</w:t>
      </w:r>
      <w:r w:rsidR="00AE6C69">
        <w:rPr>
          <w:rFonts w:cs="Times New Roman"/>
          <w:color w:val="000000"/>
          <w:szCs w:val="24"/>
          <w:lang w:eastAsia="lv-LV"/>
        </w:rPr>
        <w:t xml:space="preserve"> </w:t>
      </w:r>
      <w:r w:rsidR="00E51A5A" w:rsidRPr="00CA4878">
        <w:rPr>
          <w:rFonts w:cs="Times New Roman"/>
          <w:color w:val="000000"/>
          <w:szCs w:val="24"/>
          <w:lang w:eastAsia="lv-LV"/>
        </w:rPr>
        <w:t xml:space="preserve"> spriedum</w:t>
      </w:r>
      <w:r w:rsidR="00AE6C69">
        <w:rPr>
          <w:rFonts w:cs="Times New Roman"/>
          <w:color w:val="000000"/>
          <w:szCs w:val="24"/>
          <w:lang w:eastAsia="lv-LV"/>
        </w:rPr>
        <w:t>ā</w:t>
      </w:r>
      <w:r w:rsidR="00E51A5A" w:rsidRPr="00CA4878">
        <w:rPr>
          <w:rFonts w:cs="Times New Roman"/>
          <w:color w:val="000000"/>
          <w:szCs w:val="24"/>
          <w:lang w:eastAsia="lv-LV"/>
        </w:rPr>
        <w:t xml:space="preserve"> nolemts</w:t>
      </w:r>
      <w:r w:rsidR="00AE6C69">
        <w:rPr>
          <w:rFonts w:cs="Times New Roman"/>
          <w:color w:val="000000"/>
          <w:szCs w:val="24"/>
          <w:lang w:eastAsia="lv-LV"/>
        </w:rPr>
        <w:t xml:space="preserve"> </w:t>
      </w:r>
      <w:r w:rsidR="009E6250">
        <w:rPr>
          <w:rFonts w:cs="Times New Roman"/>
          <w:color w:val="000000"/>
          <w:szCs w:val="24"/>
          <w:lang w:eastAsia="lv-LV"/>
        </w:rPr>
        <w:t xml:space="preserve">attiecībā pret SIA </w:t>
      </w:r>
      <w:r w:rsidR="00AE6C69">
        <w:rPr>
          <w:rFonts w:cs="Times New Roman"/>
          <w:color w:val="000000"/>
          <w:szCs w:val="24"/>
          <w:lang w:eastAsia="lv-LV"/>
        </w:rPr>
        <w:t>piemērot</w:t>
      </w:r>
      <w:r w:rsidR="009E6250">
        <w:rPr>
          <w:rFonts w:cs="Times New Roman"/>
          <w:color w:val="000000"/>
          <w:szCs w:val="24"/>
          <w:lang w:eastAsia="lv-LV"/>
        </w:rPr>
        <w:t xml:space="preserve"> </w:t>
      </w:r>
      <w:r w:rsidR="00E51A5A" w:rsidRPr="00CA4878">
        <w:rPr>
          <w:rFonts w:cs="Times New Roman"/>
          <w:color w:val="000000"/>
          <w:szCs w:val="24"/>
          <w:lang w:eastAsia="lv-LV"/>
        </w:rPr>
        <w:t>piespiedu ietekmēšanas līdzekli</w:t>
      </w:r>
      <w:r w:rsidR="0004026B">
        <w:rPr>
          <w:rFonts w:cs="Times New Roman"/>
          <w:color w:val="000000"/>
          <w:szCs w:val="24"/>
          <w:lang w:eastAsia="lv-LV"/>
        </w:rPr>
        <w:t xml:space="preserve"> – naudas piedziņu 10 </w:t>
      </w:r>
      <w:r w:rsidR="00E51A5A" w:rsidRPr="00CA4878">
        <w:rPr>
          <w:rFonts w:cs="Times New Roman"/>
          <w:color w:val="000000"/>
          <w:szCs w:val="24"/>
          <w:lang w:eastAsia="lv-LV"/>
        </w:rPr>
        <w:t xml:space="preserve"> minimālo mēnešalgu apmērā</w:t>
      </w:r>
      <w:r w:rsidR="00454C3C">
        <w:rPr>
          <w:rFonts w:cs="Times New Roman"/>
          <w:color w:val="000000"/>
          <w:szCs w:val="24"/>
          <w:lang w:eastAsia="lv-LV"/>
        </w:rPr>
        <w:t xml:space="preserve"> –</w:t>
      </w:r>
      <w:r w:rsidR="00E51A5A" w:rsidRPr="00CA4878">
        <w:rPr>
          <w:rFonts w:cs="Times New Roman"/>
          <w:color w:val="000000"/>
          <w:szCs w:val="24"/>
          <w:lang w:eastAsia="lv-LV"/>
        </w:rPr>
        <w:t xml:space="preserve">, kas atbilst 4300 </w:t>
      </w:r>
      <w:r w:rsidR="0004026B" w:rsidRPr="0004026B">
        <w:rPr>
          <w:rFonts w:cs="Times New Roman"/>
          <w:i/>
          <w:iCs/>
          <w:color w:val="000000"/>
          <w:szCs w:val="24"/>
          <w:lang w:eastAsia="lv-LV"/>
        </w:rPr>
        <w:t>euro</w:t>
      </w:r>
      <w:r w:rsidR="00E51A5A" w:rsidRPr="00CA4878">
        <w:rPr>
          <w:rFonts w:cs="Times New Roman"/>
          <w:color w:val="000000"/>
          <w:szCs w:val="24"/>
          <w:lang w:eastAsia="lv-LV"/>
        </w:rPr>
        <w:t xml:space="preserve">. </w:t>
      </w:r>
    </w:p>
    <w:p w14:paraId="036AABCF" w14:textId="2A0C26D6"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CA4878">
        <w:rPr>
          <w:rFonts w:cs="Times New Roman"/>
          <w:color w:val="000000"/>
          <w:szCs w:val="24"/>
          <w:lang w:eastAsia="lv-LV"/>
        </w:rPr>
        <w:t>prokurors, sniedzot viedokli par juridiskajai personai piemēroto piespiedu ietekmēšanas līdzekli, norādīja, ka šajā daļā spriedums ir ne</w:t>
      </w:r>
      <w:r w:rsidR="00454C3C">
        <w:rPr>
          <w:rFonts w:cs="Times New Roman"/>
          <w:color w:val="000000"/>
          <w:szCs w:val="24"/>
          <w:lang w:eastAsia="lv-LV"/>
        </w:rPr>
        <w:t>likumīgs</w:t>
      </w:r>
      <w:r w:rsidRPr="00CA4878">
        <w:rPr>
          <w:rFonts w:cs="Times New Roman"/>
          <w:color w:val="000000"/>
          <w:szCs w:val="24"/>
          <w:lang w:eastAsia="lv-LV"/>
        </w:rPr>
        <w:t xml:space="preserve">, jo </w:t>
      </w:r>
      <w:r w:rsidR="00454C3C">
        <w:rPr>
          <w:rFonts w:cs="Times New Roman"/>
          <w:color w:val="000000"/>
          <w:szCs w:val="24"/>
          <w:lang w:eastAsia="lv-LV"/>
        </w:rPr>
        <w:t xml:space="preserve">tiesa nav </w:t>
      </w:r>
      <w:r w:rsidRPr="00CA4878">
        <w:rPr>
          <w:rFonts w:cs="Times New Roman"/>
          <w:color w:val="000000"/>
          <w:szCs w:val="24"/>
          <w:lang w:eastAsia="lv-LV"/>
        </w:rPr>
        <w:t>ievēroj</w:t>
      </w:r>
      <w:r w:rsidR="00454C3C">
        <w:rPr>
          <w:rFonts w:cs="Times New Roman"/>
          <w:color w:val="000000"/>
          <w:szCs w:val="24"/>
          <w:lang w:eastAsia="lv-LV"/>
        </w:rPr>
        <w:t>usi</w:t>
      </w:r>
      <w:r w:rsidRPr="00CA4878">
        <w:rPr>
          <w:rFonts w:cs="Times New Roman"/>
          <w:color w:val="000000"/>
          <w:szCs w:val="24"/>
          <w:lang w:eastAsia="lv-LV"/>
        </w:rPr>
        <w:t xml:space="preserve"> Krimināllikuma 70.</w:t>
      </w:r>
      <w:r w:rsidRPr="00CA4878">
        <w:rPr>
          <w:rFonts w:cs="Times New Roman"/>
          <w:color w:val="000000"/>
          <w:szCs w:val="24"/>
          <w:vertAlign w:val="superscript"/>
          <w:lang w:eastAsia="lv-LV"/>
        </w:rPr>
        <w:t>6</w:t>
      </w:r>
      <w:r w:rsidR="00454C3C">
        <w:rPr>
          <w:rFonts w:cs="Times New Roman"/>
          <w:color w:val="000000"/>
          <w:szCs w:val="24"/>
          <w:lang w:eastAsia="lv-LV"/>
        </w:rPr>
        <w:t> </w:t>
      </w:r>
      <w:r w:rsidRPr="00CA4878">
        <w:rPr>
          <w:rFonts w:cs="Times New Roman"/>
          <w:color w:val="000000"/>
          <w:szCs w:val="24"/>
          <w:lang w:eastAsia="lv-LV"/>
        </w:rPr>
        <w:t>pantā noteikto, ka</w:t>
      </w:r>
      <w:r w:rsidR="00621DDF">
        <w:rPr>
          <w:rFonts w:cs="Times New Roman"/>
          <w:color w:val="000000"/>
          <w:szCs w:val="24"/>
          <w:lang w:eastAsia="lv-LV"/>
        </w:rPr>
        <w:t xml:space="preserve"> par smagu noziegumu juridiskajai personai nauda</w:t>
      </w:r>
      <w:r w:rsidR="007217BC">
        <w:rPr>
          <w:rFonts w:cs="Times New Roman"/>
          <w:color w:val="000000"/>
          <w:szCs w:val="24"/>
          <w:lang w:eastAsia="lv-LV"/>
        </w:rPr>
        <w:t>s</w:t>
      </w:r>
      <w:r w:rsidR="00621DDF">
        <w:rPr>
          <w:rFonts w:cs="Times New Roman"/>
          <w:color w:val="000000"/>
          <w:szCs w:val="24"/>
          <w:lang w:eastAsia="lv-LV"/>
        </w:rPr>
        <w:t xml:space="preserve"> piedziņa</w:t>
      </w:r>
      <w:r w:rsidR="007217BC">
        <w:rPr>
          <w:rFonts w:cs="Times New Roman"/>
          <w:color w:val="000000"/>
          <w:szCs w:val="24"/>
          <w:lang w:eastAsia="lv-LV"/>
        </w:rPr>
        <w:t xml:space="preserve"> nosakāma, </w:t>
      </w:r>
      <w:r w:rsidRPr="00CA4878">
        <w:rPr>
          <w:rFonts w:cs="Times New Roman"/>
          <w:color w:val="000000"/>
          <w:szCs w:val="24"/>
          <w:lang w:eastAsia="lv-LV"/>
        </w:rPr>
        <w:t xml:space="preserve">sākot no </w:t>
      </w:r>
      <w:r w:rsidR="00D071E8">
        <w:rPr>
          <w:rFonts w:cs="Times New Roman"/>
          <w:color w:val="000000"/>
          <w:szCs w:val="24"/>
          <w:lang w:eastAsia="lv-LV"/>
        </w:rPr>
        <w:t>20 </w:t>
      </w:r>
      <w:r w:rsidRPr="00CA4878">
        <w:rPr>
          <w:rFonts w:cs="Times New Roman"/>
          <w:color w:val="000000"/>
          <w:szCs w:val="24"/>
          <w:lang w:eastAsia="lv-LV"/>
        </w:rPr>
        <w:t>minimālajām mēnešalgām, un 04.</w:t>
      </w:r>
      <w:r w:rsidRPr="00A75170">
        <w:rPr>
          <w:rFonts w:cs="Times New Roman"/>
          <w:color w:val="000000"/>
          <w:szCs w:val="24"/>
          <w:lang w:eastAsia="lv-LV"/>
        </w:rPr>
        <w:t>02.2021.</w:t>
      </w:r>
      <w:r w:rsidR="00D071E8">
        <w:rPr>
          <w:rFonts w:cs="Times New Roman"/>
          <w:color w:val="000000"/>
          <w:szCs w:val="24"/>
          <w:lang w:eastAsia="lv-LV"/>
        </w:rPr>
        <w:t> šajā daļā</w:t>
      </w:r>
      <w:r w:rsidRPr="00A75170">
        <w:rPr>
          <w:rFonts w:cs="Times New Roman"/>
          <w:color w:val="000000"/>
          <w:szCs w:val="24"/>
          <w:lang w:eastAsia="lv-LV"/>
        </w:rPr>
        <w:t xml:space="preserve"> iesniedza apelācijas protestu; </w:t>
      </w:r>
    </w:p>
    <w:p w14:paraId="2E4DE10B" w14:textId="77777777" w:rsidR="00E51A5A" w:rsidRPr="00A75170" w:rsidRDefault="00E51A5A" w:rsidP="00A75170">
      <w:pPr>
        <w:pStyle w:val="ListParagraph"/>
        <w:spacing w:line="240" w:lineRule="auto"/>
        <w:ind w:left="0"/>
        <w:jc w:val="both"/>
        <w:rPr>
          <w:rFonts w:cs="Times New Roman"/>
          <w:color w:val="000000"/>
          <w:szCs w:val="24"/>
          <w:lang w:eastAsia="lv-LV"/>
        </w:rPr>
      </w:pPr>
    </w:p>
    <w:p w14:paraId="7CBF295A" w14:textId="3EE5B2E9"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Nr. 15840016818 – vienas personas apsūdzībā pēc Krimināllikuma 218. panta otrās daļas, nodarot kaitējumu 25 813,16 </w:t>
      </w:r>
      <w:r w:rsidRPr="00A75170">
        <w:rPr>
          <w:rFonts w:cs="Times New Roman"/>
          <w:i/>
          <w:iCs/>
          <w:color w:val="000000"/>
          <w:szCs w:val="24"/>
          <w:lang w:eastAsia="lv-LV"/>
        </w:rPr>
        <w:t>euro</w:t>
      </w:r>
      <w:r w:rsidR="00D071E8">
        <w:rPr>
          <w:rFonts w:cs="Times New Roman"/>
          <w:color w:val="000000"/>
          <w:szCs w:val="24"/>
          <w:lang w:eastAsia="lv-LV"/>
        </w:rPr>
        <w:t xml:space="preserve"> un </w:t>
      </w:r>
      <w:r w:rsidRPr="00A75170">
        <w:rPr>
          <w:rFonts w:cs="Times New Roman"/>
          <w:color w:val="000000"/>
          <w:szCs w:val="24"/>
          <w:lang w:eastAsia="lv-LV"/>
        </w:rPr>
        <w:t>to neatlīdzinot:</w:t>
      </w:r>
    </w:p>
    <w:p w14:paraId="4CA2510A" w14:textId="6CD5C44D"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D071E8">
        <w:rPr>
          <w:rFonts w:cs="Times New Roman"/>
          <w:color w:val="000000"/>
          <w:szCs w:val="24"/>
          <w:lang w:eastAsia="lv-LV"/>
        </w:rPr>
        <w:t>s</w:t>
      </w:r>
      <w:r w:rsidRPr="00A75170">
        <w:rPr>
          <w:rFonts w:cs="Times New Roman"/>
          <w:color w:val="000000"/>
          <w:szCs w:val="24"/>
          <w:lang w:eastAsia="lv-LV"/>
        </w:rPr>
        <w:t xml:space="preserve"> instance</w:t>
      </w:r>
      <w:r w:rsidR="00D071E8">
        <w:rPr>
          <w:rFonts w:cs="Times New Roman"/>
          <w:color w:val="000000"/>
          <w:szCs w:val="24"/>
          <w:lang w:eastAsia="lv-LV"/>
        </w:rPr>
        <w:t>s tiesa</w:t>
      </w:r>
      <w:r w:rsidRPr="00A75170">
        <w:rPr>
          <w:rFonts w:cs="Times New Roman"/>
          <w:color w:val="000000"/>
          <w:szCs w:val="24"/>
          <w:lang w:eastAsia="lv-LV"/>
        </w:rPr>
        <w:t>:</w:t>
      </w:r>
    </w:p>
    <w:p w14:paraId="0A0BC37A" w14:textId="018EE12E"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prokurors lūdza </w:t>
      </w:r>
      <w:r w:rsidR="004753EF">
        <w:rPr>
          <w:rFonts w:cs="Times New Roman"/>
          <w:color w:val="000000"/>
          <w:szCs w:val="24"/>
          <w:lang w:eastAsia="lv-LV"/>
        </w:rPr>
        <w:t xml:space="preserve">tiesu apsūdzēto atzīt par vainīgu pēc Krimināllikuma 218. panta otrās daļas un </w:t>
      </w:r>
      <w:r w:rsidRPr="00A75170">
        <w:rPr>
          <w:rFonts w:cs="Times New Roman"/>
          <w:color w:val="000000"/>
          <w:szCs w:val="24"/>
          <w:lang w:eastAsia="lv-LV"/>
        </w:rPr>
        <w:t>sodīt ar piespiedu darbu uz 160</w:t>
      </w:r>
      <w:r w:rsidR="004753EF">
        <w:rPr>
          <w:rFonts w:cs="Times New Roman"/>
          <w:color w:val="000000"/>
          <w:szCs w:val="24"/>
          <w:lang w:eastAsia="lv-LV"/>
        </w:rPr>
        <w:t> </w:t>
      </w:r>
      <w:r w:rsidRPr="00A75170">
        <w:rPr>
          <w:rFonts w:cs="Times New Roman"/>
          <w:color w:val="000000"/>
          <w:szCs w:val="24"/>
          <w:lang w:eastAsia="lv-LV"/>
        </w:rPr>
        <w:t>stundām, atņemot tiesības</w:t>
      </w:r>
      <w:r w:rsidR="004753EF">
        <w:rPr>
          <w:rFonts w:cs="Times New Roman"/>
          <w:color w:val="000000"/>
          <w:szCs w:val="24"/>
          <w:lang w:eastAsia="lv-LV"/>
        </w:rPr>
        <w:t xml:space="preserve"> </w:t>
      </w:r>
      <w:r w:rsidRPr="00A75170">
        <w:rPr>
          <w:rFonts w:cs="Times New Roman"/>
          <w:color w:val="000000"/>
          <w:szCs w:val="24"/>
          <w:lang w:eastAsia="lv-LV"/>
        </w:rPr>
        <w:t>ieņemt valdes locekļa amatu kapitālsabiedrībās</w:t>
      </w:r>
      <w:r w:rsidR="004753EF">
        <w:rPr>
          <w:rFonts w:cs="Times New Roman"/>
          <w:color w:val="000000"/>
          <w:szCs w:val="24"/>
          <w:lang w:eastAsia="lv-LV"/>
        </w:rPr>
        <w:t xml:space="preserve"> uz 3 gadiem</w:t>
      </w:r>
      <w:r w:rsidRPr="00A75170">
        <w:rPr>
          <w:rFonts w:cs="Times New Roman"/>
          <w:color w:val="000000"/>
          <w:szCs w:val="24"/>
          <w:lang w:eastAsia="lv-LV"/>
        </w:rPr>
        <w:t>. Prokurors soda veida izvēli pamatoja ar: 1) noziedzīga nodarījuma raksturu – smags noziegums, izdarīts ilgā laika posmā, parāds pieaudzis vienmērīgi</w:t>
      </w:r>
      <w:r w:rsidR="008D19B1">
        <w:rPr>
          <w:rFonts w:cs="Times New Roman"/>
          <w:color w:val="000000"/>
          <w:szCs w:val="24"/>
          <w:lang w:eastAsia="lv-LV"/>
        </w:rPr>
        <w:t xml:space="preserve">, </w:t>
      </w:r>
      <w:r w:rsidRPr="00A75170">
        <w:rPr>
          <w:rFonts w:cs="Times New Roman"/>
          <w:color w:val="000000"/>
          <w:szCs w:val="24"/>
          <w:lang w:eastAsia="lv-LV"/>
        </w:rPr>
        <w:t>2017. gadā uzņēmums pārtraucis saimniecisko darbību</w:t>
      </w:r>
      <w:r w:rsidR="008D19B1">
        <w:rPr>
          <w:rFonts w:cs="Times New Roman"/>
          <w:color w:val="000000"/>
          <w:szCs w:val="24"/>
          <w:lang w:eastAsia="lv-LV"/>
        </w:rPr>
        <w:t>, i</w:t>
      </w:r>
      <w:r w:rsidRPr="00A75170">
        <w:rPr>
          <w:rFonts w:cs="Times New Roman"/>
          <w:color w:val="000000"/>
          <w:szCs w:val="24"/>
          <w:lang w:eastAsia="lv-LV"/>
        </w:rPr>
        <w:t>zmeklēšanas laikā nav noskaidrots uzņēmuma izšķērdēto līdzekļu faktiskais izlietojums</w:t>
      </w:r>
      <w:r w:rsidR="008D19B1">
        <w:rPr>
          <w:rFonts w:cs="Times New Roman"/>
          <w:color w:val="000000"/>
          <w:szCs w:val="24"/>
          <w:lang w:eastAsia="lv-LV"/>
        </w:rPr>
        <w:t>;</w:t>
      </w:r>
      <w:r w:rsidRPr="00A75170">
        <w:rPr>
          <w:rFonts w:cs="Times New Roman"/>
          <w:color w:val="000000"/>
          <w:szCs w:val="24"/>
          <w:lang w:eastAsia="lv-LV"/>
        </w:rPr>
        <w:t xml:space="preserve"> 2) ar </w:t>
      </w:r>
      <w:r w:rsidR="008D19B1">
        <w:rPr>
          <w:rFonts w:cs="Times New Roman"/>
          <w:color w:val="000000"/>
          <w:szCs w:val="24"/>
          <w:lang w:eastAsia="lv-LV"/>
        </w:rPr>
        <w:t xml:space="preserve">izdarītā </w:t>
      </w:r>
      <w:r w:rsidRPr="00A75170">
        <w:rPr>
          <w:rFonts w:cs="Times New Roman"/>
          <w:color w:val="000000"/>
          <w:szCs w:val="24"/>
          <w:lang w:eastAsia="lv-LV"/>
        </w:rPr>
        <w:t>noziedzīg</w:t>
      </w:r>
      <w:r w:rsidR="008D19B1">
        <w:rPr>
          <w:rFonts w:cs="Times New Roman"/>
          <w:color w:val="000000"/>
          <w:szCs w:val="24"/>
          <w:lang w:eastAsia="lv-LV"/>
        </w:rPr>
        <w:t>ā</w:t>
      </w:r>
      <w:r w:rsidRPr="00A75170">
        <w:rPr>
          <w:rFonts w:cs="Times New Roman"/>
          <w:color w:val="000000"/>
          <w:szCs w:val="24"/>
          <w:lang w:eastAsia="lv-LV"/>
        </w:rPr>
        <w:t xml:space="preserve"> nodarījuma radīto kaitējumu – faktiski mantkārīga rīcība, </w:t>
      </w:r>
      <w:r w:rsidR="008D19B1">
        <w:rPr>
          <w:rFonts w:cs="Times New Roman"/>
          <w:color w:val="000000"/>
          <w:szCs w:val="24"/>
          <w:lang w:eastAsia="lv-LV"/>
        </w:rPr>
        <w:t xml:space="preserve">jo </w:t>
      </w:r>
      <w:r w:rsidRPr="00A75170">
        <w:rPr>
          <w:rFonts w:cs="Times New Roman"/>
          <w:color w:val="000000"/>
          <w:szCs w:val="24"/>
          <w:lang w:eastAsia="lv-LV"/>
        </w:rPr>
        <w:t xml:space="preserve">rīkojās ar uzņēmuma naudu kā ar savu, izšķērdējot to, nodarot materiālo kaitējumu, kas par 4300 </w:t>
      </w:r>
      <w:r w:rsidRPr="00A75170">
        <w:rPr>
          <w:rFonts w:cs="Times New Roman"/>
          <w:i/>
          <w:iCs/>
          <w:color w:val="000000"/>
          <w:szCs w:val="24"/>
          <w:lang w:eastAsia="lv-LV"/>
        </w:rPr>
        <w:t>euro</w:t>
      </w:r>
      <w:r w:rsidRPr="00A75170">
        <w:rPr>
          <w:rFonts w:cs="Times New Roman"/>
          <w:color w:val="000000"/>
          <w:szCs w:val="24"/>
          <w:lang w:eastAsia="lv-LV"/>
        </w:rPr>
        <w:t xml:space="preserve"> pārsniedz lielu apmēru</w:t>
      </w:r>
      <w:r w:rsidR="008D19B1">
        <w:rPr>
          <w:rFonts w:cs="Times New Roman"/>
          <w:color w:val="000000"/>
          <w:szCs w:val="24"/>
          <w:lang w:eastAsia="lv-LV"/>
        </w:rPr>
        <w:t>;</w:t>
      </w:r>
      <w:r w:rsidRPr="00A75170">
        <w:rPr>
          <w:rFonts w:cs="Times New Roman"/>
          <w:color w:val="000000"/>
          <w:szCs w:val="24"/>
          <w:lang w:eastAsia="lv-LV"/>
        </w:rPr>
        <w:t xml:space="preserve"> 3) ar apsūdzētās personību – nav sodīta </w:t>
      </w:r>
      <w:r w:rsidR="00521E19">
        <w:rPr>
          <w:rFonts w:cs="Times New Roman"/>
          <w:color w:val="000000"/>
          <w:szCs w:val="24"/>
          <w:lang w:eastAsia="lv-LV"/>
        </w:rPr>
        <w:t xml:space="preserve">ne </w:t>
      </w:r>
      <w:r w:rsidRPr="00A75170">
        <w:rPr>
          <w:rFonts w:cs="Times New Roman"/>
          <w:color w:val="000000"/>
          <w:szCs w:val="24"/>
          <w:lang w:eastAsia="lv-LV"/>
        </w:rPr>
        <w:t>noziedzīgā nodarījuma izdarīšanas brīdī, ne pēc tā</w:t>
      </w:r>
      <w:r w:rsidR="008D19B1">
        <w:rPr>
          <w:rFonts w:cs="Times New Roman"/>
          <w:color w:val="000000"/>
          <w:szCs w:val="24"/>
          <w:lang w:eastAsia="lv-LV"/>
        </w:rPr>
        <w:t>, a</w:t>
      </w:r>
      <w:r w:rsidRPr="00A75170">
        <w:rPr>
          <w:rFonts w:cs="Times New Roman"/>
          <w:color w:val="000000"/>
          <w:szCs w:val="24"/>
          <w:lang w:eastAsia="lv-LV"/>
        </w:rPr>
        <w:t>pgādībā ir 2 nepilngadīgi bērni (13 un 5 gadi)</w:t>
      </w:r>
      <w:r w:rsidR="00521E19">
        <w:rPr>
          <w:rFonts w:cs="Times New Roman"/>
          <w:color w:val="000000"/>
          <w:szCs w:val="24"/>
          <w:lang w:eastAsia="lv-LV"/>
        </w:rPr>
        <w:t>, n</w:t>
      </w:r>
      <w:r w:rsidRPr="00A75170">
        <w:rPr>
          <w:rFonts w:cs="Times New Roman"/>
          <w:color w:val="000000"/>
          <w:szCs w:val="24"/>
          <w:lang w:eastAsia="lv-LV"/>
        </w:rPr>
        <w:t>oziedzīga nodarījuma izdarīšanas brīdī atradusies grūtniecības un pēcdzemdību periodā</w:t>
      </w:r>
      <w:r w:rsidR="00521E19">
        <w:rPr>
          <w:rFonts w:cs="Times New Roman"/>
          <w:color w:val="000000"/>
          <w:szCs w:val="24"/>
          <w:lang w:eastAsia="lv-LV"/>
        </w:rPr>
        <w:t>, v</w:t>
      </w:r>
      <w:r w:rsidRPr="00A75170">
        <w:rPr>
          <w:rFonts w:cs="Times New Roman"/>
          <w:color w:val="000000"/>
          <w:szCs w:val="24"/>
          <w:lang w:eastAsia="lv-LV"/>
        </w:rPr>
        <w:t>airākkārt mēģinājusi panākt, lai Valsts ieņēmumu dienests</w:t>
      </w:r>
      <w:r w:rsidR="00521E19">
        <w:rPr>
          <w:rFonts w:cs="Times New Roman"/>
          <w:color w:val="000000"/>
          <w:szCs w:val="24"/>
          <w:lang w:eastAsia="lv-LV"/>
        </w:rPr>
        <w:t xml:space="preserve"> </w:t>
      </w:r>
      <w:r w:rsidRPr="00A75170">
        <w:rPr>
          <w:rFonts w:cs="Times New Roman"/>
          <w:color w:val="000000"/>
          <w:szCs w:val="24"/>
          <w:lang w:eastAsia="lv-LV"/>
        </w:rPr>
        <w:t>piešķir uzkrāto nodokļu parādu samaksas termiņa atlikšanu</w:t>
      </w:r>
      <w:r w:rsidR="00A4628A">
        <w:rPr>
          <w:rFonts w:cs="Times New Roman"/>
          <w:color w:val="000000"/>
          <w:szCs w:val="24"/>
          <w:lang w:eastAsia="lv-LV"/>
        </w:rPr>
        <w:t>,</w:t>
      </w:r>
      <w:r w:rsidR="00521E19">
        <w:rPr>
          <w:rFonts w:cs="Times New Roman"/>
          <w:color w:val="000000"/>
          <w:szCs w:val="24"/>
          <w:lang w:eastAsia="lv-LV"/>
        </w:rPr>
        <w:t xml:space="preserve"> </w:t>
      </w:r>
      <w:r w:rsidRPr="00A75170">
        <w:rPr>
          <w:rFonts w:cs="Times New Roman"/>
          <w:color w:val="000000"/>
          <w:szCs w:val="24"/>
          <w:lang w:eastAsia="lv-LV"/>
        </w:rPr>
        <w:t>un ir vienojusies ar V</w:t>
      </w:r>
      <w:r w:rsidR="00521E19">
        <w:rPr>
          <w:rFonts w:cs="Times New Roman"/>
          <w:color w:val="000000"/>
          <w:szCs w:val="24"/>
          <w:lang w:eastAsia="lv-LV"/>
        </w:rPr>
        <w:t>alsts ieņēmumu dienestu</w:t>
      </w:r>
      <w:r w:rsidR="00A4628A">
        <w:rPr>
          <w:rFonts w:cs="Times New Roman"/>
          <w:color w:val="000000"/>
          <w:szCs w:val="24"/>
          <w:lang w:eastAsia="lv-LV"/>
        </w:rPr>
        <w:t xml:space="preserve"> </w:t>
      </w:r>
      <w:r w:rsidRPr="00A75170">
        <w:rPr>
          <w:rFonts w:cs="Times New Roman"/>
          <w:color w:val="000000"/>
          <w:szCs w:val="24"/>
          <w:lang w:eastAsia="lv-LV"/>
        </w:rPr>
        <w:t>par nodokļu parāda nomaksu</w:t>
      </w:r>
      <w:r w:rsidR="00A4628A">
        <w:rPr>
          <w:rFonts w:cs="Times New Roman"/>
          <w:color w:val="000000"/>
          <w:szCs w:val="24"/>
          <w:lang w:eastAsia="lv-LV"/>
        </w:rPr>
        <w:t>, n</w:t>
      </w:r>
      <w:r w:rsidRPr="00A75170">
        <w:rPr>
          <w:rFonts w:cs="Times New Roman"/>
          <w:color w:val="000000"/>
          <w:szCs w:val="24"/>
          <w:lang w:eastAsia="lv-LV"/>
        </w:rPr>
        <w:t xml:space="preserve">av sociāli bīstama, viņas nodarījums nav saistīts ar vardarbību, viņa audzina divus bērnus un veic algotu darbu. Tāpat </w:t>
      </w:r>
      <w:r w:rsidR="00A4628A">
        <w:rPr>
          <w:rFonts w:cs="Times New Roman"/>
          <w:color w:val="000000"/>
          <w:szCs w:val="24"/>
          <w:lang w:eastAsia="lv-LV"/>
        </w:rPr>
        <w:t xml:space="preserve">prokurors </w:t>
      </w:r>
      <w:r w:rsidRPr="00A75170">
        <w:rPr>
          <w:rFonts w:cs="Times New Roman"/>
          <w:color w:val="000000"/>
          <w:szCs w:val="24"/>
          <w:lang w:eastAsia="lv-LV"/>
        </w:rPr>
        <w:t xml:space="preserve">norādījis, ka apsūdzētās </w:t>
      </w:r>
      <w:r w:rsidRPr="00A75170">
        <w:rPr>
          <w:rFonts w:cs="Times New Roman"/>
          <w:color w:val="000000"/>
          <w:szCs w:val="24"/>
          <w:lang w:eastAsia="lv-LV"/>
        </w:rPr>
        <w:lastRenderedPageBreak/>
        <w:t>atrašanās brīvībā veicinās kaitējuma atlīdzināšanu un ka likumdevējs bez brīvības atņemšanas soda paredzējis alternatīvus soda veidus</w:t>
      </w:r>
      <w:r w:rsidR="000C5D97">
        <w:rPr>
          <w:rFonts w:cs="Times New Roman"/>
          <w:color w:val="000000"/>
          <w:szCs w:val="24"/>
          <w:lang w:eastAsia="lv-LV"/>
        </w:rPr>
        <w:t>;</w:t>
      </w:r>
    </w:p>
    <w:p w14:paraId="0056E6CE" w14:textId="33EFD8D9"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28.08.2020. Kurzemes rajona tiesa nosprieda </w:t>
      </w:r>
      <w:r w:rsidR="000C5D97">
        <w:rPr>
          <w:rFonts w:cs="Times New Roman"/>
          <w:color w:val="000000"/>
          <w:szCs w:val="24"/>
          <w:lang w:eastAsia="lv-LV"/>
        </w:rPr>
        <w:t xml:space="preserve">apsūdzēto </w:t>
      </w:r>
      <w:r w:rsidRPr="00A75170">
        <w:rPr>
          <w:rFonts w:cs="Times New Roman"/>
          <w:color w:val="000000"/>
          <w:szCs w:val="24"/>
          <w:lang w:eastAsia="lv-LV"/>
        </w:rPr>
        <w:t>atzīt par vainīgu</w:t>
      </w:r>
      <w:r w:rsidR="000C5D97">
        <w:rPr>
          <w:rFonts w:cs="Times New Roman"/>
          <w:color w:val="000000"/>
          <w:szCs w:val="24"/>
          <w:lang w:eastAsia="lv-LV"/>
        </w:rPr>
        <w:t xml:space="preserve"> pēc </w:t>
      </w:r>
      <w:r w:rsidRPr="00A75170">
        <w:rPr>
          <w:rFonts w:cs="Times New Roman"/>
          <w:color w:val="000000"/>
          <w:szCs w:val="24"/>
          <w:lang w:eastAsia="lv-LV"/>
        </w:rPr>
        <w:t>Krimināllikuma 218. panta ot</w:t>
      </w:r>
      <w:r w:rsidR="000C5D97">
        <w:rPr>
          <w:rFonts w:cs="Times New Roman"/>
          <w:color w:val="000000"/>
          <w:szCs w:val="24"/>
          <w:lang w:eastAsia="lv-LV"/>
        </w:rPr>
        <w:t xml:space="preserve">rās daļas </w:t>
      </w:r>
      <w:r w:rsidRPr="00A75170">
        <w:rPr>
          <w:rFonts w:cs="Times New Roman"/>
          <w:color w:val="000000"/>
          <w:szCs w:val="24"/>
          <w:lang w:eastAsia="lv-LV"/>
        </w:rPr>
        <w:t xml:space="preserve">un sodīt </w:t>
      </w:r>
      <w:r w:rsidR="000C5D97">
        <w:rPr>
          <w:rFonts w:cs="Times New Roman"/>
          <w:color w:val="000000"/>
          <w:szCs w:val="24"/>
          <w:lang w:eastAsia="lv-LV"/>
        </w:rPr>
        <w:t xml:space="preserve">ar </w:t>
      </w:r>
      <w:r w:rsidRPr="00A75170">
        <w:rPr>
          <w:rFonts w:cs="Times New Roman"/>
          <w:color w:val="000000"/>
          <w:szCs w:val="24"/>
          <w:lang w:eastAsia="lv-LV"/>
        </w:rPr>
        <w:t>piespiedu darbu uz</w:t>
      </w:r>
      <w:r w:rsidR="000C5D97">
        <w:rPr>
          <w:rFonts w:cs="Times New Roman"/>
          <w:color w:val="000000"/>
          <w:szCs w:val="24"/>
          <w:lang w:eastAsia="lv-LV"/>
        </w:rPr>
        <w:t xml:space="preserve"> 160 </w:t>
      </w:r>
      <w:r w:rsidRPr="00A75170">
        <w:rPr>
          <w:rFonts w:cs="Times New Roman"/>
          <w:color w:val="000000"/>
          <w:szCs w:val="24"/>
          <w:lang w:eastAsia="lv-LV"/>
        </w:rPr>
        <w:t>stundām, atņemot tiesības ieņemt valdes locekļa amatu kapitālsabiedrībās</w:t>
      </w:r>
      <w:r w:rsidR="000C5D97">
        <w:rPr>
          <w:rFonts w:cs="Times New Roman"/>
          <w:color w:val="000000"/>
          <w:szCs w:val="24"/>
          <w:lang w:eastAsia="lv-LV"/>
        </w:rPr>
        <w:t xml:space="preserve"> uz 3 gadiem</w:t>
      </w:r>
      <w:r w:rsidRPr="00A75170">
        <w:rPr>
          <w:rFonts w:cs="Times New Roman"/>
          <w:color w:val="000000"/>
          <w:szCs w:val="24"/>
          <w:lang w:eastAsia="lv-LV"/>
        </w:rPr>
        <w:t>;</w:t>
      </w:r>
    </w:p>
    <w:p w14:paraId="20E12B41" w14:textId="61958FD9"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09.11.2020. virsprokurora p.</w:t>
      </w:r>
      <w:r w:rsidR="00DA249F">
        <w:rPr>
          <w:rFonts w:cs="Times New Roman"/>
          <w:color w:val="000000"/>
          <w:szCs w:val="24"/>
          <w:lang w:eastAsia="lv-LV"/>
        </w:rPr>
        <w:t> </w:t>
      </w:r>
      <w:r w:rsidRPr="00A75170">
        <w:rPr>
          <w:rFonts w:cs="Times New Roman"/>
          <w:color w:val="000000"/>
          <w:szCs w:val="24"/>
          <w:lang w:eastAsia="lv-LV"/>
        </w:rPr>
        <w:t xml:space="preserve">i. iesniedza apelācijas protestu, lūdzot atcelt pirmās instances tiesas spriedumu </w:t>
      </w:r>
      <w:r w:rsidR="00DA249F">
        <w:rPr>
          <w:rFonts w:cs="Times New Roman"/>
          <w:color w:val="000000"/>
          <w:szCs w:val="24"/>
          <w:lang w:eastAsia="lv-LV"/>
        </w:rPr>
        <w:t xml:space="preserve">daļā par sodu </w:t>
      </w:r>
      <w:r w:rsidRPr="00A75170">
        <w:rPr>
          <w:rFonts w:cs="Times New Roman"/>
          <w:color w:val="000000"/>
          <w:szCs w:val="24"/>
          <w:lang w:eastAsia="lv-LV"/>
        </w:rPr>
        <w:t xml:space="preserve">un </w:t>
      </w:r>
      <w:r w:rsidR="00DA249F">
        <w:rPr>
          <w:rFonts w:cs="Times New Roman"/>
          <w:color w:val="000000"/>
          <w:szCs w:val="24"/>
          <w:lang w:eastAsia="lv-LV"/>
        </w:rPr>
        <w:t xml:space="preserve">noteikt </w:t>
      </w:r>
      <w:r w:rsidRPr="00A75170">
        <w:rPr>
          <w:rFonts w:cs="Times New Roman"/>
          <w:color w:val="000000"/>
          <w:szCs w:val="24"/>
          <w:lang w:eastAsia="lv-LV"/>
        </w:rPr>
        <w:t>brīvības atņemšan</w:t>
      </w:r>
      <w:r w:rsidR="00DA249F">
        <w:rPr>
          <w:rFonts w:cs="Times New Roman"/>
          <w:color w:val="000000"/>
          <w:szCs w:val="24"/>
          <w:lang w:eastAsia="lv-LV"/>
        </w:rPr>
        <w:t>u</w:t>
      </w:r>
      <w:r w:rsidRPr="00A75170">
        <w:rPr>
          <w:rFonts w:cs="Times New Roman"/>
          <w:color w:val="000000"/>
          <w:szCs w:val="24"/>
          <w:lang w:eastAsia="lv-LV"/>
        </w:rPr>
        <w:t xml:space="preserve"> uz </w:t>
      </w:r>
      <w:r w:rsidR="00DA249F">
        <w:rPr>
          <w:rFonts w:cs="Times New Roman"/>
          <w:color w:val="000000"/>
          <w:szCs w:val="24"/>
          <w:lang w:eastAsia="lv-LV"/>
        </w:rPr>
        <w:t>1 </w:t>
      </w:r>
      <w:r w:rsidRPr="00A75170">
        <w:rPr>
          <w:rFonts w:cs="Times New Roman"/>
          <w:color w:val="000000"/>
          <w:szCs w:val="24"/>
          <w:lang w:eastAsia="lv-LV"/>
        </w:rPr>
        <w:t>gadu;</w:t>
      </w:r>
    </w:p>
    <w:p w14:paraId="79451BDA" w14:textId="443417A8"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apelācijas instance</w:t>
      </w:r>
      <w:r w:rsidR="00DA249F">
        <w:rPr>
          <w:rFonts w:cs="Times New Roman"/>
          <w:color w:val="000000"/>
          <w:szCs w:val="24"/>
          <w:lang w:eastAsia="lv-LV"/>
        </w:rPr>
        <w:t>s tiesa</w:t>
      </w:r>
      <w:r w:rsidRPr="00A75170">
        <w:rPr>
          <w:rFonts w:cs="Times New Roman"/>
          <w:color w:val="000000"/>
          <w:szCs w:val="24"/>
          <w:lang w:eastAsia="lv-LV"/>
        </w:rPr>
        <w:t>:</w:t>
      </w:r>
    </w:p>
    <w:p w14:paraId="6B4A6E1B" w14:textId="77777777"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15.01.2021. Kurzemes apgabaltiesa nolēma pirmās instances tiesas spriedumu atstāt negrozītu;</w:t>
      </w:r>
    </w:p>
    <w:p w14:paraId="216F0203" w14:textId="03D99EEB"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22.01.2021. tika iesniegts kasācijas protests, lūdzot atcelt Kurzemes apgabaltiesas 15.01.2021. lēmumu daļā par apsūdzētajai noteikto sodu</w:t>
      </w:r>
      <w:r w:rsidR="00DA249F">
        <w:rPr>
          <w:rFonts w:cs="Times New Roman"/>
          <w:color w:val="000000"/>
          <w:szCs w:val="24"/>
          <w:lang w:eastAsia="lv-LV"/>
        </w:rPr>
        <w:t xml:space="preserve"> </w:t>
      </w:r>
      <w:r w:rsidRPr="00A75170">
        <w:rPr>
          <w:rFonts w:cs="Times New Roman"/>
          <w:color w:val="000000"/>
          <w:szCs w:val="24"/>
          <w:lang w:eastAsia="lv-LV"/>
        </w:rPr>
        <w:t xml:space="preserve">un atceltajā daļā nosūtīt </w:t>
      </w:r>
      <w:r w:rsidR="00723206">
        <w:rPr>
          <w:rFonts w:cs="Times New Roman"/>
          <w:color w:val="000000"/>
          <w:szCs w:val="24"/>
          <w:lang w:eastAsia="lv-LV"/>
        </w:rPr>
        <w:t>krimināl</w:t>
      </w:r>
      <w:r w:rsidRPr="00A75170">
        <w:rPr>
          <w:rFonts w:cs="Times New Roman"/>
          <w:color w:val="000000"/>
          <w:szCs w:val="24"/>
          <w:lang w:eastAsia="lv-LV"/>
        </w:rPr>
        <w:t>lietu jaunai izskatīšanai apelācijas instances tiesā;</w:t>
      </w:r>
    </w:p>
    <w:p w14:paraId="19B9381A" w14:textId="7CB47D1A" w:rsidR="00E51A5A" w:rsidRPr="004753EF"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kasācijas instance:</w:t>
      </w:r>
      <w:r w:rsidR="004753EF">
        <w:rPr>
          <w:rFonts w:cs="Times New Roman"/>
          <w:color w:val="000000"/>
          <w:szCs w:val="24"/>
          <w:lang w:eastAsia="lv-LV"/>
        </w:rPr>
        <w:t xml:space="preserve"> krimināl</w:t>
      </w:r>
      <w:r w:rsidRPr="004753EF">
        <w:rPr>
          <w:rFonts w:cs="Times New Roman"/>
          <w:color w:val="000000"/>
          <w:szCs w:val="24"/>
          <w:lang w:eastAsia="lv-LV"/>
        </w:rPr>
        <w:t>lieta vēl nav izskatīta;</w:t>
      </w:r>
    </w:p>
    <w:p w14:paraId="71AA078C" w14:textId="77777777" w:rsidR="00E51A5A" w:rsidRPr="00A75170" w:rsidRDefault="00E51A5A" w:rsidP="00A75170">
      <w:pPr>
        <w:pStyle w:val="ListParagraph"/>
        <w:spacing w:line="240" w:lineRule="auto"/>
        <w:ind w:left="0"/>
        <w:jc w:val="both"/>
        <w:rPr>
          <w:rFonts w:cs="Times New Roman"/>
          <w:color w:val="000000"/>
          <w:szCs w:val="24"/>
          <w:lang w:eastAsia="lv-LV"/>
        </w:rPr>
      </w:pPr>
    </w:p>
    <w:p w14:paraId="22F0785A" w14:textId="3485C152" w:rsidR="00E51A5A" w:rsidRPr="00A75170" w:rsidRDefault="00E51A5A" w:rsidP="00E329FC">
      <w:pPr>
        <w:pStyle w:val="ListParagraph"/>
        <w:numPr>
          <w:ilvl w:val="0"/>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Nr. 15840057619 – vienas personas apsūdzībā pēc Krimināllikuma 218. panta otrās daļas, nodarot kaitējumu 23 482,21 </w:t>
      </w:r>
      <w:r w:rsidRPr="00A75170">
        <w:rPr>
          <w:rFonts w:cs="Times New Roman"/>
          <w:i/>
          <w:iCs/>
          <w:color w:val="000000"/>
          <w:szCs w:val="24"/>
          <w:lang w:eastAsia="lv-LV"/>
        </w:rPr>
        <w:t>euro</w:t>
      </w:r>
      <w:r w:rsidR="004753EF">
        <w:rPr>
          <w:rFonts w:cs="Times New Roman"/>
          <w:color w:val="000000"/>
          <w:szCs w:val="24"/>
          <w:lang w:eastAsia="lv-LV"/>
        </w:rPr>
        <w:t xml:space="preserve"> un </w:t>
      </w:r>
      <w:r w:rsidRPr="00A75170">
        <w:rPr>
          <w:rFonts w:cs="Times New Roman"/>
          <w:color w:val="000000"/>
          <w:szCs w:val="24"/>
          <w:lang w:eastAsia="lv-LV"/>
        </w:rPr>
        <w:t xml:space="preserve">atlīdzinot 612,67 </w:t>
      </w:r>
      <w:r w:rsidRPr="00A75170">
        <w:rPr>
          <w:rFonts w:cs="Times New Roman"/>
          <w:i/>
          <w:iCs/>
          <w:color w:val="000000"/>
          <w:szCs w:val="24"/>
          <w:lang w:eastAsia="lv-LV"/>
        </w:rPr>
        <w:t>euro</w:t>
      </w:r>
      <w:r w:rsidRPr="00A75170">
        <w:rPr>
          <w:rFonts w:cs="Times New Roman"/>
          <w:color w:val="000000"/>
          <w:szCs w:val="24"/>
          <w:lang w:eastAsia="lv-LV"/>
        </w:rPr>
        <w:t>:</w:t>
      </w:r>
    </w:p>
    <w:p w14:paraId="7E45DD26" w14:textId="642EB19E" w:rsidR="00E51A5A" w:rsidRPr="00A75170" w:rsidRDefault="00E51A5A" w:rsidP="00E329FC">
      <w:pPr>
        <w:pStyle w:val="ListParagraph"/>
        <w:numPr>
          <w:ilvl w:val="1"/>
          <w:numId w:val="55"/>
        </w:numPr>
        <w:spacing w:line="240" w:lineRule="auto"/>
        <w:jc w:val="both"/>
        <w:rPr>
          <w:rFonts w:cs="Times New Roman"/>
          <w:color w:val="000000"/>
          <w:szCs w:val="24"/>
          <w:lang w:eastAsia="lv-LV"/>
        </w:rPr>
      </w:pPr>
      <w:r w:rsidRPr="00A75170">
        <w:rPr>
          <w:rFonts w:cs="Times New Roman"/>
          <w:color w:val="000000"/>
          <w:szCs w:val="24"/>
          <w:lang w:eastAsia="lv-LV"/>
        </w:rPr>
        <w:t>pirmā</w:t>
      </w:r>
      <w:r w:rsidR="004753EF">
        <w:rPr>
          <w:rFonts w:cs="Times New Roman"/>
          <w:color w:val="000000"/>
          <w:szCs w:val="24"/>
          <w:lang w:eastAsia="lv-LV"/>
        </w:rPr>
        <w:t>s</w:t>
      </w:r>
      <w:r w:rsidRPr="00A75170">
        <w:rPr>
          <w:rFonts w:cs="Times New Roman"/>
          <w:color w:val="000000"/>
          <w:szCs w:val="24"/>
          <w:lang w:eastAsia="lv-LV"/>
        </w:rPr>
        <w:t xml:space="preserve"> instance</w:t>
      </w:r>
      <w:r w:rsidR="00512E25">
        <w:rPr>
          <w:rFonts w:cs="Times New Roman"/>
          <w:color w:val="000000"/>
          <w:szCs w:val="24"/>
          <w:lang w:eastAsia="lv-LV"/>
        </w:rPr>
        <w:t>s tiesa</w:t>
      </w:r>
      <w:r w:rsidRPr="00A75170">
        <w:rPr>
          <w:rFonts w:cs="Times New Roman"/>
          <w:color w:val="000000"/>
          <w:szCs w:val="24"/>
          <w:lang w:eastAsia="lv-LV"/>
        </w:rPr>
        <w:t>:</w:t>
      </w:r>
    </w:p>
    <w:p w14:paraId="5941ED72" w14:textId="3D305E0B"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prokurore </w:t>
      </w:r>
      <w:r w:rsidR="00512E25">
        <w:rPr>
          <w:rFonts w:cs="Times New Roman"/>
          <w:color w:val="000000"/>
          <w:szCs w:val="24"/>
          <w:lang w:eastAsia="lv-LV"/>
        </w:rPr>
        <w:t>lūdza tiesu apsūdzēto atzīt par vainīgu pēc Krimināllikuma 218. panta otrās daļas un sodīt ar</w:t>
      </w:r>
      <w:r w:rsidRPr="00A75170">
        <w:rPr>
          <w:rFonts w:cs="Times New Roman"/>
          <w:color w:val="000000"/>
          <w:szCs w:val="24"/>
          <w:lang w:eastAsia="lv-LV"/>
        </w:rPr>
        <w:t xml:space="preserve"> brīvības atņemšanu uz </w:t>
      </w:r>
      <w:r w:rsidR="00512E25">
        <w:rPr>
          <w:rFonts w:cs="Times New Roman"/>
          <w:color w:val="000000"/>
          <w:szCs w:val="24"/>
          <w:lang w:eastAsia="lv-LV"/>
        </w:rPr>
        <w:t>7 </w:t>
      </w:r>
      <w:r w:rsidRPr="00A75170">
        <w:rPr>
          <w:rFonts w:cs="Times New Roman"/>
          <w:color w:val="000000"/>
          <w:szCs w:val="24"/>
          <w:lang w:eastAsia="lv-LV"/>
        </w:rPr>
        <w:t xml:space="preserve">mēnešiem, bez mantas konfiskācijas, atņemot tiesības veikt </w:t>
      </w:r>
      <w:r w:rsidR="00A27313">
        <w:rPr>
          <w:rFonts w:cs="Times New Roman"/>
          <w:color w:val="000000"/>
          <w:szCs w:val="24"/>
          <w:lang w:eastAsia="lv-LV"/>
        </w:rPr>
        <w:t xml:space="preserve">visu veidu </w:t>
      </w:r>
      <w:r w:rsidRPr="00A75170">
        <w:rPr>
          <w:rFonts w:cs="Times New Roman"/>
          <w:color w:val="000000"/>
          <w:szCs w:val="24"/>
          <w:lang w:eastAsia="lv-LV"/>
        </w:rPr>
        <w:t xml:space="preserve">komercdarbību uz </w:t>
      </w:r>
      <w:r w:rsidR="00512E25">
        <w:rPr>
          <w:rFonts w:cs="Times New Roman"/>
          <w:color w:val="000000"/>
          <w:szCs w:val="24"/>
          <w:lang w:eastAsia="lv-LV"/>
        </w:rPr>
        <w:t>2 </w:t>
      </w:r>
      <w:r w:rsidRPr="00A75170">
        <w:rPr>
          <w:rFonts w:cs="Times New Roman"/>
          <w:color w:val="000000"/>
          <w:szCs w:val="24"/>
          <w:lang w:eastAsia="lv-LV"/>
        </w:rPr>
        <w:t>gadiem</w:t>
      </w:r>
      <w:r w:rsidR="00512E25">
        <w:rPr>
          <w:rFonts w:cs="Times New Roman"/>
          <w:color w:val="000000"/>
          <w:szCs w:val="24"/>
          <w:lang w:eastAsia="lv-LV"/>
        </w:rPr>
        <w:t>, attiecībā pret juridisko personu piemēr</w:t>
      </w:r>
      <w:r w:rsidR="00A27313">
        <w:rPr>
          <w:rFonts w:cs="Times New Roman"/>
          <w:color w:val="000000"/>
          <w:szCs w:val="24"/>
          <w:lang w:eastAsia="lv-LV"/>
        </w:rPr>
        <w:t>ot</w:t>
      </w:r>
      <w:r w:rsidRPr="00A75170">
        <w:rPr>
          <w:rFonts w:cs="Times New Roman"/>
          <w:color w:val="000000"/>
          <w:szCs w:val="24"/>
          <w:lang w:eastAsia="lv-LV"/>
        </w:rPr>
        <w:t xml:space="preserve"> piespiedu ietekmēšanas līdzekli – likvidācij</w:t>
      </w:r>
      <w:r w:rsidR="00512E25">
        <w:rPr>
          <w:rFonts w:cs="Times New Roman"/>
          <w:color w:val="000000"/>
          <w:szCs w:val="24"/>
          <w:lang w:eastAsia="lv-LV"/>
        </w:rPr>
        <w:t>u;</w:t>
      </w:r>
    </w:p>
    <w:p w14:paraId="513F04F5" w14:textId="3CBF65C6"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 xml:space="preserve">03.12.2020. Zemgales rajona tiesa </w:t>
      </w:r>
      <w:r w:rsidR="00512E25">
        <w:rPr>
          <w:rFonts w:cs="Times New Roman"/>
          <w:color w:val="000000"/>
          <w:szCs w:val="24"/>
          <w:lang w:eastAsia="lv-LV"/>
        </w:rPr>
        <w:t>nos</w:t>
      </w:r>
      <w:r w:rsidR="00C22879">
        <w:rPr>
          <w:rFonts w:cs="Times New Roman"/>
          <w:color w:val="000000"/>
          <w:szCs w:val="24"/>
          <w:lang w:eastAsia="lv-LV"/>
        </w:rPr>
        <w:t xml:space="preserve">prieda apsūdzēto atzīt par vainīgu </w:t>
      </w:r>
      <w:r w:rsidRPr="00A75170">
        <w:rPr>
          <w:rFonts w:cs="Times New Roman"/>
          <w:color w:val="000000"/>
          <w:szCs w:val="24"/>
          <w:lang w:eastAsia="lv-LV"/>
        </w:rPr>
        <w:t>pēc K</w:t>
      </w:r>
      <w:r w:rsidR="00C22879">
        <w:rPr>
          <w:rFonts w:cs="Times New Roman"/>
          <w:color w:val="000000"/>
          <w:szCs w:val="24"/>
          <w:lang w:eastAsia="lv-LV"/>
        </w:rPr>
        <w:t>rimināllikuma</w:t>
      </w:r>
      <w:r w:rsidRPr="00A75170">
        <w:rPr>
          <w:rFonts w:cs="Times New Roman"/>
          <w:color w:val="000000"/>
          <w:szCs w:val="24"/>
          <w:lang w:eastAsia="lv-LV"/>
        </w:rPr>
        <w:t xml:space="preserve"> 218.</w:t>
      </w:r>
      <w:r w:rsidR="00C22879">
        <w:rPr>
          <w:rFonts w:cs="Times New Roman"/>
          <w:color w:val="000000"/>
          <w:szCs w:val="24"/>
          <w:lang w:eastAsia="lv-LV"/>
        </w:rPr>
        <w:t> </w:t>
      </w:r>
      <w:r w:rsidRPr="00A75170">
        <w:rPr>
          <w:rFonts w:cs="Times New Roman"/>
          <w:color w:val="000000"/>
          <w:szCs w:val="24"/>
          <w:lang w:eastAsia="lv-LV"/>
        </w:rPr>
        <w:t xml:space="preserve">panta otrās daļas </w:t>
      </w:r>
      <w:r w:rsidR="00C22879">
        <w:rPr>
          <w:rFonts w:cs="Times New Roman"/>
          <w:color w:val="000000"/>
          <w:szCs w:val="24"/>
          <w:lang w:eastAsia="lv-LV"/>
        </w:rPr>
        <w:t xml:space="preserve">un sodīt </w:t>
      </w:r>
      <w:r w:rsidRPr="00A75170">
        <w:rPr>
          <w:rFonts w:cs="Times New Roman"/>
          <w:color w:val="000000"/>
          <w:szCs w:val="24"/>
          <w:lang w:eastAsia="lv-LV"/>
        </w:rPr>
        <w:t xml:space="preserve">ar brīvības atņemšanu uz </w:t>
      </w:r>
      <w:r w:rsidR="00C22879">
        <w:rPr>
          <w:rFonts w:cs="Times New Roman"/>
          <w:color w:val="000000"/>
          <w:szCs w:val="24"/>
          <w:lang w:eastAsia="lv-LV"/>
        </w:rPr>
        <w:t>1 </w:t>
      </w:r>
      <w:r w:rsidRPr="00A75170">
        <w:rPr>
          <w:rFonts w:cs="Times New Roman"/>
          <w:color w:val="000000"/>
          <w:szCs w:val="24"/>
          <w:lang w:eastAsia="lv-LV"/>
        </w:rPr>
        <w:t xml:space="preserve">gadu, atņemot tiesības veikt visu veidu komercdarbību uz </w:t>
      </w:r>
      <w:r w:rsidR="00C22879">
        <w:rPr>
          <w:rFonts w:cs="Times New Roman"/>
          <w:color w:val="000000"/>
          <w:szCs w:val="24"/>
          <w:lang w:eastAsia="lv-LV"/>
        </w:rPr>
        <w:t>2 </w:t>
      </w:r>
      <w:r w:rsidRPr="00A75170">
        <w:rPr>
          <w:rFonts w:cs="Times New Roman"/>
          <w:color w:val="000000"/>
          <w:szCs w:val="24"/>
          <w:lang w:eastAsia="lv-LV"/>
        </w:rPr>
        <w:t>gadiem. Saskaņā ar Krimināllikuma 55.pant</w:t>
      </w:r>
      <w:r w:rsidR="00C22879">
        <w:rPr>
          <w:rFonts w:cs="Times New Roman"/>
          <w:color w:val="000000"/>
          <w:szCs w:val="24"/>
          <w:lang w:eastAsia="lv-LV"/>
        </w:rPr>
        <w:t xml:space="preserve">u </w:t>
      </w:r>
      <w:r w:rsidRPr="00A75170">
        <w:rPr>
          <w:rFonts w:cs="Times New Roman"/>
          <w:color w:val="000000"/>
          <w:szCs w:val="24"/>
          <w:lang w:eastAsia="lv-LV"/>
        </w:rPr>
        <w:t xml:space="preserve">brīvības atņemšanas sods noteikts nosacīti ar pārbaudes laiku uz </w:t>
      </w:r>
      <w:r w:rsidR="00C22879">
        <w:rPr>
          <w:rFonts w:cs="Times New Roman"/>
          <w:color w:val="000000"/>
          <w:szCs w:val="24"/>
          <w:lang w:eastAsia="lv-LV"/>
        </w:rPr>
        <w:t>1 </w:t>
      </w:r>
      <w:r w:rsidRPr="00A75170">
        <w:rPr>
          <w:rFonts w:cs="Times New Roman"/>
          <w:color w:val="000000"/>
          <w:szCs w:val="24"/>
          <w:lang w:eastAsia="lv-LV"/>
        </w:rPr>
        <w:t>gadu;</w:t>
      </w:r>
    </w:p>
    <w:p w14:paraId="79ADFCF9" w14:textId="11C388DC" w:rsidR="00E51A5A" w:rsidRPr="00A75170" w:rsidRDefault="00E51A5A" w:rsidP="00E329FC">
      <w:pPr>
        <w:pStyle w:val="ListParagraph"/>
        <w:numPr>
          <w:ilvl w:val="2"/>
          <w:numId w:val="55"/>
        </w:numPr>
        <w:spacing w:line="240" w:lineRule="auto"/>
        <w:jc w:val="both"/>
        <w:rPr>
          <w:rFonts w:cs="Times New Roman"/>
          <w:color w:val="000000"/>
          <w:szCs w:val="24"/>
          <w:lang w:eastAsia="lv-LV"/>
        </w:rPr>
      </w:pPr>
      <w:r w:rsidRPr="00A75170">
        <w:rPr>
          <w:rFonts w:cs="Times New Roman"/>
          <w:color w:val="000000"/>
          <w:szCs w:val="24"/>
          <w:lang w:eastAsia="lv-LV"/>
        </w:rPr>
        <w:t>28.12.2020. iesniegts apelācijas protests daļā par K</w:t>
      </w:r>
      <w:r w:rsidR="00C22879">
        <w:rPr>
          <w:rFonts w:cs="Times New Roman"/>
          <w:color w:val="000000"/>
          <w:szCs w:val="24"/>
          <w:lang w:eastAsia="lv-LV"/>
        </w:rPr>
        <w:t xml:space="preserve">rimināllikuma </w:t>
      </w:r>
      <w:r w:rsidRPr="00A75170">
        <w:rPr>
          <w:rFonts w:cs="Times New Roman"/>
          <w:color w:val="000000"/>
          <w:szCs w:val="24"/>
          <w:lang w:eastAsia="lv-LV"/>
        </w:rPr>
        <w:t>55.</w:t>
      </w:r>
      <w:r w:rsidR="00C22879">
        <w:rPr>
          <w:rFonts w:cs="Times New Roman"/>
          <w:color w:val="000000"/>
          <w:szCs w:val="24"/>
          <w:lang w:eastAsia="lv-LV"/>
        </w:rPr>
        <w:t> </w:t>
      </w:r>
      <w:r w:rsidRPr="00A75170">
        <w:rPr>
          <w:rFonts w:cs="Times New Roman"/>
          <w:color w:val="000000"/>
          <w:szCs w:val="24"/>
          <w:lang w:eastAsia="lv-LV"/>
        </w:rPr>
        <w:t>panta piemērošanu;</w:t>
      </w:r>
    </w:p>
    <w:p w14:paraId="67CF77D2" w14:textId="3B831C99" w:rsidR="00A27313" w:rsidRDefault="00E51A5A" w:rsidP="00E329FC">
      <w:pPr>
        <w:pStyle w:val="ListParagraph"/>
        <w:numPr>
          <w:ilvl w:val="1"/>
          <w:numId w:val="55"/>
        </w:numPr>
        <w:spacing w:after="0" w:line="240" w:lineRule="auto"/>
        <w:ind w:left="930" w:hanging="539"/>
        <w:jc w:val="both"/>
        <w:rPr>
          <w:rFonts w:cs="Times New Roman"/>
          <w:color w:val="000000"/>
          <w:szCs w:val="24"/>
          <w:lang w:eastAsia="lv-LV"/>
        </w:rPr>
      </w:pPr>
      <w:r w:rsidRPr="00A75170">
        <w:rPr>
          <w:rFonts w:cs="Times New Roman"/>
          <w:color w:val="000000"/>
          <w:szCs w:val="24"/>
          <w:lang w:eastAsia="lv-LV"/>
        </w:rPr>
        <w:t>apelācijas instance:</w:t>
      </w:r>
      <w:r w:rsidR="00C22879">
        <w:rPr>
          <w:rFonts w:cs="Times New Roman"/>
          <w:color w:val="000000"/>
          <w:szCs w:val="24"/>
          <w:lang w:eastAsia="lv-LV"/>
        </w:rPr>
        <w:t xml:space="preserve"> krimināl</w:t>
      </w:r>
      <w:r w:rsidRPr="00C22879">
        <w:rPr>
          <w:rFonts w:cs="Times New Roman"/>
          <w:color w:val="000000"/>
          <w:szCs w:val="24"/>
          <w:lang w:eastAsia="lv-LV"/>
        </w:rPr>
        <w:t>lieta vēl nav izskatīta.</w:t>
      </w:r>
      <w:bookmarkEnd w:id="43"/>
      <w:bookmarkEnd w:id="44"/>
    </w:p>
    <w:p w14:paraId="2FECE8DC" w14:textId="77777777" w:rsidR="00032240" w:rsidRPr="00032240" w:rsidRDefault="00032240" w:rsidP="00032240">
      <w:pPr>
        <w:pStyle w:val="ListParagraph"/>
        <w:spacing w:after="0" w:line="240" w:lineRule="auto"/>
        <w:ind w:left="930"/>
        <w:jc w:val="both"/>
        <w:rPr>
          <w:rFonts w:cs="Times New Roman"/>
          <w:color w:val="000000"/>
          <w:szCs w:val="24"/>
          <w:lang w:eastAsia="lv-LV"/>
        </w:rPr>
      </w:pPr>
    </w:p>
    <w:p w14:paraId="2C1ECC1F" w14:textId="2EA4C1D2" w:rsidR="00723206" w:rsidRDefault="00032240" w:rsidP="00F62B7E">
      <w:pPr>
        <w:pStyle w:val="ListParagraph"/>
        <w:spacing w:after="0" w:line="240" w:lineRule="auto"/>
        <w:ind w:left="539"/>
        <w:jc w:val="center"/>
        <w:rPr>
          <w:rFonts w:cs="Times New Roman"/>
          <w:b/>
          <w:bCs/>
          <w:szCs w:val="24"/>
          <w:lang w:eastAsia="lv-LV"/>
        </w:rPr>
      </w:pPr>
      <w:r w:rsidRPr="00032240">
        <w:rPr>
          <w:rFonts w:cs="Times New Roman"/>
          <w:b/>
          <w:bCs/>
          <w:sz w:val="28"/>
          <w:szCs w:val="28"/>
          <w:lang w:eastAsia="lv-LV"/>
        </w:rPr>
        <w:t>IV. </w:t>
      </w:r>
      <w:r>
        <w:rPr>
          <w:rFonts w:cs="Times New Roman"/>
          <w:b/>
          <w:bCs/>
          <w:sz w:val="28"/>
          <w:szCs w:val="28"/>
          <w:lang w:eastAsia="lv-LV"/>
        </w:rPr>
        <w:t>Noziedzīgi iegūtu līdzekļu legalizēšanas apkarošanā paveiktais 2020. gadā un prioritātes 2021. gadā</w:t>
      </w:r>
    </w:p>
    <w:p w14:paraId="01AC5907" w14:textId="77777777" w:rsidR="00F62B7E" w:rsidRPr="00F62B7E" w:rsidRDefault="00F62B7E" w:rsidP="00F62B7E">
      <w:pPr>
        <w:pStyle w:val="ListParagraph"/>
        <w:spacing w:after="0" w:line="240" w:lineRule="auto"/>
        <w:ind w:left="0"/>
        <w:jc w:val="both"/>
        <w:rPr>
          <w:rFonts w:cs="Times New Roman"/>
          <w:b/>
          <w:bCs/>
          <w:szCs w:val="24"/>
          <w:lang w:eastAsia="lv-LV"/>
        </w:rPr>
      </w:pPr>
    </w:p>
    <w:p w14:paraId="15C317AD" w14:textId="13803177" w:rsidR="00AB5546" w:rsidRPr="00496D0B" w:rsidRDefault="00496D0B" w:rsidP="000D4222">
      <w:pPr>
        <w:spacing w:after="0" w:line="240" w:lineRule="auto"/>
        <w:jc w:val="both"/>
        <w:rPr>
          <w:b/>
          <w:bCs/>
        </w:rPr>
      </w:pPr>
      <w:bookmarkStart w:id="48" w:name="_Hlk62569478"/>
      <w:r>
        <w:rPr>
          <w:b/>
          <w:bCs/>
        </w:rPr>
        <w:t xml:space="preserve">[1] </w:t>
      </w:r>
      <w:r w:rsidR="00AB5546" w:rsidRPr="00496D0B">
        <w:rPr>
          <w:b/>
          <w:bCs/>
        </w:rPr>
        <w:t>Prokurora lomas stiprināšana</w:t>
      </w:r>
      <w:r>
        <w:rPr>
          <w:b/>
          <w:bCs/>
        </w:rPr>
        <w:t xml:space="preserve"> </w:t>
      </w:r>
      <w:r w:rsidR="00AB5546" w:rsidRPr="00496D0B">
        <w:rPr>
          <w:b/>
          <w:bCs/>
        </w:rPr>
        <w:t>izmeklēšanā, kriminālvajāšanā un valsts apsūdzības uzturēšanā</w:t>
      </w:r>
      <w:bookmarkEnd w:id="48"/>
    </w:p>
    <w:p w14:paraId="78701180" w14:textId="40E31560" w:rsidR="00AB5546" w:rsidRDefault="00AB5546" w:rsidP="00512613">
      <w:pPr>
        <w:tabs>
          <w:tab w:val="num" w:pos="851"/>
        </w:tabs>
        <w:suppressAutoHyphens/>
        <w:autoSpaceDN w:val="0"/>
        <w:spacing w:after="0" w:line="240" w:lineRule="auto"/>
        <w:ind w:firstLine="567"/>
        <w:jc w:val="both"/>
        <w:textAlignment w:val="baseline"/>
        <w:rPr>
          <w:szCs w:val="24"/>
        </w:rPr>
      </w:pPr>
      <w:r w:rsidRPr="00685D2F">
        <w:rPr>
          <w:szCs w:val="24"/>
        </w:rPr>
        <w:t xml:space="preserve">Atbilstoši </w:t>
      </w:r>
      <w:r w:rsidRPr="00164C02">
        <w:rPr>
          <w:szCs w:val="24"/>
        </w:rPr>
        <w:t>2018. gada 23. augustā Eiropas Padomes noziedzīgi iegūtu līdzekļu legalizācijas un terorisma finansēšanas novēršanas ekspertu komitejas (MONEYVAL)</w:t>
      </w:r>
      <w:r w:rsidRPr="00685D2F">
        <w:rPr>
          <w:szCs w:val="24"/>
        </w:rPr>
        <w:t xml:space="preserve"> </w:t>
      </w:r>
      <w:r w:rsidRPr="00164C02">
        <w:rPr>
          <w:szCs w:val="24"/>
        </w:rPr>
        <w:t>publicēt</w:t>
      </w:r>
      <w:r>
        <w:rPr>
          <w:szCs w:val="24"/>
        </w:rPr>
        <w:t>ajā</w:t>
      </w:r>
      <w:r w:rsidRPr="00164C02">
        <w:rPr>
          <w:szCs w:val="24"/>
        </w:rPr>
        <w:t xml:space="preserve"> 5. kārtas savstarpējā novērtējuma ziņojum</w:t>
      </w:r>
      <w:r>
        <w:rPr>
          <w:szCs w:val="24"/>
        </w:rPr>
        <w:t>ā</w:t>
      </w:r>
      <w:r w:rsidRPr="00164C02">
        <w:rPr>
          <w:szCs w:val="24"/>
        </w:rPr>
        <w:t xml:space="preserve"> par Latviju</w:t>
      </w:r>
      <w:r>
        <w:rPr>
          <w:rStyle w:val="FootnoteReference"/>
          <w:szCs w:val="24"/>
        </w:rPr>
        <w:footnoteReference w:id="1"/>
      </w:r>
      <w:r>
        <w:rPr>
          <w:szCs w:val="24"/>
        </w:rPr>
        <w:t xml:space="preserve"> </w:t>
      </w:r>
      <w:r w:rsidRPr="00685D2F">
        <w:rPr>
          <w:szCs w:val="24"/>
        </w:rPr>
        <w:t>izteiktajām rekomendācijām</w:t>
      </w:r>
      <w:r>
        <w:rPr>
          <w:szCs w:val="24"/>
        </w:rPr>
        <w:t xml:space="preserve">, </w:t>
      </w:r>
      <w:r w:rsidRPr="00685D2F">
        <w:rPr>
          <w:szCs w:val="24"/>
        </w:rPr>
        <w:t xml:space="preserve"> Latvijai būtu jāturpina noziedzīgi iegūtu līdzekļu legalizēšanas</w:t>
      </w:r>
      <w:r w:rsidR="002F2DFC">
        <w:rPr>
          <w:szCs w:val="24"/>
        </w:rPr>
        <w:t xml:space="preserve"> </w:t>
      </w:r>
      <w:r w:rsidRPr="00685D2F">
        <w:rPr>
          <w:szCs w:val="24"/>
        </w:rPr>
        <w:t>lietu izmeklēšan</w:t>
      </w:r>
      <w:r w:rsidR="002F2DFC">
        <w:rPr>
          <w:szCs w:val="24"/>
        </w:rPr>
        <w:t>a</w:t>
      </w:r>
      <w:r w:rsidRPr="00685D2F">
        <w:rPr>
          <w:szCs w:val="24"/>
        </w:rPr>
        <w:t xml:space="preserve"> kā prioritāt</w:t>
      </w:r>
      <w:r w:rsidR="002F2DFC">
        <w:rPr>
          <w:szCs w:val="24"/>
        </w:rPr>
        <w:t>e</w:t>
      </w:r>
      <w:r w:rsidRPr="00685D2F">
        <w:rPr>
          <w:szCs w:val="24"/>
        </w:rPr>
        <w:t xml:space="preserve">, ar mērķi sistemātiski saukt vainīgās personas pie atbildības par plašāku </w:t>
      </w:r>
      <w:r w:rsidR="002F2DFC">
        <w:rPr>
          <w:szCs w:val="24"/>
        </w:rPr>
        <w:t>noziedzīgi iegūtu līdzekļu legalizēšanas</w:t>
      </w:r>
      <w:r w:rsidRPr="00685D2F">
        <w:rPr>
          <w:szCs w:val="24"/>
        </w:rPr>
        <w:t xml:space="preserve"> nodarījumu loku, ieskaitot trešo personu un patstāvīgu/autonomu (</w:t>
      </w:r>
      <w:proofErr w:type="spellStart"/>
      <w:r w:rsidRPr="00685D2F">
        <w:rPr>
          <w:i/>
          <w:iCs/>
          <w:szCs w:val="24"/>
        </w:rPr>
        <w:t>stand</w:t>
      </w:r>
      <w:r w:rsidR="002A365A">
        <w:rPr>
          <w:i/>
          <w:iCs/>
          <w:szCs w:val="24"/>
        </w:rPr>
        <w:t>-</w:t>
      </w:r>
      <w:r w:rsidRPr="00685D2F">
        <w:rPr>
          <w:i/>
          <w:iCs/>
          <w:szCs w:val="24"/>
        </w:rPr>
        <w:t>alone</w:t>
      </w:r>
      <w:proofErr w:type="spellEnd"/>
      <w:r w:rsidRPr="00685D2F">
        <w:rPr>
          <w:szCs w:val="24"/>
        </w:rPr>
        <w:t xml:space="preserve">) legalizēšanu. Šīs jomas izmeklēšanām vajadzētu būt racionalizētākām un prioritārām, lai paātrinātu to ilgumu. Latvijai jāizvirza par prioritāti to </w:t>
      </w:r>
      <w:r w:rsidR="002F2DFC">
        <w:rPr>
          <w:szCs w:val="24"/>
        </w:rPr>
        <w:t>noziedzīgi iegūtu līdzekļu legalizēšanas</w:t>
      </w:r>
      <w:r w:rsidR="006956E6">
        <w:rPr>
          <w:szCs w:val="24"/>
        </w:rPr>
        <w:t xml:space="preserve"> </w:t>
      </w:r>
      <w:r w:rsidRPr="00685D2F">
        <w:rPr>
          <w:szCs w:val="24"/>
        </w:rPr>
        <w:t xml:space="preserve"> lietu izmeklēšan</w:t>
      </w:r>
      <w:r w:rsidR="00232A97">
        <w:rPr>
          <w:szCs w:val="24"/>
        </w:rPr>
        <w:t>a</w:t>
      </w:r>
      <w:r w:rsidRPr="00685D2F">
        <w:rPr>
          <w:szCs w:val="24"/>
        </w:rPr>
        <w:t xml:space="preserve">, kas atbilst, tostarp tās reģionālā finanšu centra profilam. </w:t>
      </w:r>
      <w:r w:rsidRPr="002A5AA9">
        <w:rPr>
          <w:szCs w:val="24"/>
        </w:rPr>
        <w:t xml:space="preserve">Reģionālā finanšu centra statusa kontekstā Latvija galvenokārt ir </w:t>
      </w:r>
      <w:r w:rsidR="006956E6">
        <w:rPr>
          <w:szCs w:val="24"/>
        </w:rPr>
        <w:lastRenderedPageBreak/>
        <w:t xml:space="preserve">noziedzīgi iegūtu līdzekļu legalizēšanas </w:t>
      </w:r>
      <w:r w:rsidRPr="002A5AA9">
        <w:rPr>
          <w:szCs w:val="24"/>
        </w:rPr>
        <w:t xml:space="preserve"> tranzītvalsts, kurā visaktīvāk notiek </w:t>
      </w:r>
      <w:r>
        <w:rPr>
          <w:szCs w:val="24"/>
        </w:rPr>
        <w:t>noziedzīgi iegūtu līdzekļu</w:t>
      </w:r>
      <w:r w:rsidRPr="002A5AA9">
        <w:rPr>
          <w:szCs w:val="24"/>
        </w:rPr>
        <w:t xml:space="preserve"> noslāņošanas fāze. Līdz ar to Latvijas riska profilam atbilst patstāvīg</w:t>
      </w:r>
      <w:r w:rsidR="00D267BB">
        <w:rPr>
          <w:szCs w:val="24"/>
        </w:rPr>
        <w:t>a</w:t>
      </w:r>
      <w:r w:rsidRPr="002A5AA9">
        <w:rPr>
          <w:szCs w:val="24"/>
        </w:rPr>
        <w:t xml:space="preserve"> (</w:t>
      </w:r>
      <w:proofErr w:type="spellStart"/>
      <w:r w:rsidRPr="002A5AA9">
        <w:rPr>
          <w:i/>
          <w:iCs/>
          <w:szCs w:val="24"/>
        </w:rPr>
        <w:t>stand-alone</w:t>
      </w:r>
      <w:proofErr w:type="spellEnd"/>
      <w:r w:rsidRPr="002A5AA9">
        <w:rPr>
          <w:szCs w:val="24"/>
        </w:rPr>
        <w:t xml:space="preserve">) </w:t>
      </w:r>
      <w:r w:rsidR="00D5566E">
        <w:rPr>
          <w:szCs w:val="24"/>
        </w:rPr>
        <w:t>(</w:t>
      </w:r>
      <w:r w:rsidRPr="002A5AA9">
        <w:rPr>
          <w:szCs w:val="24"/>
        </w:rPr>
        <w:t>K</w:t>
      </w:r>
      <w:r>
        <w:rPr>
          <w:szCs w:val="24"/>
        </w:rPr>
        <w:t>rimināllikuma</w:t>
      </w:r>
      <w:r w:rsidR="00232A97">
        <w:rPr>
          <w:szCs w:val="24"/>
        </w:rPr>
        <w:t xml:space="preserve"> </w:t>
      </w:r>
      <w:r w:rsidRPr="002A5AA9">
        <w:rPr>
          <w:szCs w:val="24"/>
        </w:rPr>
        <w:t>195.</w:t>
      </w:r>
      <w:r w:rsidR="00232A97">
        <w:rPr>
          <w:szCs w:val="24"/>
        </w:rPr>
        <w:t> </w:t>
      </w:r>
      <w:r w:rsidRPr="002A5AA9">
        <w:rPr>
          <w:szCs w:val="24"/>
        </w:rPr>
        <w:t xml:space="preserve">panta otrā vai trešā daļa </w:t>
      </w:r>
      <w:r w:rsidR="00232A97">
        <w:rPr>
          <w:szCs w:val="24"/>
        </w:rPr>
        <w:t xml:space="preserve">– </w:t>
      </w:r>
      <w:r w:rsidRPr="007351A6">
        <w:t>Noziedzīgi iegūtu līdzekļu legalizācijas un terorisma un proliferācijas finansēšanas</w:t>
      </w:r>
      <w:r>
        <w:t xml:space="preserve"> novēršanas likum</w:t>
      </w:r>
      <w:r w:rsidR="006956E6">
        <w:t>a</w:t>
      </w:r>
      <w:r w:rsidRPr="002A5AA9">
        <w:rPr>
          <w:szCs w:val="24"/>
        </w:rPr>
        <w:t xml:space="preserve"> 5.</w:t>
      </w:r>
      <w:r w:rsidR="00232A97">
        <w:rPr>
          <w:szCs w:val="24"/>
        </w:rPr>
        <w:t> </w:t>
      </w:r>
      <w:r w:rsidRPr="002A5AA9">
        <w:rPr>
          <w:szCs w:val="24"/>
        </w:rPr>
        <w:t xml:space="preserve">panta </w:t>
      </w:r>
      <w:r>
        <w:rPr>
          <w:szCs w:val="24"/>
        </w:rPr>
        <w:t>pirmās</w:t>
      </w:r>
      <w:r w:rsidRPr="002A5AA9">
        <w:rPr>
          <w:szCs w:val="24"/>
        </w:rPr>
        <w:t xml:space="preserve"> daļas 2.</w:t>
      </w:r>
      <w:r w:rsidR="00232A97">
        <w:rPr>
          <w:szCs w:val="24"/>
        </w:rPr>
        <w:t> </w:t>
      </w:r>
      <w:r w:rsidRPr="002A5AA9">
        <w:rPr>
          <w:szCs w:val="24"/>
        </w:rPr>
        <w:t>punkts)</w:t>
      </w:r>
      <w:r w:rsidR="00D267BB">
        <w:rPr>
          <w:szCs w:val="24"/>
        </w:rPr>
        <w:t>,</w:t>
      </w:r>
      <w:r w:rsidRPr="002A5AA9">
        <w:rPr>
          <w:szCs w:val="24"/>
        </w:rPr>
        <w:t xml:space="preserve"> finanšu sektorā veikt</w:t>
      </w:r>
      <w:r w:rsidR="00D267BB">
        <w:rPr>
          <w:szCs w:val="24"/>
        </w:rPr>
        <w:t>a</w:t>
      </w:r>
      <w:r w:rsidRPr="002A5AA9">
        <w:rPr>
          <w:szCs w:val="24"/>
        </w:rPr>
        <w:t xml:space="preserve"> (profesionāl</w:t>
      </w:r>
      <w:r w:rsidR="00D267BB">
        <w:rPr>
          <w:szCs w:val="24"/>
        </w:rPr>
        <w:t>a</w:t>
      </w:r>
      <w:r w:rsidRPr="002A5AA9">
        <w:rPr>
          <w:szCs w:val="24"/>
        </w:rPr>
        <w:t>)</w:t>
      </w:r>
      <w:r w:rsidR="0024388D">
        <w:rPr>
          <w:szCs w:val="24"/>
        </w:rPr>
        <w:t xml:space="preserve"> </w:t>
      </w:r>
      <w:r w:rsidRPr="002A5AA9">
        <w:rPr>
          <w:szCs w:val="24"/>
        </w:rPr>
        <w:t>sarežģīt</w:t>
      </w:r>
      <w:r>
        <w:rPr>
          <w:szCs w:val="24"/>
        </w:rPr>
        <w:t>a</w:t>
      </w:r>
      <w:r w:rsidRPr="002A5AA9">
        <w:rPr>
          <w:szCs w:val="24"/>
        </w:rPr>
        <w:t xml:space="preserve"> </w:t>
      </w:r>
      <w:r w:rsidR="00D267BB">
        <w:rPr>
          <w:szCs w:val="24"/>
        </w:rPr>
        <w:t>noziedzīgi iegūtu līdzekļu legalizēšanas</w:t>
      </w:r>
      <w:r w:rsidRPr="002A5AA9">
        <w:rPr>
          <w:szCs w:val="24"/>
        </w:rPr>
        <w:t xml:space="preserve"> izdarīšana.</w:t>
      </w:r>
    </w:p>
    <w:p w14:paraId="7E5C4A8A" w14:textId="2FC2DE8D" w:rsidR="00AB5546" w:rsidRDefault="00AB5546" w:rsidP="00AB5546">
      <w:pPr>
        <w:tabs>
          <w:tab w:val="num" w:pos="851"/>
        </w:tabs>
        <w:suppressAutoHyphens/>
        <w:autoSpaceDN w:val="0"/>
        <w:spacing w:before="120" w:after="0" w:line="240" w:lineRule="auto"/>
        <w:ind w:firstLine="567"/>
        <w:jc w:val="both"/>
        <w:textAlignment w:val="baseline"/>
        <w:rPr>
          <w:rFonts w:eastAsia="Times New Roman" w:cs="Times New Roman"/>
          <w:szCs w:val="24"/>
          <w:lang w:eastAsia="lv-LV"/>
        </w:rPr>
      </w:pPr>
      <w:r>
        <w:rPr>
          <w:szCs w:val="24"/>
        </w:rPr>
        <w:t xml:space="preserve">Savukārt </w:t>
      </w:r>
      <w:r w:rsidRPr="00D20642">
        <w:rPr>
          <w:rFonts w:eastAsia="Times New Roman" w:cs="Times New Roman"/>
          <w:szCs w:val="24"/>
          <w:lang w:eastAsia="lv-LV"/>
        </w:rPr>
        <w:t>Ekonomiskās sadarbības un attīstības organizācij</w:t>
      </w:r>
      <w:r>
        <w:rPr>
          <w:rFonts w:eastAsia="Times New Roman" w:cs="Times New Roman"/>
          <w:szCs w:val="24"/>
          <w:lang w:eastAsia="lv-LV"/>
        </w:rPr>
        <w:t>a</w:t>
      </w:r>
      <w:r w:rsidR="00034C36">
        <w:rPr>
          <w:rFonts w:eastAsia="Times New Roman" w:cs="Times New Roman"/>
          <w:szCs w:val="24"/>
          <w:lang w:eastAsia="lv-LV"/>
        </w:rPr>
        <w:t>s</w:t>
      </w:r>
      <w:r>
        <w:rPr>
          <w:szCs w:val="24"/>
        </w:rPr>
        <w:t xml:space="preserve"> (OECD)</w:t>
      </w:r>
      <w:r w:rsidR="00034C36">
        <w:rPr>
          <w:szCs w:val="24"/>
        </w:rPr>
        <w:t xml:space="preserve"> </w:t>
      </w:r>
      <w:r w:rsidRPr="00164C02">
        <w:rPr>
          <w:rFonts w:cs="Times New Roman"/>
          <w:bCs/>
          <w:szCs w:val="24"/>
        </w:rPr>
        <w:t>Kukuļošanas apkarošanas starptautiskajos biznesa darījumos</w:t>
      </w:r>
      <w:r w:rsidRPr="00164C02">
        <w:rPr>
          <w:szCs w:val="24"/>
        </w:rPr>
        <w:t xml:space="preserve"> darba grupas 2019.</w:t>
      </w:r>
      <w:r w:rsidR="00512613">
        <w:rPr>
          <w:szCs w:val="24"/>
        </w:rPr>
        <w:t> </w:t>
      </w:r>
      <w:r w:rsidRPr="00164C02">
        <w:rPr>
          <w:szCs w:val="24"/>
        </w:rPr>
        <w:t>gada 16.</w:t>
      </w:r>
      <w:r w:rsidR="00512613">
        <w:rPr>
          <w:szCs w:val="24"/>
        </w:rPr>
        <w:t> </w:t>
      </w:r>
      <w:r w:rsidRPr="00164C02">
        <w:rPr>
          <w:szCs w:val="24"/>
        </w:rPr>
        <w:t>oktobrī publicēt</w:t>
      </w:r>
      <w:r>
        <w:rPr>
          <w:szCs w:val="24"/>
        </w:rPr>
        <w:t>ajā</w:t>
      </w:r>
      <w:r w:rsidRPr="00164C02">
        <w:rPr>
          <w:szCs w:val="24"/>
        </w:rPr>
        <w:t xml:space="preserve"> Latvijas 3. fāzes novērtējuma ziņojum</w:t>
      </w:r>
      <w:r>
        <w:rPr>
          <w:szCs w:val="24"/>
        </w:rPr>
        <w:t>ā</w:t>
      </w:r>
      <w:r>
        <w:rPr>
          <w:rStyle w:val="FootnoteReference"/>
          <w:szCs w:val="24"/>
        </w:rPr>
        <w:footnoteReference w:id="2"/>
      </w:r>
      <w:r>
        <w:rPr>
          <w:szCs w:val="24"/>
        </w:rPr>
        <w:t xml:space="preserve"> Latvijai ir rekomendēts </w:t>
      </w:r>
      <w:r>
        <w:rPr>
          <w:rFonts w:eastAsia="Times New Roman" w:cs="Times New Roman"/>
          <w:szCs w:val="24"/>
          <w:lang w:eastAsia="lv-LV"/>
        </w:rPr>
        <w:t>p</w:t>
      </w:r>
      <w:r w:rsidRPr="00ED105C">
        <w:rPr>
          <w:rFonts w:eastAsia="Times New Roman" w:cs="Times New Roman"/>
          <w:szCs w:val="24"/>
          <w:lang w:eastAsia="lv-LV"/>
        </w:rPr>
        <w:t xml:space="preserve">aredzēt </w:t>
      </w:r>
      <w:r>
        <w:rPr>
          <w:rFonts w:eastAsia="Times New Roman" w:cs="Times New Roman"/>
          <w:szCs w:val="24"/>
          <w:lang w:eastAsia="lv-LV"/>
        </w:rPr>
        <w:t xml:space="preserve">un atvēlēt </w:t>
      </w:r>
      <w:r w:rsidRPr="00ED105C">
        <w:rPr>
          <w:rFonts w:eastAsia="Times New Roman" w:cs="Times New Roman"/>
          <w:szCs w:val="24"/>
          <w:lang w:eastAsia="lv-LV"/>
        </w:rPr>
        <w:t xml:space="preserve">pietiekamus resursus un zināšanas tām iestādēm, kas atklāj, izmeklē un iztiesā ārvalstu </w:t>
      </w:r>
      <w:r>
        <w:rPr>
          <w:rFonts w:eastAsia="Times New Roman" w:cs="Times New Roman"/>
          <w:szCs w:val="24"/>
          <w:lang w:eastAsia="lv-LV"/>
        </w:rPr>
        <w:t xml:space="preserve">amatpersonu </w:t>
      </w:r>
      <w:r w:rsidRPr="00ED105C">
        <w:rPr>
          <w:rFonts w:eastAsia="Times New Roman" w:cs="Times New Roman"/>
          <w:szCs w:val="24"/>
          <w:lang w:eastAsia="lv-LV"/>
        </w:rPr>
        <w:t>kukuļošan</w:t>
      </w:r>
      <w:r>
        <w:rPr>
          <w:rFonts w:eastAsia="Times New Roman" w:cs="Times New Roman"/>
          <w:szCs w:val="24"/>
          <w:lang w:eastAsia="lv-LV"/>
        </w:rPr>
        <w:t>u</w:t>
      </w:r>
      <w:r w:rsidRPr="00ED105C">
        <w:rPr>
          <w:rFonts w:eastAsia="Times New Roman" w:cs="Times New Roman"/>
          <w:szCs w:val="24"/>
          <w:lang w:eastAsia="lv-LV"/>
        </w:rPr>
        <w:t xml:space="preserve"> un </w:t>
      </w:r>
      <w:r>
        <w:rPr>
          <w:rFonts w:eastAsia="Times New Roman" w:cs="Times New Roman"/>
          <w:szCs w:val="24"/>
          <w:lang w:eastAsia="lv-LV"/>
        </w:rPr>
        <w:t xml:space="preserve">ar to </w:t>
      </w:r>
      <w:r w:rsidRPr="00ED105C">
        <w:rPr>
          <w:rFonts w:eastAsia="Times New Roman" w:cs="Times New Roman"/>
          <w:szCs w:val="24"/>
          <w:lang w:eastAsia="lv-LV"/>
        </w:rPr>
        <w:t>saistīto</w:t>
      </w:r>
      <w:r w:rsidRPr="006F13E1">
        <w:rPr>
          <w:szCs w:val="24"/>
        </w:rPr>
        <w:t xml:space="preserve"> </w:t>
      </w:r>
      <w:r>
        <w:rPr>
          <w:szCs w:val="24"/>
        </w:rPr>
        <w:t>noziedzīgi iegūtu līdzekļu legalizēšanu</w:t>
      </w:r>
      <w:r>
        <w:rPr>
          <w:rFonts w:eastAsia="Times New Roman" w:cs="Times New Roman"/>
          <w:szCs w:val="24"/>
          <w:lang w:eastAsia="lv-LV"/>
        </w:rPr>
        <w:t>. Vienlaikus Latvijai tiek rekomendēts p</w:t>
      </w:r>
      <w:r w:rsidRPr="00ED105C">
        <w:rPr>
          <w:rFonts w:eastAsia="Times New Roman" w:cs="Times New Roman"/>
          <w:szCs w:val="24"/>
          <w:lang w:eastAsia="lv-LV"/>
        </w:rPr>
        <w:t>astiprināt soda neizbēgamības principa ieviešanu pār tām juridiskām un fiziskām personām, īpaši finanšu jomā, kas ir iesaistītas ārvalstu kukuļošanas shēmās</w:t>
      </w:r>
      <w:r>
        <w:rPr>
          <w:rFonts w:eastAsia="Times New Roman" w:cs="Times New Roman"/>
          <w:szCs w:val="24"/>
          <w:lang w:eastAsia="lv-LV"/>
        </w:rPr>
        <w:t>, kā arī n</w:t>
      </w:r>
      <w:r w:rsidRPr="00ED105C">
        <w:rPr>
          <w:rFonts w:eastAsia="Times New Roman" w:cs="Times New Roman"/>
          <w:szCs w:val="24"/>
          <w:lang w:eastAsia="lv-LV"/>
        </w:rPr>
        <w:t xml:space="preserve">ostiprināt sadarbību starp </w:t>
      </w:r>
      <w:r>
        <w:rPr>
          <w:rFonts w:eastAsia="Times New Roman" w:cs="Times New Roman"/>
          <w:szCs w:val="24"/>
          <w:lang w:eastAsia="lv-LV"/>
        </w:rPr>
        <w:t>Korupcijas novēršanas un apkarošanas biroju</w:t>
      </w:r>
      <w:r w:rsidRPr="00ED105C">
        <w:rPr>
          <w:rFonts w:eastAsia="Times New Roman" w:cs="Times New Roman"/>
          <w:szCs w:val="24"/>
          <w:lang w:eastAsia="lv-LV"/>
        </w:rPr>
        <w:t>, Valsts policiju un prokuratūru, lai nodrošinātu stratēģisku pieeju sarežģītu ekonomisko nozie</w:t>
      </w:r>
      <w:r w:rsidR="00034C36">
        <w:rPr>
          <w:rFonts w:eastAsia="Times New Roman" w:cs="Times New Roman"/>
          <w:szCs w:val="24"/>
          <w:lang w:eastAsia="lv-LV"/>
        </w:rPr>
        <w:t>dzīgo nodarījumu</w:t>
      </w:r>
      <w:r w:rsidRPr="00ED105C">
        <w:rPr>
          <w:rFonts w:eastAsia="Times New Roman" w:cs="Times New Roman"/>
          <w:szCs w:val="24"/>
          <w:lang w:eastAsia="lv-LV"/>
        </w:rPr>
        <w:t xml:space="preserve"> izmeklēšanā</w:t>
      </w:r>
      <w:r>
        <w:rPr>
          <w:rFonts w:eastAsia="Times New Roman" w:cs="Times New Roman"/>
          <w:szCs w:val="24"/>
          <w:lang w:eastAsia="lv-LV"/>
        </w:rPr>
        <w:t>, un n</w:t>
      </w:r>
      <w:r w:rsidRPr="00ED105C">
        <w:rPr>
          <w:rFonts w:eastAsia="Times New Roman" w:cs="Times New Roman"/>
          <w:szCs w:val="24"/>
          <w:lang w:eastAsia="lv-LV"/>
        </w:rPr>
        <w:t>odrošināt</w:t>
      </w:r>
      <w:r>
        <w:rPr>
          <w:rFonts w:eastAsia="Times New Roman" w:cs="Times New Roman"/>
          <w:szCs w:val="24"/>
          <w:lang w:eastAsia="lv-LV"/>
        </w:rPr>
        <w:t>u</w:t>
      </w:r>
      <w:r w:rsidRPr="00ED105C">
        <w:rPr>
          <w:rFonts w:eastAsia="Times New Roman" w:cs="Times New Roman"/>
          <w:szCs w:val="24"/>
          <w:lang w:eastAsia="lv-LV"/>
        </w:rPr>
        <w:t xml:space="preserve"> efektīvu finanšu sektora uzraudzību un kontroli.</w:t>
      </w:r>
    </w:p>
    <w:p w14:paraId="35A497D4" w14:textId="5615705C" w:rsidR="00AB5546" w:rsidRPr="002A5AA9" w:rsidRDefault="00AB5546" w:rsidP="00AB5546">
      <w:pPr>
        <w:pStyle w:val="NormalWeb"/>
        <w:spacing w:before="120" w:beforeAutospacing="0" w:after="0" w:afterAutospacing="0"/>
        <w:ind w:firstLine="567"/>
        <w:jc w:val="both"/>
        <w:rPr>
          <w:bCs/>
        </w:rPr>
      </w:pPr>
      <w:bookmarkStart w:id="49" w:name="_Hlk64020898"/>
      <w:r w:rsidRPr="00685D2F">
        <w:t>Nosakot</w:t>
      </w:r>
      <w:r>
        <w:t xml:space="preserve"> Prokuratūras</w:t>
      </w:r>
      <w:r w:rsidRPr="00685D2F">
        <w:t xml:space="preserve"> prioritāros virzienus noziedzīgi iegūtu līdzekļu legalizēšanas apkarošanai </w:t>
      </w:r>
      <w:bookmarkEnd w:id="49"/>
      <w:r w:rsidRPr="00685D2F">
        <w:t>2020. gadam, kā arī definējot šādus virzienus 2021. gadam, tika ņemtas vērā</w:t>
      </w:r>
      <w:r w:rsidR="00034C36" w:rsidRPr="00034C36">
        <w:t xml:space="preserve"> </w:t>
      </w:r>
      <w:r w:rsidR="00034C36" w:rsidRPr="00164C02">
        <w:t>Eiropas Padomes noziedzīgi iegūtu līdzekļu legalizācijas un terorisma finansēšanas novēršanas ekspertu komitejas</w:t>
      </w:r>
      <w:r w:rsidRPr="00685D2F">
        <w:t xml:space="preserve"> </w:t>
      </w:r>
      <w:r w:rsidR="00034C36">
        <w:t>(</w:t>
      </w:r>
      <w:r w:rsidRPr="00164C02">
        <w:t>MONEYVAL</w:t>
      </w:r>
      <w:r w:rsidR="00034C36">
        <w:t>)</w:t>
      </w:r>
      <w:r>
        <w:t xml:space="preserve"> un</w:t>
      </w:r>
      <w:r w:rsidR="00034C36" w:rsidRPr="00034C36">
        <w:t xml:space="preserve"> </w:t>
      </w:r>
      <w:r w:rsidR="00034C36">
        <w:t>Ekonomiskās sadarbības un attīstības organizācijas</w:t>
      </w:r>
      <w:r>
        <w:t xml:space="preserve"> </w:t>
      </w:r>
      <w:r w:rsidR="00034C36">
        <w:t>(</w:t>
      </w:r>
      <w:r>
        <w:t>OECD</w:t>
      </w:r>
      <w:r w:rsidR="00034C36">
        <w:t>)</w:t>
      </w:r>
      <w:r>
        <w:t xml:space="preserve"> izteiktās rekomendācijas, kā arī </w:t>
      </w:r>
      <w:r w:rsidRPr="00685D2F">
        <w:t>Nacionālajā Noziedzīgi iegūtu līdzekļu legalizācijas un terorisma un proliferācijas finansēšanas (turpmāk – NILLTPF) riska novērtējuma ziņojumā par 2017.</w:t>
      </w:r>
      <w:r w:rsidR="004D630F">
        <w:t>–</w:t>
      </w:r>
      <w:r w:rsidRPr="00685D2F">
        <w:t>2019.</w:t>
      </w:r>
      <w:r w:rsidR="00512613">
        <w:t> </w:t>
      </w:r>
      <w:r w:rsidRPr="00685D2F">
        <w:t>gadu ietvertās tendences un secinājumi NILLTPF novēršanas un apkarošanas jomā. Tāpat nosakāmo prioritāšu definēšanā tika ņemtas vērā arī citos dokumentos ietvertās tendences un secinājumi NILLTPF novēršanas un apkarošanas jomā, tostarp Ministru kabineta 2019.</w:t>
      </w:r>
      <w:r w:rsidR="00512613">
        <w:t> </w:t>
      </w:r>
      <w:r w:rsidRPr="00685D2F">
        <w:t>gada 23.</w:t>
      </w:r>
      <w:r w:rsidR="00512613">
        <w:t> </w:t>
      </w:r>
      <w:r w:rsidRPr="00685D2F">
        <w:t>decembra rīkojum</w:t>
      </w:r>
      <w:r>
        <w:t>ā</w:t>
      </w:r>
      <w:r w:rsidRPr="00685D2F">
        <w:t xml:space="preserve"> Nr.</w:t>
      </w:r>
      <w:r w:rsidR="00512613">
        <w:t> </w:t>
      </w:r>
      <w:r w:rsidRPr="00685D2F">
        <w:t xml:space="preserve">653 </w:t>
      </w:r>
      <w:r>
        <w:t>“</w:t>
      </w:r>
      <w:hyperlink r:id="rId187" w:tgtFrame="_blank" w:history="1">
        <w:r w:rsidRPr="00685D2F">
          <w:t>Par Pasākumu plānu noziedzīgi iegūtu līdzekļu legalizācijas, terorisma un proliferācijas finansēšanas novēršanai laikposmam no 2020. līdz 2022. gadam</w:t>
        </w:r>
      </w:hyperlink>
      <w:r>
        <w:t>”</w:t>
      </w:r>
      <w:r w:rsidRPr="00685D2F">
        <w:t xml:space="preserve"> un šobrīd spēkā esoša</w:t>
      </w:r>
      <w:r>
        <w:t>jā</w:t>
      </w:r>
      <w:r w:rsidRPr="00685D2F">
        <w:t xml:space="preserve"> </w:t>
      </w:r>
      <w:bookmarkStart w:id="50" w:name="_Hlk62806074"/>
      <w:r w:rsidRPr="00685D2F">
        <w:t>Ministru kabineta 2020.</w:t>
      </w:r>
      <w:r w:rsidR="00512613">
        <w:t> </w:t>
      </w:r>
      <w:r w:rsidRPr="00685D2F">
        <w:t>gada 29.</w:t>
      </w:r>
      <w:r w:rsidR="00512613">
        <w:t> </w:t>
      </w:r>
      <w:r w:rsidRPr="00685D2F">
        <w:t>septembra rīkojum</w:t>
      </w:r>
      <w:r>
        <w:t>ā</w:t>
      </w:r>
      <w:r w:rsidRPr="00685D2F">
        <w:t xml:space="preserve"> Nr.</w:t>
      </w:r>
      <w:r w:rsidR="00512613">
        <w:t xml:space="preserve"> </w:t>
      </w:r>
      <w:r w:rsidRPr="00685D2F">
        <w:t>576 “Pasākumu plāns noziedzīgi iegūtu līdzekļu legalizācijas, terorisma un proliferācijas finansēšanas novēršanai laikposmam no 2020. līdz 2022.</w:t>
      </w:r>
      <w:r w:rsidR="00512613">
        <w:t> </w:t>
      </w:r>
      <w:r w:rsidRPr="00685D2F">
        <w:t>gadam”</w:t>
      </w:r>
      <w:bookmarkEnd w:id="50"/>
      <w:r>
        <w:t xml:space="preserve"> ietvertie pasākumi cīņā ar noziedzīgi iegūtu līdzekļu legalizēšanu</w:t>
      </w:r>
      <w:r w:rsidRPr="00685D2F">
        <w:t xml:space="preserve">. </w:t>
      </w:r>
      <w:r>
        <w:t>Vienlaikus</w:t>
      </w:r>
      <w:r w:rsidRPr="002A5AA9">
        <w:t xml:space="preserve"> </w:t>
      </w:r>
      <w:r>
        <w:t>p</w:t>
      </w:r>
      <w:r w:rsidRPr="002A5AA9">
        <w:t xml:space="preserve">rokuratūras izvirzītās prioritātes NILLTPF novēršanas un apkarošanas jomā tiek stiprinātas ar pamatnostādnēm, kuras ietvertas arī 2020. gadā izstrādātajā un pieņemtajā </w:t>
      </w:r>
      <w:r w:rsidRPr="002A5AA9">
        <w:rPr>
          <w:bCs/>
        </w:rPr>
        <w:t>Pasākumu plānā samērīgas pieejas nostiprināšanai, izpildot noziedzīgi iegūtu līdzekļu legalizācijas un terorisma un proliferācijas finansēšanas novēršanas prasības.</w:t>
      </w:r>
    </w:p>
    <w:p w14:paraId="0661780F" w14:textId="27324B02" w:rsidR="00AB5546" w:rsidRDefault="00AB5546" w:rsidP="00AB5546">
      <w:pPr>
        <w:spacing w:before="120" w:after="0" w:line="240" w:lineRule="auto"/>
        <w:ind w:firstLine="567"/>
        <w:jc w:val="both"/>
      </w:pPr>
      <w:r>
        <w:rPr>
          <w:rFonts w:eastAsia="Times New Roman" w:cs="Times New Roman"/>
          <w:szCs w:val="24"/>
          <w:lang w:eastAsia="lv-LV"/>
        </w:rPr>
        <w:t>Definējot</w:t>
      </w:r>
      <w:r w:rsidRPr="00685D2F">
        <w:rPr>
          <w:rFonts w:eastAsia="Times New Roman" w:cs="Times New Roman"/>
          <w:szCs w:val="24"/>
          <w:lang w:eastAsia="lv-LV"/>
        </w:rPr>
        <w:t xml:space="preserve"> </w:t>
      </w:r>
      <w:r>
        <w:rPr>
          <w:rFonts w:eastAsia="Times New Roman" w:cs="Times New Roman"/>
          <w:szCs w:val="24"/>
          <w:lang w:eastAsia="lv-LV"/>
        </w:rPr>
        <w:t xml:space="preserve">prokuratūras </w:t>
      </w:r>
      <w:r w:rsidRPr="00685D2F">
        <w:rPr>
          <w:rFonts w:eastAsia="Times New Roman" w:cs="Times New Roman"/>
          <w:szCs w:val="24"/>
          <w:lang w:eastAsia="lv-LV"/>
        </w:rPr>
        <w:t>prioritāros virzienus noziedzīgi iegūtu līdzekļu legalizēšanas apkarošanai</w:t>
      </w:r>
      <w:r>
        <w:rPr>
          <w:rFonts w:eastAsia="Times New Roman" w:cs="Times New Roman"/>
          <w:szCs w:val="24"/>
          <w:lang w:eastAsia="lv-LV"/>
        </w:rPr>
        <w:t xml:space="preserve">, prokuratūra 2020. gadā izstrādāja un 2021. gadā ģenerālprokurors apstiprināja Pasākumu plānu </w:t>
      </w:r>
      <w:r w:rsidRPr="00EB33BF">
        <w:rPr>
          <w:szCs w:val="24"/>
        </w:rPr>
        <w:t xml:space="preserve">Eiropas Padomes </w:t>
      </w:r>
      <w:r w:rsidRPr="00EB33BF">
        <w:t xml:space="preserve">noziedzīgi iegūtu līdzekļu legalizācijas un terorisma finansēšanas novēršanas ekspertu komitejas </w:t>
      </w:r>
      <w:r w:rsidR="00034C36">
        <w:t xml:space="preserve">(MONEYVAL) </w:t>
      </w:r>
      <w:r w:rsidRPr="00EB33BF">
        <w:t xml:space="preserve">un Ekonomiskās sadarbības un attīstības organizācijas </w:t>
      </w:r>
      <w:r w:rsidR="00034C36">
        <w:t xml:space="preserve">(OECD) </w:t>
      </w:r>
      <w:r w:rsidRPr="00EB33BF">
        <w:t>rekomendāciju izpildei</w:t>
      </w:r>
      <w:r>
        <w:t>.</w:t>
      </w:r>
    </w:p>
    <w:p w14:paraId="64479B55" w14:textId="66F6E248" w:rsidR="00AB5546" w:rsidRDefault="00AB5546" w:rsidP="00AB5546">
      <w:pPr>
        <w:pStyle w:val="CommentText"/>
        <w:spacing w:before="120" w:after="0"/>
        <w:ind w:firstLine="567"/>
        <w:jc w:val="both"/>
        <w:rPr>
          <w:rFonts w:eastAsia="Times New Roman" w:cs="Times New Roman"/>
          <w:sz w:val="24"/>
          <w:szCs w:val="24"/>
          <w:lang w:eastAsia="lv-LV"/>
        </w:rPr>
      </w:pPr>
      <w:bookmarkStart w:id="51" w:name="_Hlk64034156"/>
      <w:r w:rsidRPr="002A5AA9">
        <w:rPr>
          <w:sz w:val="24"/>
          <w:szCs w:val="24"/>
        </w:rPr>
        <w:t>Apzinoties nepieciešamību stiprināt prokurora lomu izmeklēšanā, kriminālvajāšanā un valsts apsūdzības uzturēšanā, prokuratūra</w:t>
      </w:r>
      <w:r>
        <w:rPr>
          <w:sz w:val="24"/>
          <w:szCs w:val="24"/>
        </w:rPr>
        <w:t xml:space="preserve">, tostarp </w:t>
      </w:r>
      <w:r w:rsidRPr="00685D2F">
        <w:rPr>
          <w:rFonts w:eastAsia="Times New Roman" w:cs="Times New Roman"/>
          <w:sz w:val="24"/>
          <w:szCs w:val="24"/>
          <w:lang w:eastAsia="lv-LV"/>
        </w:rPr>
        <w:t>ievērojot Latvijas nacionālā NILLTPF novēršanas riska profilu</w:t>
      </w:r>
      <w:r>
        <w:rPr>
          <w:rFonts w:eastAsia="Times New Roman" w:cs="Times New Roman"/>
          <w:sz w:val="24"/>
          <w:szCs w:val="24"/>
          <w:lang w:eastAsia="lv-LV"/>
        </w:rPr>
        <w:t>:</w:t>
      </w:r>
    </w:p>
    <w:bookmarkEnd w:id="51"/>
    <w:p w14:paraId="1FBBB6A3" w14:textId="6C9BCA04" w:rsidR="00AB5546" w:rsidRPr="00C53B7E" w:rsidRDefault="00AB5546" w:rsidP="00C53B7E">
      <w:pPr>
        <w:pStyle w:val="CommentText"/>
        <w:spacing w:after="0"/>
        <w:jc w:val="both"/>
        <w:rPr>
          <w:rFonts w:eastAsia="Times New Roman" w:cs="Times New Roman"/>
          <w:sz w:val="24"/>
          <w:szCs w:val="24"/>
          <w:lang w:eastAsia="lv-LV"/>
        </w:rPr>
      </w:pPr>
      <w:r w:rsidRPr="00685D2F">
        <w:rPr>
          <w:rFonts w:eastAsia="Times New Roman" w:cs="Times New Roman"/>
          <w:sz w:val="24"/>
          <w:szCs w:val="24"/>
          <w:lang w:eastAsia="lv-LV"/>
        </w:rPr>
        <w:t>1) noziedzīgi iegūtu līdzekļu legalizēšana, izmantojot Latviju kā tranzīta valsti</w:t>
      </w:r>
      <w:r>
        <w:rPr>
          <w:rFonts w:eastAsia="Times New Roman" w:cs="Times New Roman"/>
          <w:sz w:val="24"/>
          <w:szCs w:val="24"/>
          <w:lang w:eastAsia="lv-LV"/>
        </w:rPr>
        <w:t>,</w:t>
      </w:r>
      <w:r w:rsidRPr="00685D2F">
        <w:rPr>
          <w:rFonts w:eastAsia="Times New Roman" w:cs="Times New Roman"/>
          <w:sz w:val="24"/>
          <w:szCs w:val="24"/>
          <w:lang w:eastAsia="lv-LV"/>
        </w:rPr>
        <w:t xml:space="preserve"> un 2) noziedzīgi iegūtu līdzekļu legalizēšana, izmantojot Latvijas un ES </w:t>
      </w:r>
      <w:r>
        <w:rPr>
          <w:rFonts w:eastAsia="Times New Roman" w:cs="Times New Roman"/>
          <w:sz w:val="24"/>
          <w:szCs w:val="24"/>
          <w:lang w:eastAsia="lv-LV"/>
        </w:rPr>
        <w:t xml:space="preserve">un trešo valstu </w:t>
      </w:r>
      <w:r w:rsidRPr="00685D2F">
        <w:rPr>
          <w:rFonts w:eastAsia="Times New Roman" w:cs="Times New Roman"/>
          <w:sz w:val="24"/>
          <w:szCs w:val="24"/>
          <w:lang w:eastAsia="lv-LV"/>
        </w:rPr>
        <w:t>ietvaros izdarītā predikatīvā noziedzīgā nodarījuma rezultātā iegūtus līdzekļus</w:t>
      </w:r>
      <w:r>
        <w:rPr>
          <w:rFonts w:eastAsia="Times New Roman" w:cs="Times New Roman"/>
          <w:sz w:val="24"/>
          <w:szCs w:val="24"/>
          <w:lang w:eastAsia="lv-LV"/>
        </w:rPr>
        <w:t>,</w:t>
      </w:r>
      <w:r w:rsidR="00C53B7E">
        <w:rPr>
          <w:rFonts w:eastAsia="Times New Roman" w:cs="Times New Roman"/>
          <w:sz w:val="24"/>
          <w:szCs w:val="24"/>
          <w:lang w:eastAsia="lv-LV"/>
        </w:rPr>
        <w:t xml:space="preserve"> </w:t>
      </w:r>
      <w:r w:rsidRPr="002A5AA9">
        <w:rPr>
          <w:sz w:val="24"/>
          <w:szCs w:val="24"/>
        </w:rPr>
        <w:t xml:space="preserve">kā prioritāros virzienus noziedzīgi iegūtu līdzekļu legalizēšanas apkarošanai noteica noziedzīgi iegūtu līdzekļu </w:t>
      </w:r>
      <w:r w:rsidRPr="002A5AA9">
        <w:rPr>
          <w:sz w:val="24"/>
          <w:szCs w:val="24"/>
        </w:rPr>
        <w:lastRenderedPageBreak/>
        <w:t>legalizēšanu, kura veikta</w:t>
      </w:r>
      <w:r w:rsidR="004D630F">
        <w:rPr>
          <w:sz w:val="24"/>
          <w:szCs w:val="24"/>
        </w:rPr>
        <w:t>,</w:t>
      </w:r>
      <w:r w:rsidRPr="002A5AA9">
        <w:rPr>
          <w:sz w:val="24"/>
          <w:szCs w:val="24"/>
        </w:rPr>
        <w:t xml:space="preserve"> izmantojot Latviju kā finanšu līdzekļu tranzīta valsti</w:t>
      </w:r>
      <w:r>
        <w:rPr>
          <w:sz w:val="24"/>
          <w:szCs w:val="24"/>
        </w:rPr>
        <w:t>,</w:t>
      </w:r>
      <w:r w:rsidRPr="002A5AA9">
        <w:rPr>
          <w:sz w:val="24"/>
          <w:szCs w:val="24"/>
        </w:rPr>
        <w:t xml:space="preserve"> un tādu noziedzīgi iegūtu līdzekļu legalizēšanu, kura izdarīta, lai gūtu ekonomisku labumu no Latvijā un ārvalstīs veiktā predikatīvā noziedzīgā nodarījuma. Pirmajā gadījumā īpaša uzmanība prokurora lomas stiprināšanā izmeklēšanā, kriminālvajāšanā un valsts apsūdzības uzturēšanā tika definēta attiecībā uz autonomu legalizēšanu (</w:t>
      </w:r>
      <w:proofErr w:type="spellStart"/>
      <w:r w:rsidRPr="007F59E9">
        <w:rPr>
          <w:i/>
          <w:iCs/>
          <w:sz w:val="24"/>
          <w:szCs w:val="24"/>
        </w:rPr>
        <w:t>stand</w:t>
      </w:r>
      <w:r w:rsidR="002A365A">
        <w:rPr>
          <w:i/>
          <w:iCs/>
          <w:sz w:val="24"/>
          <w:szCs w:val="24"/>
        </w:rPr>
        <w:t>-</w:t>
      </w:r>
      <w:r w:rsidRPr="007F59E9">
        <w:rPr>
          <w:i/>
          <w:iCs/>
          <w:sz w:val="24"/>
          <w:szCs w:val="24"/>
        </w:rPr>
        <w:t>alone</w:t>
      </w:r>
      <w:proofErr w:type="spellEnd"/>
      <w:r w:rsidRPr="002A5AA9">
        <w:rPr>
          <w:sz w:val="24"/>
          <w:szCs w:val="24"/>
        </w:rPr>
        <w:t xml:space="preserve"> pieeju)</w:t>
      </w:r>
      <w:r>
        <w:rPr>
          <w:sz w:val="24"/>
          <w:szCs w:val="24"/>
        </w:rPr>
        <w:t>. Tāpat, apzinoties kā prioritāru nepieciešamību jau agrīnajā stadijā identificēt un izņemt no Latvijas finanšu sistēmas apgrozības noziedzīgi iegūtus aktīvus, prokuratūra kā prioritāti definēja arī procesu paātrināš</w:t>
      </w:r>
      <w:r w:rsidR="00072A26">
        <w:rPr>
          <w:sz w:val="24"/>
          <w:szCs w:val="24"/>
        </w:rPr>
        <w:t>an</w:t>
      </w:r>
      <w:r>
        <w:rPr>
          <w:sz w:val="24"/>
          <w:szCs w:val="24"/>
        </w:rPr>
        <w:t>u mantas atzīšanai par noziedzīgi iegūtu un tās konfiscēšanu.</w:t>
      </w:r>
    </w:p>
    <w:p w14:paraId="7F5A52FE" w14:textId="30C42335" w:rsidR="00AB5546" w:rsidRPr="00417DFA" w:rsidRDefault="00AB5546" w:rsidP="00AB5546">
      <w:pPr>
        <w:pStyle w:val="NoSpacing"/>
        <w:spacing w:before="120"/>
        <w:ind w:firstLine="567"/>
        <w:jc w:val="both"/>
      </w:pPr>
      <w:r w:rsidRPr="00417DFA">
        <w:rPr>
          <w:iCs/>
        </w:rPr>
        <w:t>2020. gadā uzsākti 343</w:t>
      </w:r>
      <w:r w:rsidR="00072A26" w:rsidRPr="00417DFA">
        <w:rPr>
          <w:iCs/>
        </w:rPr>
        <w:t> </w:t>
      </w:r>
      <w:r w:rsidRPr="00417DFA">
        <w:rPr>
          <w:iCs/>
        </w:rPr>
        <w:t>kriminālprocesi, kuros izmeklējamo noziedzīgo nodarījumu kvalifikācija noteikta atbilstoši K</w:t>
      </w:r>
      <w:r w:rsidR="00072A26" w:rsidRPr="00417DFA">
        <w:rPr>
          <w:iCs/>
        </w:rPr>
        <w:t>rimināllikuma</w:t>
      </w:r>
      <w:r w:rsidRPr="00417DFA">
        <w:rPr>
          <w:iCs/>
        </w:rPr>
        <w:t xml:space="preserve"> 195.</w:t>
      </w:r>
      <w:r w:rsidR="00072A26" w:rsidRPr="00417DFA">
        <w:rPr>
          <w:iCs/>
        </w:rPr>
        <w:t> </w:t>
      </w:r>
      <w:r w:rsidRPr="00417DFA">
        <w:rPr>
          <w:iCs/>
        </w:rPr>
        <w:t>pantam,</w:t>
      </w:r>
      <w:r w:rsidRPr="00417DFA">
        <w:t xml:space="preserve"> kas</w:t>
      </w:r>
      <w:r w:rsidR="00072A26" w:rsidRPr="00417DFA">
        <w:t>,</w:t>
      </w:r>
      <w:r w:rsidRPr="00417DFA">
        <w:t xml:space="preserve"> salīdzinot ar 2019. gadu</w:t>
      </w:r>
      <w:r w:rsidR="00072A26" w:rsidRPr="00417DFA">
        <w:t>,</w:t>
      </w:r>
      <w:r w:rsidRPr="00417DFA">
        <w:t xml:space="preserve"> ir procentuāli neliels </w:t>
      </w:r>
      <w:r w:rsidR="00072A26" w:rsidRPr="00417DFA">
        <w:t xml:space="preserve">– </w:t>
      </w:r>
      <w:r w:rsidRPr="00417DFA">
        <w:t>2,39</w:t>
      </w:r>
      <w:r w:rsidR="00072A26" w:rsidRPr="00417DFA">
        <w:t xml:space="preserve"> % </w:t>
      </w:r>
      <w:r w:rsidRPr="00417DFA">
        <w:t xml:space="preserve">kāpums. </w:t>
      </w:r>
    </w:p>
    <w:p w14:paraId="472EE66D" w14:textId="75D72CAE" w:rsidR="00AB5546" w:rsidRPr="00417DFA" w:rsidRDefault="00AB5546" w:rsidP="00AB5546">
      <w:pPr>
        <w:pStyle w:val="NoSpacing"/>
        <w:spacing w:before="120"/>
        <w:ind w:firstLine="567"/>
        <w:jc w:val="both"/>
        <w:rPr>
          <w:iCs/>
        </w:rPr>
      </w:pPr>
      <w:r w:rsidRPr="00417DFA">
        <w:rPr>
          <w:iCs/>
        </w:rPr>
        <w:t>2020. gadā prokuratūrai kriminālvajāšanas uzsākšanai nodoti 69</w:t>
      </w:r>
      <w:r w:rsidR="00072A26" w:rsidRPr="00417DFA">
        <w:rPr>
          <w:iCs/>
        </w:rPr>
        <w:t> </w:t>
      </w:r>
      <w:r w:rsidRPr="00417DFA">
        <w:rPr>
          <w:iCs/>
        </w:rPr>
        <w:t>kriminālprocesi, kas</w:t>
      </w:r>
      <w:r w:rsidR="00072A26" w:rsidRPr="00417DFA">
        <w:rPr>
          <w:iCs/>
        </w:rPr>
        <w:t>,</w:t>
      </w:r>
      <w:r w:rsidRPr="00417DFA">
        <w:rPr>
          <w:iCs/>
        </w:rPr>
        <w:t xml:space="preserve"> salīdzinot ar </w:t>
      </w:r>
      <w:r w:rsidRPr="00417DFA">
        <w:t>2019. gadu</w:t>
      </w:r>
      <w:r w:rsidR="00072A26" w:rsidRPr="00417DFA">
        <w:t>,</w:t>
      </w:r>
      <w:r w:rsidRPr="00417DFA">
        <w:t xml:space="preserve"> ir kāpums par 4,55</w:t>
      </w:r>
      <w:r w:rsidR="00072A26" w:rsidRPr="00417DFA">
        <w:t> %</w:t>
      </w:r>
      <w:r w:rsidRPr="00417DFA">
        <w:t>.</w:t>
      </w:r>
    </w:p>
    <w:p w14:paraId="6D4AC77A" w14:textId="42ED9F8D" w:rsidR="00AB5546" w:rsidRPr="00417DFA" w:rsidRDefault="00AB5546" w:rsidP="00AB5546">
      <w:pPr>
        <w:pStyle w:val="NoSpacing"/>
        <w:spacing w:before="120"/>
        <w:ind w:firstLine="567"/>
        <w:jc w:val="both"/>
        <w:rPr>
          <w:iCs/>
          <w:lang w:eastAsia="lv-LV"/>
        </w:rPr>
      </w:pPr>
      <w:r w:rsidRPr="00417DFA">
        <w:rPr>
          <w:iCs/>
          <w:lang w:eastAsia="lv-LV"/>
        </w:rPr>
        <w:t>2020. gadā 47</w:t>
      </w:r>
      <w:r w:rsidR="00072A26" w:rsidRPr="00417DFA">
        <w:rPr>
          <w:iCs/>
          <w:lang w:eastAsia="lv-LV"/>
        </w:rPr>
        <w:t> </w:t>
      </w:r>
      <w:r w:rsidRPr="00417DFA">
        <w:rPr>
          <w:iCs/>
          <w:lang w:eastAsia="lv-LV"/>
        </w:rPr>
        <w:t>kriminālprocesi pabeigti, pieņemot lēmumu par krimināllietas nodošanu tiesai, tostarp 9</w:t>
      </w:r>
      <w:r w:rsidR="00072A26" w:rsidRPr="00417DFA">
        <w:rPr>
          <w:iCs/>
          <w:lang w:eastAsia="lv-LV"/>
        </w:rPr>
        <w:t> </w:t>
      </w:r>
      <w:r w:rsidRPr="00417DFA">
        <w:rPr>
          <w:iCs/>
          <w:lang w:eastAsia="lv-LV"/>
        </w:rPr>
        <w:t>kriminālprocesos slēdzot vienošanos par vainas atzīšanu un sodu.</w:t>
      </w:r>
      <w:r w:rsidRPr="00417DFA">
        <w:rPr>
          <w:iCs/>
        </w:rPr>
        <w:t xml:space="preserve"> Pēc K</w:t>
      </w:r>
      <w:r w:rsidR="00072A26" w:rsidRPr="00417DFA">
        <w:rPr>
          <w:iCs/>
        </w:rPr>
        <w:t xml:space="preserve">rimināllikuma </w:t>
      </w:r>
      <w:r w:rsidRPr="00417DFA">
        <w:rPr>
          <w:iCs/>
        </w:rPr>
        <w:t>195.</w:t>
      </w:r>
      <w:r w:rsidR="00072A26" w:rsidRPr="00417DFA">
        <w:rPr>
          <w:iCs/>
        </w:rPr>
        <w:t> </w:t>
      </w:r>
      <w:r w:rsidRPr="00417DFA">
        <w:rPr>
          <w:iCs/>
        </w:rPr>
        <w:t>panta apsūdzēto personu skaits tiesai nosūtītajās krimināllietās – 91. Salīdzinot ar 2019. gadu, izmaiņas šajos rādītājos liecina par 20,34</w:t>
      </w:r>
      <w:r w:rsidR="00506911" w:rsidRPr="00417DFA">
        <w:rPr>
          <w:iCs/>
        </w:rPr>
        <w:t> %</w:t>
      </w:r>
      <w:r w:rsidRPr="00417DFA">
        <w:rPr>
          <w:iCs/>
        </w:rPr>
        <w:t xml:space="preserve"> samazinājumu. Tomēr jāņem vērā, ka </w:t>
      </w:r>
      <w:r w:rsidRPr="00417DFA">
        <w:rPr>
          <w:iCs/>
          <w:lang w:eastAsia="lv-LV"/>
        </w:rPr>
        <w:t xml:space="preserve">2020. gadā vēl </w:t>
      </w:r>
      <w:r w:rsidRPr="00417DFA">
        <w:rPr>
          <w:iCs/>
          <w:color w:val="FF0000"/>
          <w:lang w:eastAsia="lv-LV"/>
        </w:rPr>
        <w:t xml:space="preserve"> </w:t>
      </w:r>
      <w:r w:rsidRPr="00417DFA">
        <w:rPr>
          <w:iCs/>
          <w:lang w:eastAsia="lv-LV"/>
        </w:rPr>
        <w:t>6</w:t>
      </w:r>
      <w:r w:rsidR="00506911" w:rsidRPr="00417DFA">
        <w:rPr>
          <w:iCs/>
          <w:lang w:eastAsia="lv-LV"/>
        </w:rPr>
        <w:t> </w:t>
      </w:r>
      <w:r w:rsidRPr="00417DFA">
        <w:rPr>
          <w:iCs/>
          <w:lang w:eastAsia="lv-LV"/>
        </w:rPr>
        <w:t>kriminālprocesi pabeigti, piemērojot prokurora priekšrakstu par sodu (2019. gadā šāds pabeigšanas veids netika piemērots). Tādējādi būtisks kritums kriminālprocesu pabeigšanā prokuratūrā nav novērojams. Jāatceras, ka gada sākumā un nobeigumā procesu virzītājiem, tostarp arī prokuroriem, kriminālprocesos nācās saskarties ar sarežģījumiem sa</w:t>
      </w:r>
      <w:r w:rsidR="00EA4127" w:rsidRPr="00417DFA">
        <w:rPr>
          <w:iCs/>
          <w:lang w:eastAsia="lv-LV"/>
        </w:rPr>
        <w:t>karā</w:t>
      </w:r>
      <w:r w:rsidRPr="00417DFA">
        <w:rPr>
          <w:iCs/>
          <w:lang w:eastAsia="lv-LV"/>
        </w:rPr>
        <w:t xml:space="preserve"> ar valstī izsludināto ārkārtējo s</w:t>
      </w:r>
      <w:r w:rsidR="00506911" w:rsidRPr="00417DFA">
        <w:rPr>
          <w:iCs/>
          <w:lang w:eastAsia="lv-LV"/>
        </w:rPr>
        <w:t xml:space="preserve">ituāciju </w:t>
      </w:r>
      <w:r w:rsidRPr="00417DFA">
        <w:rPr>
          <w:iCs/>
          <w:lang w:eastAsia="lv-LV"/>
        </w:rPr>
        <w:t>saistībā ar C</w:t>
      </w:r>
      <w:r w:rsidR="00506911" w:rsidRPr="00417DFA">
        <w:rPr>
          <w:iCs/>
          <w:lang w:eastAsia="lv-LV"/>
        </w:rPr>
        <w:t>ovid-</w:t>
      </w:r>
      <w:r w:rsidRPr="00417DFA">
        <w:rPr>
          <w:iCs/>
          <w:lang w:eastAsia="lv-LV"/>
        </w:rPr>
        <w:t xml:space="preserve">19 </w:t>
      </w:r>
      <w:r w:rsidR="00EA4127" w:rsidRPr="00417DFA">
        <w:rPr>
          <w:iCs/>
          <w:lang w:eastAsia="lv-LV"/>
        </w:rPr>
        <w:t>izplatības ierobežošanu</w:t>
      </w:r>
      <w:r w:rsidRPr="00417DFA">
        <w:rPr>
          <w:iCs/>
          <w:lang w:eastAsia="lv-LV"/>
        </w:rPr>
        <w:t>.</w:t>
      </w:r>
    </w:p>
    <w:p w14:paraId="2CC93407" w14:textId="2B01CB4B" w:rsidR="001B4FDA" w:rsidRPr="00417DFA" w:rsidRDefault="00AB5546" w:rsidP="001B4FDA">
      <w:pPr>
        <w:pStyle w:val="NoSpacing"/>
        <w:spacing w:before="120"/>
        <w:ind w:firstLine="567"/>
        <w:jc w:val="both"/>
      </w:pPr>
      <w:r w:rsidRPr="00417DFA">
        <w:t>2020. gadā tiesas izskatīja 13</w:t>
      </w:r>
      <w:r w:rsidR="00EA4127" w:rsidRPr="00417DFA">
        <w:t> </w:t>
      </w:r>
      <w:r w:rsidRPr="00417DFA">
        <w:t>krimināllietas par noziedzīgi iegūtu līdzekļu legalizēšanu, notiesājot 19</w:t>
      </w:r>
      <w:r w:rsidR="00EA4127" w:rsidRPr="00417DFA">
        <w:t> </w:t>
      </w:r>
      <w:r w:rsidRPr="00417DFA">
        <w:t>personas. Veicot tiesas spriedumu analīzi, atbilstoši reaģēts, proti, vienā gadījumā konstatēts, ka, nosakot apsūdzētajām personām soda veidu un mēru, tiesa nepamatoti piemērojusi K</w:t>
      </w:r>
      <w:r w:rsidR="00EA4127" w:rsidRPr="00417DFA">
        <w:t>rimināllikuma</w:t>
      </w:r>
      <w:r w:rsidRPr="00417DFA">
        <w:t xml:space="preserve"> 55.</w:t>
      </w:r>
      <w:r w:rsidR="00EA4127" w:rsidRPr="00417DFA">
        <w:t> </w:t>
      </w:r>
      <w:r w:rsidRPr="00417DFA">
        <w:t>panta normas. Līdz ar to, izmantojot Kriminālprocesa likumā noteiktās amatā augstāka prokurora pilnvaras, iesniegts kasācijas protests. Saistībā ar vienu kriminālprocesu, izvērtējot tiesas pieņemto lēmumu vienošanās procesā, apgabala līmeņa prokuratūras virsprokuroram uzdots pārrunāt ar rajona līmeņa struktūrvienību virsprokuroriem par soda vienveidīgu piemērošanu.</w:t>
      </w:r>
    </w:p>
    <w:p w14:paraId="171733C2" w14:textId="77777777" w:rsidR="00490335" w:rsidRPr="00417DFA" w:rsidRDefault="00AB5546" w:rsidP="001B4FDA">
      <w:pPr>
        <w:pStyle w:val="NoSpacing"/>
        <w:spacing w:before="120"/>
        <w:ind w:firstLine="567"/>
        <w:jc w:val="both"/>
        <w:rPr>
          <w:iCs/>
          <w:szCs w:val="24"/>
          <w:lang w:eastAsia="lv-LV"/>
        </w:rPr>
      </w:pPr>
      <w:r w:rsidRPr="00417DFA">
        <w:t xml:space="preserve">Analizējot paveikto jautājumā par noziedzīgi iegūtu līdzekļu izņemšanu no aprites finanšu sistēmā, jāatzīmē, ka </w:t>
      </w:r>
      <w:r w:rsidRPr="00417DFA">
        <w:rPr>
          <w:rFonts w:eastAsia="Times New Roman" w:cs="Times New Roman"/>
          <w:szCs w:val="24"/>
          <w:lang w:eastAsia="lv-LV"/>
        </w:rPr>
        <w:t xml:space="preserve">2020. gadā </w:t>
      </w:r>
      <w:r w:rsidRPr="00417DFA">
        <w:rPr>
          <w:iCs/>
          <w:szCs w:val="24"/>
          <w:lang w:eastAsia="lv-LV"/>
        </w:rPr>
        <w:t>70</w:t>
      </w:r>
      <w:r w:rsidR="00EA4127" w:rsidRPr="00417DFA">
        <w:rPr>
          <w:iCs/>
          <w:szCs w:val="24"/>
          <w:lang w:eastAsia="lv-LV"/>
        </w:rPr>
        <w:t> </w:t>
      </w:r>
      <w:r w:rsidRPr="00417DFA">
        <w:rPr>
          <w:iCs/>
          <w:szCs w:val="24"/>
          <w:lang w:eastAsia="lv-LV"/>
        </w:rPr>
        <w:t xml:space="preserve">kriminālprocesos, </w:t>
      </w:r>
      <w:r w:rsidRPr="00417DFA">
        <w:rPr>
          <w:rFonts w:eastAsia="Times New Roman" w:cs="Times New Roman"/>
          <w:szCs w:val="24"/>
          <w:lang w:eastAsia="lv-LV"/>
        </w:rPr>
        <w:t>kas uzsākti pēc K</w:t>
      </w:r>
      <w:r w:rsidR="00EA4127" w:rsidRPr="00417DFA">
        <w:rPr>
          <w:rFonts w:eastAsia="Times New Roman" w:cs="Times New Roman"/>
          <w:szCs w:val="24"/>
          <w:lang w:eastAsia="lv-LV"/>
        </w:rPr>
        <w:t>rimināllikuma</w:t>
      </w:r>
      <w:r w:rsidRPr="00417DFA">
        <w:rPr>
          <w:rFonts w:eastAsia="Times New Roman" w:cs="Times New Roman"/>
          <w:szCs w:val="24"/>
          <w:lang w:eastAsia="lv-LV"/>
        </w:rPr>
        <w:t xml:space="preserve"> 195.panta, </w:t>
      </w:r>
      <w:r w:rsidRPr="00417DFA">
        <w:rPr>
          <w:iCs/>
          <w:szCs w:val="24"/>
          <w:lang w:eastAsia="lv-LV"/>
        </w:rPr>
        <w:t>mantiskie jautājumi izlemti jau pirmstiesas kriminālprocesā,</w:t>
      </w:r>
      <w:r w:rsidRPr="00417DFA">
        <w:rPr>
          <w:rFonts w:eastAsia="Times New Roman" w:cs="Times New Roman"/>
          <w:szCs w:val="24"/>
          <w:lang w:eastAsia="lv-LV"/>
        </w:rPr>
        <w:t xml:space="preserve"> prokuroriem dodot piekrišanu K</w:t>
      </w:r>
      <w:r w:rsidR="00EA4127" w:rsidRPr="00417DFA">
        <w:rPr>
          <w:rFonts w:eastAsia="Times New Roman" w:cs="Times New Roman"/>
          <w:szCs w:val="24"/>
          <w:lang w:eastAsia="lv-LV"/>
        </w:rPr>
        <w:t>riminālprocesa likuma</w:t>
      </w:r>
      <w:r w:rsidRPr="00417DFA">
        <w:rPr>
          <w:rFonts w:eastAsia="Times New Roman" w:cs="Times New Roman"/>
          <w:szCs w:val="24"/>
          <w:lang w:eastAsia="lv-LV"/>
        </w:rPr>
        <w:t xml:space="preserve"> 59.nodaļas kārtībā ar procesa virzītāja lēmumiem </w:t>
      </w:r>
      <w:r w:rsidRPr="00417DFA">
        <w:rPr>
          <w:iCs/>
          <w:szCs w:val="24"/>
          <w:lang w:eastAsia="lv-LV"/>
        </w:rPr>
        <w:t xml:space="preserve">uzsākt procesu par noziedzīgi iegūtu mantu un nodot izdalītos materiālus izlemšanai tiesai: </w:t>
      </w:r>
    </w:p>
    <w:p w14:paraId="37805E1E" w14:textId="5A76A719" w:rsidR="00490335" w:rsidRPr="00417DFA" w:rsidRDefault="00AB5546" w:rsidP="00E329FC">
      <w:pPr>
        <w:pStyle w:val="NoSpacing"/>
        <w:numPr>
          <w:ilvl w:val="0"/>
          <w:numId w:val="14"/>
        </w:numPr>
        <w:jc w:val="both"/>
        <w:rPr>
          <w:iCs/>
          <w:szCs w:val="24"/>
          <w:lang w:eastAsia="lv-LV"/>
        </w:rPr>
      </w:pPr>
      <w:r w:rsidRPr="00417DFA">
        <w:rPr>
          <w:rFonts w:eastAsia="Times New Roman" w:cs="Times New Roman"/>
          <w:szCs w:val="24"/>
          <w:lang w:eastAsia="lv-LV"/>
        </w:rPr>
        <w:t>Latgales tiesas apgabala prokuratūrā –  2</w:t>
      </w:r>
      <w:r w:rsidR="00BF1817" w:rsidRPr="00417DFA">
        <w:rPr>
          <w:rFonts w:eastAsia="Times New Roman" w:cs="Times New Roman"/>
          <w:szCs w:val="24"/>
          <w:lang w:eastAsia="lv-LV"/>
        </w:rPr>
        <w:t> </w:t>
      </w:r>
      <w:r w:rsidRPr="00417DFA">
        <w:rPr>
          <w:rFonts w:eastAsia="Times New Roman" w:cs="Times New Roman"/>
          <w:szCs w:val="24"/>
          <w:lang w:eastAsia="lv-LV"/>
        </w:rPr>
        <w:t>kriminālprocesos (1</w:t>
      </w:r>
      <w:r w:rsidR="00BF1817" w:rsidRPr="00417DFA">
        <w:rPr>
          <w:rFonts w:eastAsia="Times New Roman" w:cs="Times New Roman"/>
          <w:szCs w:val="24"/>
          <w:lang w:eastAsia="lv-LV"/>
        </w:rPr>
        <w:t> </w:t>
      </w:r>
      <w:r w:rsidRPr="00417DFA">
        <w:rPr>
          <w:rFonts w:eastAsia="Times New Roman" w:cs="Times New Roman"/>
          <w:szCs w:val="24"/>
          <w:lang w:eastAsia="lv-LV"/>
        </w:rPr>
        <w:t xml:space="preserve">no tiem izmeklēšana tiek veikta par noziedzīgā nodarījuma līdzekļiem, kas iegūti bez predikatīvā noziedzīgā nodarījuma konstatēšanas – </w:t>
      </w:r>
      <w:proofErr w:type="spellStart"/>
      <w:r w:rsidRPr="00417DFA">
        <w:rPr>
          <w:rFonts w:eastAsia="Times New Roman" w:cs="Times New Roman"/>
          <w:i/>
          <w:iCs/>
          <w:szCs w:val="24"/>
          <w:lang w:eastAsia="lv-LV"/>
        </w:rPr>
        <w:t>stand</w:t>
      </w:r>
      <w:r w:rsidR="002A365A" w:rsidRPr="00417DFA">
        <w:rPr>
          <w:rFonts w:eastAsia="Times New Roman" w:cs="Times New Roman"/>
          <w:i/>
          <w:iCs/>
          <w:szCs w:val="24"/>
          <w:lang w:eastAsia="lv-LV"/>
        </w:rPr>
        <w:t>-</w:t>
      </w:r>
      <w:r w:rsidRPr="00417DFA">
        <w:rPr>
          <w:rFonts w:eastAsia="Times New Roman" w:cs="Times New Roman"/>
          <w:i/>
          <w:iCs/>
          <w:szCs w:val="24"/>
          <w:lang w:eastAsia="lv-LV"/>
        </w:rPr>
        <w:t>alone</w:t>
      </w:r>
      <w:proofErr w:type="spellEnd"/>
      <w:r w:rsidR="002A365A" w:rsidRPr="00417DFA">
        <w:rPr>
          <w:rFonts w:eastAsia="Times New Roman" w:cs="Times New Roman"/>
          <w:i/>
          <w:iCs/>
          <w:szCs w:val="24"/>
          <w:lang w:eastAsia="lv-LV"/>
        </w:rPr>
        <w:t xml:space="preserve"> </w:t>
      </w:r>
      <w:r w:rsidRPr="00417DFA">
        <w:rPr>
          <w:rFonts w:eastAsia="Times New Roman" w:cs="Times New Roman"/>
          <w:szCs w:val="24"/>
          <w:lang w:eastAsia="lv-LV"/>
        </w:rPr>
        <w:t>gadījums)</w:t>
      </w:r>
      <w:r w:rsidR="004D4A93" w:rsidRPr="00417DFA">
        <w:rPr>
          <w:rFonts w:eastAsia="Times New Roman" w:cs="Times New Roman"/>
          <w:szCs w:val="24"/>
          <w:lang w:eastAsia="lv-LV"/>
        </w:rPr>
        <w:t>;</w:t>
      </w:r>
      <w:r w:rsidRPr="00417DFA">
        <w:rPr>
          <w:rFonts w:eastAsia="Times New Roman" w:cs="Times New Roman"/>
          <w:szCs w:val="24"/>
          <w:lang w:eastAsia="lv-LV"/>
        </w:rPr>
        <w:t xml:space="preserve"> </w:t>
      </w:r>
    </w:p>
    <w:p w14:paraId="7C01297F" w14:textId="0271F58C" w:rsidR="00490335" w:rsidRPr="00417DFA" w:rsidRDefault="00AB5546" w:rsidP="00E329FC">
      <w:pPr>
        <w:pStyle w:val="NoSpacing"/>
        <w:numPr>
          <w:ilvl w:val="0"/>
          <w:numId w:val="14"/>
        </w:numPr>
        <w:jc w:val="both"/>
        <w:rPr>
          <w:iCs/>
          <w:szCs w:val="24"/>
          <w:lang w:eastAsia="lv-LV"/>
        </w:rPr>
      </w:pPr>
      <w:r w:rsidRPr="00417DFA">
        <w:rPr>
          <w:rFonts w:eastAsia="Times New Roman" w:cs="Times New Roman"/>
          <w:szCs w:val="24"/>
          <w:lang w:eastAsia="lv-LV"/>
        </w:rPr>
        <w:t>Zemgales tiesas apgabala prokuratūrā – 1</w:t>
      </w:r>
      <w:r w:rsidR="004D4A93" w:rsidRPr="00417DFA">
        <w:rPr>
          <w:rFonts w:eastAsia="Times New Roman" w:cs="Times New Roman"/>
          <w:szCs w:val="24"/>
          <w:lang w:eastAsia="lv-LV"/>
        </w:rPr>
        <w:t> </w:t>
      </w:r>
      <w:r w:rsidRPr="00417DFA">
        <w:rPr>
          <w:rFonts w:eastAsia="Times New Roman" w:cs="Times New Roman"/>
          <w:szCs w:val="24"/>
          <w:lang w:eastAsia="lv-LV"/>
        </w:rPr>
        <w:t>kriminālprocesā (</w:t>
      </w:r>
      <w:proofErr w:type="spellStart"/>
      <w:r w:rsidRPr="00417DFA">
        <w:rPr>
          <w:rFonts w:eastAsia="Times New Roman" w:cs="Times New Roman"/>
          <w:i/>
          <w:iCs/>
          <w:szCs w:val="24"/>
          <w:lang w:eastAsia="lv-LV"/>
        </w:rPr>
        <w:t>stand</w:t>
      </w:r>
      <w:r w:rsidR="002A365A" w:rsidRPr="00417DFA">
        <w:rPr>
          <w:rFonts w:eastAsia="Times New Roman" w:cs="Times New Roman"/>
          <w:i/>
          <w:iCs/>
          <w:szCs w:val="24"/>
          <w:lang w:eastAsia="lv-LV"/>
        </w:rPr>
        <w:t>-</w:t>
      </w:r>
      <w:r w:rsidRPr="00417DFA">
        <w:rPr>
          <w:rFonts w:eastAsia="Times New Roman" w:cs="Times New Roman"/>
          <w:i/>
          <w:iCs/>
          <w:szCs w:val="24"/>
          <w:lang w:eastAsia="lv-LV"/>
        </w:rPr>
        <w:t>alone</w:t>
      </w:r>
      <w:proofErr w:type="spellEnd"/>
      <w:r w:rsidR="002A365A" w:rsidRPr="00417DFA">
        <w:rPr>
          <w:rFonts w:eastAsia="Times New Roman" w:cs="Times New Roman"/>
          <w:i/>
          <w:iCs/>
          <w:szCs w:val="24"/>
          <w:lang w:eastAsia="lv-LV"/>
        </w:rPr>
        <w:t xml:space="preserve"> </w:t>
      </w:r>
      <w:r w:rsidRPr="00417DFA">
        <w:rPr>
          <w:rFonts w:eastAsia="Times New Roman" w:cs="Times New Roman"/>
          <w:szCs w:val="24"/>
          <w:lang w:eastAsia="lv-LV"/>
        </w:rPr>
        <w:t>gadījums)</w:t>
      </w:r>
      <w:r w:rsidR="004D4A93" w:rsidRPr="00417DFA">
        <w:rPr>
          <w:rFonts w:eastAsia="Times New Roman" w:cs="Times New Roman"/>
          <w:szCs w:val="24"/>
          <w:lang w:eastAsia="lv-LV"/>
        </w:rPr>
        <w:t>;</w:t>
      </w:r>
    </w:p>
    <w:p w14:paraId="2FC61212" w14:textId="19343214" w:rsidR="00490335" w:rsidRPr="00417DFA" w:rsidRDefault="00AB5546" w:rsidP="00E329FC">
      <w:pPr>
        <w:pStyle w:val="NoSpacing"/>
        <w:numPr>
          <w:ilvl w:val="0"/>
          <w:numId w:val="14"/>
        </w:numPr>
        <w:jc w:val="both"/>
        <w:rPr>
          <w:iCs/>
          <w:szCs w:val="24"/>
          <w:lang w:eastAsia="lv-LV"/>
        </w:rPr>
      </w:pPr>
      <w:r w:rsidRPr="00417DFA">
        <w:rPr>
          <w:rFonts w:eastAsia="Times New Roman" w:cs="Times New Roman"/>
          <w:szCs w:val="24"/>
          <w:lang w:eastAsia="lv-LV"/>
        </w:rPr>
        <w:t>Kurzemes tiesas apgabala prokuratūrā – 3</w:t>
      </w:r>
      <w:r w:rsidR="004D4A93" w:rsidRPr="00417DFA">
        <w:rPr>
          <w:rFonts w:eastAsia="Times New Roman" w:cs="Times New Roman"/>
          <w:szCs w:val="24"/>
          <w:lang w:eastAsia="lv-LV"/>
        </w:rPr>
        <w:t> </w:t>
      </w:r>
      <w:r w:rsidRPr="00417DFA">
        <w:rPr>
          <w:rFonts w:eastAsia="Times New Roman" w:cs="Times New Roman"/>
          <w:szCs w:val="24"/>
          <w:lang w:eastAsia="lv-LV"/>
        </w:rPr>
        <w:t xml:space="preserve">kriminālprocesos (visos izmeklēšana veikta par </w:t>
      </w:r>
      <w:proofErr w:type="spellStart"/>
      <w:r w:rsidRPr="00417DFA">
        <w:rPr>
          <w:rFonts w:eastAsia="Times New Roman" w:cs="Times New Roman"/>
          <w:i/>
          <w:iCs/>
          <w:szCs w:val="24"/>
          <w:lang w:eastAsia="lv-LV"/>
        </w:rPr>
        <w:t>stand</w:t>
      </w:r>
      <w:r w:rsidR="002A365A" w:rsidRPr="00417DFA">
        <w:rPr>
          <w:rFonts w:eastAsia="Times New Roman" w:cs="Times New Roman"/>
          <w:i/>
          <w:iCs/>
          <w:szCs w:val="24"/>
          <w:lang w:eastAsia="lv-LV"/>
        </w:rPr>
        <w:t>-</w:t>
      </w:r>
      <w:r w:rsidRPr="00417DFA">
        <w:rPr>
          <w:rFonts w:eastAsia="Times New Roman" w:cs="Times New Roman"/>
          <w:i/>
          <w:iCs/>
          <w:szCs w:val="24"/>
          <w:lang w:eastAsia="lv-LV"/>
        </w:rPr>
        <w:t>alone</w:t>
      </w:r>
      <w:proofErr w:type="spellEnd"/>
      <w:r w:rsidRPr="00417DFA">
        <w:rPr>
          <w:rFonts w:eastAsia="Times New Roman" w:cs="Times New Roman"/>
          <w:i/>
          <w:iCs/>
          <w:szCs w:val="24"/>
          <w:lang w:eastAsia="lv-LV"/>
        </w:rPr>
        <w:t>”</w:t>
      </w:r>
      <w:r w:rsidRPr="00417DFA">
        <w:rPr>
          <w:rFonts w:eastAsia="Times New Roman" w:cs="Times New Roman"/>
          <w:szCs w:val="24"/>
          <w:lang w:eastAsia="lv-LV"/>
        </w:rPr>
        <w:t xml:space="preserve"> gadījumiem)</w:t>
      </w:r>
      <w:r w:rsidR="004D4A93" w:rsidRPr="00417DFA">
        <w:rPr>
          <w:rFonts w:eastAsia="Times New Roman" w:cs="Times New Roman"/>
          <w:szCs w:val="24"/>
          <w:lang w:eastAsia="lv-LV"/>
        </w:rPr>
        <w:t>;</w:t>
      </w:r>
      <w:r w:rsidRPr="00417DFA">
        <w:rPr>
          <w:rFonts w:eastAsia="Times New Roman" w:cs="Times New Roman"/>
          <w:szCs w:val="24"/>
          <w:lang w:eastAsia="lv-LV"/>
        </w:rPr>
        <w:t xml:space="preserve"> </w:t>
      </w:r>
    </w:p>
    <w:p w14:paraId="6AD0137A" w14:textId="7320C56D" w:rsidR="00490335" w:rsidRPr="00417DFA" w:rsidRDefault="00AB5546" w:rsidP="00E329FC">
      <w:pPr>
        <w:pStyle w:val="NoSpacing"/>
        <w:numPr>
          <w:ilvl w:val="0"/>
          <w:numId w:val="14"/>
        </w:numPr>
        <w:jc w:val="both"/>
        <w:rPr>
          <w:iCs/>
          <w:szCs w:val="24"/>
          <w:lang w:eastAsia="lv-LV"/>
        </w:rPr>
      </w:pPr>
      <w:r w:rsidRPr="00417DFA">
        <w:rPr>
          <w:rFonts w:eastAsia="Times New Roman" w:cs="Times New Roman"/>
          <w:szCs w:val="24"/>
          <w:lang w:eastAsia="lv-LV"/>
        </w:rPr>
        <w:t>Vidzemes tiesas apgabala prokuratūrās – 8</w:t>
      </w:r>
      <w:r w:rsidR="004D4A93" w:rsidRPr="00417DFA">
        <w:rPr>
          <w:rFonts w:eastAsia="Times New Roman" w:cs="Times New Roman"/>
          <w:szCs w:val="24"/>
          <w:lang w:eastAsia="lv-LV"/>
        </w:rPr>
        <w:t> </w:t>
      </w:r>
      <w:r w:rsidRPr="00417DFA">
        <w:rPr>
          <w:rFonts w:eastAsia="Times New Roman" w:cs="Times New Roman"/>
          <w:szCs w:val="24"/>
          <w:lang w:eastAsia="lv-LV"/>
        </w:rPr>
        <w:t>kriminālprocesos (7</w:t>
      </w:r>
      <w:r w:rsidR="004D4A93" w:rsidRPr="00417DFA">
        <w:rPr>
          <w:rFonts w:eastAsia="Times New Roman" w:cs="Times New Roman"/>
          <w:szCs w:val="24"/>
          <w:lang w:eastAsia="lv-LV"/>
        </w:rPr>
        <w:t> </w:t>
      </w:r>
      <w:r w:rsidRPr="00417DFA">
        <w:rPr>
          <w:rFonts w:eastAsia="Times New Roman" w:cs="Times New Roman"/>
          <w:szCs w:val="24"/>
          <w:lang w:eastAsia="lv-LV"/>
        </w:rPr>
        <w:t xml:space="preserve">no tiem – </w:t>
      </w:r>
      <w:proofErr w:type="spellStart"/>
      <w:r w:rsidRPr="00417DFA">
        <w:rPr>
          <w:rFonts w:eastAsia="Times New Roman" w:cs="Times New Roman"/>
          <w:i/>
          <w:iCs/>
          <w:szCs w:val="24"/>
          <w:lang w:eastAsia="lv-LV"/>
        </w:rPr>
        <w:t>stand</w:t>
      </w:r>
      <w:r w:rsidR="002A365A" w:rsidRPr="00417DFA">
        <w:rPr>
          <w:rFonts w:eastAsia="Times New Roman" w:cs="Times New Roman"/>
          <w:i/>
          <w:iCs/>
          <w:szCs w:val="24"/>
          <w:lang w:eastAsia="lv-LV"/>
        </w:rPr>
        <w:t>-</w:t>
      </w:r>
      <w:r w:rsidRPr="00417DFA">
        <w:rPr>
          <w:rFonts w:eastAsia="Times New Roman" w:cs="Times New Roman"/>
          <w:i/>
          <w:iCs/>
          <w:szCs w:val="24"/>
          <w:lang w:eastAsia="lv-LV"/>
        </w:rPr>
        <w:t>alone</w:t>
      </w:r>
      <w:proofErr w:type="spellEnd"/>
      <w:r w:rsidRPr="00417DFA">
        <w:rPr>
          <w:rFonts w:eastAsia="Times New Roman" w:cs="Times New Roman"/>
          <w:i/>
          <w:iCs/>
          <w:szCs w:val="24"/>
          <w:lang w:eastAsia="lv-LV"/>
        </w:rPr>
        <w:t>”</w:t>
      </w:r>
      <w:r w:rsidRPr="00417DFA">
        <w:rPr>
          <w:rFonts w:eastAsia="Times New Roman" w:cs="Times New Roman"/>
          <w:szCs w:val="24"/>
          <w:lang w:eastAsia="lv-LV"/>
        </w:rPr>
        <w:t xml:space="preserve"> gadījumi)</w:t>
      </w:r>
      <w:r w:rsidR="004D4A93" w:rsidRPr="00417DFA">
        <w:rPr>
          <w:rFonts w:eastAsia="Times New Roman" w:cs="Times New Roman"/>
          <w:szCs w:val="24"/>
          <w:lang w:eastAsia="lv-LV"/>
        </w:rPr>
        <w:t>;</w:t>
      </w:r>
      <w:r w:rsidRPr="00417DFA">
        <w:rPr>
          <w:rFonts w:eastAsia="Times New Roman" w:cs="Times New Roman"/>
          <w:szCs w:val="24"/>
          <w:lang w:eastAsia="lv-LV"/>
        </w:rPr>
        <w:t xml:space="preserve"> </w:t>
      </w:r>
    </w:p>
    <w:p w14:paraId="3F919C16" w14:textId="77777777" w:rsidR="00490335" w:rsidRPr="00417DFA" w:rsidRDefault="00AB5546" w:rsidP="00E329FC">
      <w:pPr>
        <w:pStyle w:val="NoSpacing"/>
        <w:numPr>
          <w:ilvl w:val="0"/>
          <w:numId w:val="14"/>
        </w:numPr>
        <w:jc w:val="both"/>
        <w:rPr>
          <w:iCs/>
          <w:szCs w:val="24"/>
          <w:lang w:eastAsia="lv-LV"/>
        </w:rPr>
      </w:pPr>
      <w:r w:rsidRPr="00417DFA">
        <w:rPr>
          <w:rFonts w:eastAsia="Times New Roman" w:cs="Times New Roman"/>
          <w:szCs w:val="24"/>
          <w:lang w:eastAsia="lv-LV"/>
        </w:rPr>
        <w:t>Rīgas tiesas apgabala prokuratūrās – 5</w:t>
      </w:r>
      <w:r w:rsidR="004D4A93" w:rsidRPr="00417DFA">
        <w:rPr>
          <w:rFonts w:eastAsia="Times New Roman" w:cs="Times New Roman"/>
          <w:szCs w:val="24"/>
          <w:lang w:eastAsia="lv-LV"/>
        </w:rPr>
        <w:t> </w:t>
      </w:r>
      <w:r w:rsidRPr="00417DFA">
        <w:rPr>
          <w:rFonts w:eastAsia="Times New Roman" w:cs="Times New Roman"/>
          <w:szCs w:val="24"/>
          <w:lang w:eastAsia="lv-LV"/>
        </w:rPr>
        <w:t>kriminālprocesos</w:t>
      </w:r>
      <w:r w:rsidR="004D4A93" w:rsidRPr="00417DFA">
        <w:rPr>
          <w:rFonts w:eastAsia="Times New Roman" w:cs="Times New Roman"/>
          <w:szCs w:val="24"/>
          <w:lang w:eastAsia="lv-LV"/>
        </w:rPr>
        <w:t>;</w:t>
      </w:r>
      <w:r w:rsidRPr="00417DFA">
        <w:rPr>
          <w:rFonts w:eastAsia="Times New Roman" w:cs="Times New Roman"/>
          <w:szCs w:val="24"/>
          <w:lang w:eastAsia="lv-LV"/>
        </w:rPr>
        <w:t xml:space="preserve"> </w:t>
      </w:r>
    </w:p>
    <w:p w14:paraId="22CB4CC5" w14:textId="6BD330B5" w:rsidR="00490335" w:rsidRPr="00417DFA" w:rsidRDefault="00AB5546" w:rsidP="00E329FC">
      <w:pPr>
        <w:pStyle w:val="NoSpacing"/>
        <w:numPr>
          <w:ilvl w:val="0"/>
          <w:numId w:val="14"/>
        </w:numPr>
        <w:jc w:val="both"/>
        <w:rPr>
          <w:iCs/>
          <w:szCs w:val="24"/>
          <w:lang w:eastAsia="lv-LV"/>
        </w:rPr>
      </w:pPr>
      <w:r w:rsidRPr="00417DFA">
        <w:rPr>
          <w:rFonts w:eastAsia="Times New Roman" w:cs="Times New Roman"/>
          <w:szCs w:val="24"/>
          <w:lang w:eastAsia="lv-LV"/>
        </w:rPr>
        <w:t>Organizētās noziedzības un citu nozaru specializētajā prokuratūrā – 37</w:t>
      </w:r>
      <w:r w:rsidR="004D4A93" w:rsidRPr="00417DFA">
        <w:rPr>
          <w:rFonts w:eastAsia="Times New Roman" w:cs="Times New Roman"/>
          <w:szCs w:val="24"/>
          <w:lang w:eastAsia="lv-LV"/>
        </w:rPr>
        <w:t> </w:t>
      </w:r>
      <w:r w:rsidRPr="00417DFA">
        <w:rPr>
          <w:rFonts w:eastAsia="Times New Roman" w:cs="Times New Roman"/>
          <w:szCs w:val="24"/>
          <w:lang w:eastAsia="lv-LV"/>
        </w:rPr>
        <w:t>kriminālprocesos (29</w:t>
      </w:r>
      <w:r w:rsidR="004D4A93" w:rsidRPr="00417DFA">
        <w:rPr>
          <w:rFonts w:eastAsia="Times New Roman" w:cs="Times New Roman"/>
          <w:szCs w:val="24"/>
          <w:lang w:eastAsia="lv-LV"/>
        </w:rPr>
        <w:t> </w:t>
      </w:r>
      <w:r w:rsidRPr="00417DFA">
        <w:rPr>
          <w:rFonts w:eastAsia="Times New Roman" w:cs="Times New Roman"/>
          <w:szCs w:val="24"/>
          <w:lang w:eastAsia="lv-LV"/>
        </w:rPr>
        <w:t xml:space="preserve">no tiem – </w:t>
      </w:r>
      <w:proofErr w:type="spellStart"/>
      <w:r w:rsidRPr="00417DFA">
        <w:rPr>
          <w:rFonts w:eastAsia="Times New Roman" w:cs="Times New Roman"/>
          <w:i/>
          <w:iCs/>
          <w:szCs w:val="24"/>
          <w:lang w:eastAsia="lv-LV"/>
        </w:rPr>
        <w:t>stand</w:t>
      </w:r>
      <w:r w:rsidR="002A365A" w:rsidRPr="00417DFA">
        <w:rPr>
          <w:rFonts w:eastAsia="Times New Roman" w:cs="Times New Roman"/>
          <w:i/>
          <w:iCs/>
          <w:szCs w:val="24"/>
          <w:lang w:eastAsia="lv-LV"/>
        </w:rPr>
        <w:t>-</w:t>
      </w:r>
      <w:r w:rsidRPr="00417DFA">
        <w:rPr>
          <w:rFonts w:eastAsia="Times New Roman" w:cs="Times New Roman"/>
          <w:i/>
          <w:iCs/>
          <w:szCs w:val="24"/>
          <w:lang w:eastAsia="lv-LV"/>
        </w:rPr>
        <w:t>alone</w:t>
      </w:r>
      <w:proofErr w:type="spellEnd"/>
      <w:r w:rsidRPr="00417DFA">
        <w:rPr>
          <w:rFonts w:eastAsia="Times New Roman" w:cs="Times New Roman"/>
          <w:szCs w:val="24"/>
          <w:lang w:eastAsia="lv-LV"/>
        </w:rPr>
        <w:t xml:space="preserve"> gadījumi)</w:t>
      </w:r>
      <w:r w:rsidR="00490335" w:rsidRPr="00417DFA">
        <w:rPr>
          <w:rFonts w:eastAsia="Times New Roman" w:cs="Times New Roman"/>
          <w:szCs w:val="24"/>
          <w:lang w:eastAsia="lv-LV"/>
        </w:rPr>
        <w:t>;</w:t>
      </w:r>
      <w:r w:rsidRPr="00417DFA">
        <w:rPr>
          <w:rFonts w:eastAsia="Times New Roman" w:cs="Times New Roman"/>
          <w:szCs w:val="24"/>
          <w:lang w:eastAsia="lv-LV"/>
        </w:rPr>
        <w:t xml:space="preserve"> </w:t>
      </w:r>
    </w:p>
    <w:p w14:paraId="0D226BF1" w14:textId="2D8C4564" w:rsidR="00490335" w:rsidRPr="00417DFA" w:rsidRDefault="00AB5546" w:rsidP="00E329FC">
      <w:pPr>
        <w:pStyle w:val="NoSpacing"/>
        <w:numPr>
          <w:ilvl w:val="0"/>
          <w:numId w:val="14"/>
        </w:numPr>
        <w:ind w:left="714" w:hanging="357"/>
        <w:jc w:val="both"/>
        <w:rPr>
          <w:iCs/>
          <w:szCs w:val="24"/>
          <w:lang w:eastAsia="lv-LV"/>
        </w:rPr>
      </w:pPr>
      <w:r w:rsidRPr="00417DFA">
        <w:rPr>
          <w:szCs w:val="24"/>
        </w:rPr>
        <w:t xml:space="preserve">Nodokļu un muitas lietu prokuratūra – </w:t>
      </w:r>
      <w:r w:rsidRPr="00417DFA">
        <w:rPr>
          <w:rFonts w:eastAsia="Times New Roman" w:cs="Times New Roman"/>
          <w:szCs w:val="24"/>
          <w:lang w:eastAsia="lv-LV"/>
        </w:rPr>
        <w:t>14</w:t>
      </w:r>
      <w:r w:rsidR="004D4A93" w:rsidRPr="00417DFA">
        <w:rPr>
          <w:rFonts w:eastAsia="Times New Roman" w:cs="Times New Roman"/>
          <w:szCs w:val="24"/>
          <w:lang w:eastAsia="lv-LV"/>
        </w:rPr>
        <w:t> </w:t>
      </w:r>
      <w:r w:rsidRPr="00417DFA">
        <w:rPr>
          <w:rFonts w:eastAsia="Times New Roman" w:cs="Times New Roman"/>
          <w:szCs w:val="24"/>
          <w:lang w:eastAsia="lv-LV"/>
        </w:rPr>
        <w:t xml:space="preserve">kriminālprocesos (6 no tiem – </w:t>
      </w:r>
      <w:proofErr w:type="spellStart"/>
      <w:r w:rsidRPr="00417DFA">
        <w:rPr>
          <w:rFonts w:eastAsia="Times New Roman" w:cs="Times New Roman"/>
          <w:i/>
          <w:iCs/>
          <w:szCs w:val="24"/>
          <w:lang w:eastAsia="lv-LV"/>
        </w:rPr>
        <w:t>stand</w:t>
      </w:r>
      <w:r w:rsidR="00E072E5" w:rsidRPr="00417DFA">
        <w:rPr>
          <w:rFonts w:eastAsia="Times New Roman" w:cs="Times New Roman"/>
          <w:i/>
          <w:iCs/>
          <w:szCs w:val="24"/>
          <w:lang w:eastAsia="lv-LV"/>
        </w:rPr>
        <w:t>-</w:t>
      </w:r>
      <w:r w:rsidRPr="00417DFA">
        <w:rPr>
          <w:rFonts w:eastAsia="Times New Roman" w:cs="Times New Roman"/>
          <w:i/>
          <w:iCs/>
          <w:szCs w:val="24"/>
          <w:lang w:eastAsia="lv-LV"/>
        </w:rPr>
        <w:t>alone</w:t>
      </w:r>
      <w:proofErr w:type="spellEnd"/>
      <w:r w:rsidRPr="00417DFA">
        <w:rPr>
          <w:rFonts w:eastAsia="Times New Roman" w:cs="Times New Roman"/>
          <w:szCs w:val="24"/>
          <w:lang w:eastAsia="lv-LV"/>
        </w:rPr>
        <w:t xml:space="preserve"> gadījumi).</w:t>
      </w:r>
    </w:p>
    <w:p w14:paraId="4AC1C295" w14:textId="3858301B" w:rsidR="00AB5546" w:rsidRPr="00417DFA" w:rsidRDefault="00AB5546" w:rsidP="00490335">
      <w:pPr>
        <w:pStyle w:val="NoSpacing"/>
        <w:jc w:val="both"/>
        <w:rPr>
          <w:iCs/>
          <w:szCs w:val="24"/>
          <w:lang w:eastAsia="lv-LV"/>
        </w:rPr>
      </w:pPr>
      <w:r w:rsidRPr="00417DFA">
        <w:rPr>
          <w:iCs/>
          <w:szCs w:val="24"/>
          <w:lang w:eastAsia="lv-LV"/>
        </w:rPr>
        <w:lastRenderedPageBreak/>
        <w:t xml:space="preserve">No pieņemtajiem lēmumiem </w:t>
      </w:r>
      <w:r w:rsidRPr="00417DFA">
        <w:rPr>
          <w:szCs w:val="24"/>
        </w:rPr>
        <w:t>47</w:t>
      </w:r>
      <w:r w:rsidR="00490335" w:rsidRPr="00417DFA">
        <w:rPr>
          <w:szCs w:val="24"/>
        </w:rPr>
        <w:t> </w:t>
      </w:r>
      <w:r w:rsidRPr="00417DFA">
        <w:rPr>
          <w:szCs w:val="24"/>
        </w:rPr>
        <w:t xml:space="preserve">kriminālprocesos </w:t>
      </w:r>
      <w:r w:rsidRPr="00417DFA">
        <w:rPr>
          <w:rFonts w:eastAsia="Times New Roman" w:cs="Times New Roman"/>
          <w:szCs w:val="24"/>
          <w:lang w:eastAsia="lv-LV"/>
        </w:rPr>
        <w:t xml:space="preserve">izmeklēšana veikta par </w:t>
      </w:r>
      <w:proofErr w:type="spellStart"/>
      <w:r w:rsidRPr="00417DFA">
        <w:rPr>
          <w:rFonts w:eastAsia="Times New Roman" w:cs="Times New Roman"/>
          <w:i/>
          <w:iCs/>
          <w:szCs w:val="24"/>
          <w:lang w:eastAsia="lv-LV"/>
        </w:rPr>
        <w:t>stand-alone</w:t>
      </w:r>
      <w:proofErr w:type="spellEnd"/>
      <w:r w:rsidRPr="00417DFA">
        <w:rPr>
          <w:rFonts w:eastAsia="Times New Roman" w:cs="Times New Roman"/>
          <w:szCs w:val="24"/>
          <w:lang w:eastAsia="lv-LV"/>
        </w:rPr>
        <w:t xml:space="preserve"> gadījumiem, tostarp </w:t>
      </w:r>
      <w:r w:rsidRPr="00417DFA">
        <w:rPr>
          <w:szCs w:val="24"/>
        </w:rPr>
        <w:t xml:space="preserve">saistībā ar </w:t>
      </w:r>
      <w:r w:rsidRPr="00417DFA">
        <w:t xml:space="preserve">Finanšu izlūkošanas dienesta </w:t>
      </w:r>
      <w:r w:rsidRPr="00417DFA">
        <w:rPr>
          <w:szCs w:val="24"/>
        </w:rPr>
        <w:t xml:space="preserve">sākotnēji iesniegtajiem materiāliem par </w:t>
      </w:r>
      <w:r w:rsidRPr="00417DFA">
        <w:t>likvidējamās</w:t>
      </w:r>
      <w:r w:rsidRPr="00417DFA">
        <w:rPr>
          <w:szCs w:val="24"/>
        </w:rPr>
        <w:t xml:space="preserve"> AS “ABLV </w:t>
      </w:r>
      <w:proofErr w:type="spellStart"/>
      <w:r w:rsidRPr="00417DFA">
        <w:rPr>
          <w:szCs w:val="24"/>
        </w:rPr>
        <w:t>Bank</w:t>
      </w:r>
      <w:proofErr w:type="spellEnd"/>
      <w:r w:rsidRPr="00417DFA">
        <w:rPr>
          <w:szCs w:val="24"/>
        </w:rPr>
        <w:t xml:space="preserve">” klientu kontos atlikumu veidojošajiem aktīviem, kuriem uzsākto kriminālprocesu ietvaros tika uzlikts arests. </w:t>
      </w:r>
    </w:p>
    <w:p w14:paraId="06529B3C" w14:textId="55FDA8E8" w:rsidR="00AB5546" w:rsidRPr="00417DFA" w:rsidRDefault="00AB5546" w:rsidP="00F2213F">
      <w:pPr>
        <w:spacing w:before="120" w:after="0" w:line="240" w:lineRule="auto"/>
        <w:ind w:firstLine="567"/>
        <w:jc w:val="both"/>
        <w:rPr>
          <w:lang w:eastAsia="lv-LV"/>
        </w:rPr>
      </w:pPr>
      <w:r w:rsidRPr="00417DFA">
        <w:rPr>
          <w:lang w:eastAsia="lv-LV"/>
        </w:rPr>
        <w:t>2020. gadā krimināllietās, kurās noteikta izmeklējamā noziedzīgā nodarījuma kvalifikācija pēc K</w:t>
      </w:r>
      <w:r w:rsidR="00F2213F" w:rsidRPr="00417DFA">
        <w:rPr>
          <w:lang w:eastAsia="lv-LV"/>
        </w:rPr>
        <w:t>rimināllikuma</w:t>
      </w:r>
      <w:r w:rsidRPr="00417DFA">
        <w:rPr>
          <w:lang w:eastAsia="lv-LV"/>
        </w:rPr>
        <w:t xml:space="preserve"> 195.</w:t>
      </w:r>
      <w:r w:rsidR="00F2213F" w:rsidRPr="00417DFA">
        <w:rPr>
          <w:lang w:eastAsia="lv-LV"/>
        </w:rPr>
        <w:t> </w:t>
      </w:r>
      <w:r w:rsidRPr="00417DFA">
        <w:rPr>
          <w:lang w:eastAsia="lv-LV"/>
        </w:rPr>
        <w:t>panta, K</w:t>
      </w:r>
      <w:r w:rsidR="00F2213F" w:rsidRPr="00417DFA">
        <w:rPr>
          <w:lang w:eastAsia="lv-LV"/>
        </w:rPr>
        <w:t xml:space="preserve">riminālprocesa likuma </w:t>
      </w:r>
      <w:r w:rsidRPr="00417DFA">
        <w:rPr>
          <w:lang w:eastAsia="lv-LV"/>
        </w:rPr>
        <w:t>59.</w:t>
      </w:r>
      <w:r w:rsidR="00F2213F" w:rsidRPr="00417DFA">
        <w:rPr>
          <w:lang w:eastAsia="lv-LV"/>
        </w:rPr>
        <w:t> </w:t>
      </w:r>
      <w:r w:rsidRPr="00417DFA">
        <w:rPr>
          <w:lang w:eastAsia="lv-LV"/>
        </w:rPr>
        <w:t>nodaļas kārtībā tiesā izskatīti 35</w:t>
      </w:r>
      <w:r w:rsidR="00F2213F" w:rsidRPr="00417DFA">
        <w:rPr>
          <w:lang w:eastAsia="lv-LV"/>
        </w:rPr>
        <w:t> </w:t>
      </w:r>
      <w:r w:rsidRPr="00417DFA">
        <w:rPr>
          <w:lang w:eastAsia="lv-LV"/>
        </w:rPr>
        <w:t xml:space="preserve">izdalītie procesi, no tiem </w:t>
      </w:r>
      <w:r w:rsidRPr="00417DFA">
        <w:rPr>
          <w:rFonts w:eastAsia="Times New Roman" w:cs="Times New Roman"/>
          <w:szCs w:val="24"/>
          <w:lang w:eastAsia="lv-LV"/>
        </w:rPr>
        <w:t>30</w:t>
      </w:r>
      <w:r w:rsidR="00F2213F" w:rsidRPr="00417DFA">
        <w:rPr>
          <w:rFonts w:eastAsia="Times New Roman" w:cs="Times New Roman"/>
          <w:szCs w:val="24"/>
          <w:lang w:eastAsia="lv-LV"/>
        </w:rPr>
        <w:t> </w:t>
      </w:r>
      <w:r w:rsidRPr="00417DFA">
        <w:rPr>
          <w:rFonts w:eastAsia="Times New Roman" w:cs="Times New Roman"/>
          <w:szCs w:val="24"/>
          <w:lang w:eastAsia="lv-LV"/>
        </w:rPr>
        <w:t xml:space="preserve">gadījumos pieņemti lēmumi par arestēto naudas līdzekļu </w:t>
      </w:r>
      <w:r w:rsidR="00B13571" w:rsidRPr="00417DFA">
        <w:rPr>
          <w:rFonts w:eastAsia="Times New Roman" w:cs="Times New Roman"/>
          <w:szCs w:val="24"/>
          <w:lang w:eastAsia="lv-LV"/>
        </w:rPr>
        <w:t xml:space="preserve">12 272 044,32 EUR apmērā </w:t>
      </w:r>
      <w:r w:rsidRPr="00417DFA">
        <w:rPr>
          <w:rFonts w:eastAsia="Times New Roman" w:cs="Times New Roman"/>
          <w:szCs w:val="24"/>
          <w:lang w:eastAsia="lv-LV"/>
        </w:rPr>
        <w:t>ieskait</w:t>
      </w:r>
      <w:r w:rsidR="00B13571" w:rsidRPr="00417DFA">
        <w:rPr>
          <w:rFonts w:eastAsia="Times New Roman" w:cs="Times New Roman"/>
          <w:szCs w:val="24"/>
          <w:lang w:eastAsia="lv-LV"/>
        </w:rPr>
        <w:t>īšanu</w:t>
      </w:r>
      <w:r w:rsidRPr="00417DFA">
        <w:rPr>
          <w:rFonts w:eastAsia="Times New Roman" w:cs="Times New Roman"/>
          <w:szCs w:val="24"/>
          <w:lang w:eastAsia="lv-LV"/>
        </w:rPr>
        <w:t xml:space="preserve"> valsts budžetā, 5</w:t>
      </w:r>
      <w:r w:rsidR="00F2213F" w:rsidRPr="00417DFA">
        <w:rPr>
          <w:rFonts w:eastAsia="Times New Roman" w:cs="Times New Roman"/>
          <w:szCs w:val="24"/>
          <w:lang w:eastAsia="lv-LV"/>
        </w:rPr>
        <w:t> </w:t>
      </w:r>
      <w:r w:rsidRPr="00417DFA">
        <w:rPr>
          <w:rFonts w:eastAsia="Times New Roman" w:cs="Times New Roman"/>
          <w:szCs w:val="24"/>
          <w:lang w:eastAsia="lv-LV"/>
        </w:rPr>
        <w:t>gadījumos – atgriezti īpašniekiem 305</w:t>
      </w:r>
      <w:r w:rsidR="00F2213F" w:rsidRPr="00417DFA">
        <w:rPr>
          <w:rFonts w:eastAsia="Times New Roman" w:cs="Times New Roman"/>
          <w:szCs w:val="24"/>
          <w:lang w:eastAsia="lv-LV"/>
        </w:rPr>
        <w:t> </w:t>
      </w:r>
      <w:r w:rsidRPr="00417DFA">
        <w:rPr>
          <w:rFonts w:eastAsia="Times New Roman" w:cs="Times New Roman"/>
          <w:szCs w:val="24"/>
          <w:lang w:eastAsia="lv-LV"/>
        </w:rPr>
        <w:t>988,28</w:t>
      </w:r>
      <w:r w:rsidR="00F2213F" w:rsidRPr="00417DFA">
        <w:rPr>
          <w:rFonts w:eastAsia="Times New Roman" w:cs="Times New Roman"/>
          <w:szCs w:val="24"/>
          <w:lang w:eastAsia="lv-LV"/>
        </w:rPr>
        <w:t> </w:t>
      </w:r>
      <w:r w:rsidRPr="00417DFA">
        <w:rPr>
          <w:rFonts w:eastAsia="Times New Roman" w:cs="Times New Roman"/>
          <w:szCs w:val="24"/>
          <w:lang w:eastAsia="lv-LV"/>
        </w:rPr>
        <w:t>EUR. 12</w:t>
      </w:r>
      <w:r w:rsidR="00F2213F" w:rsidRPr="00417DFA">
        <w:rPr>
          <w:rFonts w:eastAsia="Times New Roman" w:cs="Times New Roman"/>
          <w:szCs w:val="24"/>
          <w:lang w:eastAsia="lv-LV"/>
        </w:rPr>
        <w:t> </w:t>
      </w:r>
      <w:r w:rsidRPr="00417DFA">
        <w:rPr>
          <w:rFonts w:eastAsia="Times New Roman" w:cs="Times New Roman"/>
          <w:szCs w:val="24"/>
          <w:lang w:eastAsia="lv-LV"/>
        </w:rPr>
        <w:t xml:space="preserve">kriminālprocesos aresti atcelti </w:t>
      </w:r>
      <w:r w:rsidRPr="00417DFA">
        <w:rPr>
          <w:rFonts w:eastAsia="Times New Roman" w:cs="Times New Roman"/>
          <w:i/>
          <w:iCs/>
          <w:szCs w:val="24"/>
          <w:lang w:eastAsia="lv-LV"/>
        </w:rPr>
        <w:t>(informācija saskaņā ar Valsts policijas datiem)</w:t>
      </w:r>
      <w:r w:rsidRPr="00417DFA">
        <w:rPr>
          <w:rFonts w:eastAsia="Times New Roman" w:cs="Times New Roman"/>
          <w:szCs w:val="24"/>
          <w:lang w:eastAsia="lv-LV"/>
        </w:rPr>
        <w:t>.</w:t>
      </w:r>
    </w:p>
    <w:p w14:paraId="2A19FCC1" w14:textId="5404A3AB" w:rsidR="00AB5546" w:rsidRPr="00417DFA" w:rsidRDefault="00AB5546" w:rsidP="00AB5546">
      <w:pPr>
        <w:pStyle w:val="NoSpacing"/>
        <w:spacing w:before="120"/>
        <w:ind w:firstLine="567"/>
        <w:jc w:val="both"/>
      </w:pPr>
      <w:r w:rsidRPr="00417DFA">
        <w:t xml:space="preserve">Analizējot pirmstiesas kriminālprocesu virzību, kas uzsākti pēc </w:t>
      </w:r>
      <w:r w:rsidR="00B13571" w:rsidRPr="00417DFA">
        <w:t>Finanšu izlūkošanas dienesta</w:t>
      </w:r>
      <w:r w:rsidR="0070016E" w:rsidRPr="00417DFA">
        <w:t xml:space="preserve"> </w:t>
      </w:r>
      <w:r w:rsidRPr="00417DFA">
        <w:t xml:space="preserve">iesniegtajiem atzinumiem, jāsecina, ka no 2020. gadā uzsāktajiem </w:t>
      </w:r>
      <w:r w:rsidRPr="00417DFA">
        <w:rPr>
          <w:iCs/>
        </w:rPr>
        <w:t>343</w:t>
      </w:r>
      <w:r w:rsidR="0070016E" w:rsidRPr="00417DFA">
        <w:rPr>
          <w:iCs/>
        </w:rPr>
        <w:t> </w:t>
      </w:r>
      <w:r w:rsidRPr="00417DFA">
        <w:rPr>
          <w:iCs/>
        </w:rPr>
        <w:t>kriminālprocesiem, kuros izmeklējamo noziedzīgo nodarījumu kvalifikācija noteikta atbilstoši K</w:t>
      </w:r>
      <w:r w:rsidR="0070016E" w:rsidRPr="00417DFA">
        <w:rPr>
          <w:iCs/>
        </w:rPr>
        <w:t>rimināllikuma</w:t>
      </w:r>
      <w:r w:rsidRPr="00417DFA">
        <w:rPr>
          <w:iCs/>
        </w:rPr>
        <w:t xml:space="preserve"> 195.pantam, </w:t>
      </w:r>
      <w:r w:rsidRPr="00417DFA">
        <w:t>ne mazāk kā 190</w:t>
      </w:r>
      <w:r w:rsidR="0070016E" w:rsidRPr="00417DFA">
        <w:rPr>
          <w:iCs/>
        </w:rPr>
        <w:t> </w:t>
      </w:r>
      <w:r w:rsidRPr="00417DFA">
        <w:rPr>
          <w:iCs/>
        </w:rPr>
        <w:t>kriminālproces</w:t>
      </w:r>
      <w:r w:rsidR="0070016E" w:rsidRPr="00417DFA">
        <w:rPr>
          <w:iCs/>
        </w:rPr>
        <w:t xml:space="preserve">u </w:t>
      </w:r>
      <w:r w:rsidRPr="00417DFA">
        <w:rPr>
          <w:iCs/>
        </w:rPr>
        <w:t xml:space="preserve">uzsākti, pamatojoties uz </w:t>
      </w:r>
      <w:r w:rsidR="0070016E" w:rsidRPr="00417DFA">
        <w:t>Finanšu izlūkošanas dienesta</w:t>
      </w:r>
      <w:r w:rsidRPr="00417DFA">
        <w:rPr>
          <w:iCs/>
        </w:rPr>
        <w:t xml:space="preserve"> atzinumiem par konstatēt</w:t>
      </w:r>
      <w:r w:rsidR="0070016E" w:rsidRPr="00417DFA">
        <w:rPr>
          <w:iCs/>
        </w:rPr>
        <w:t>aj</w:t>
      </w:r>
      <w:r w:rsidRPr="00417DFA">
        <w:rPr>
          <w:iCs/>
        </w:rPr>
        <w:t xml:space="preserve">iem </w:t>
      </w:r>
      <w:proofErr w:type="spellStart"/>
      <w:r w:rsidRPr="00417DFA">
        <w:rPr>
          <w:i/>
          <w:lang w:eastAsia="lv-LV"/>
        </w:rPr>
        <w:t>stand-alone</w:t>
      </w:r>
      <w:proofErr w:type="spellEnd"/>
      <w:r w:rsidRPr="00417DFA">
        <w:rPr>
          <w:i/>
          <w:lang w:eastAsia="lv-LV"/>
        </w:rPr>
        <w:t xml:space="preserve"> </w:t>
      </w:r>
      <w:r w:rsidRPr="00417DFA">
        <w:t>(autonomās legalizēšanas)</w:t>
      </w:r>
      <w:r w:rsidRPr="00417DFA">
        <w:rPr>
          <w:iCs/>
          <w:lang w:eastAsia="lv-LV"/>
        </w:rPr>
        <w:t xml:space="preserve"> gadījumiem (ievērojamā pārsvarā tie saistīti ar likvidējamām kredītiestādēm). S</w:t>
      </w:r>
      <w:r w:rsidRPr="00417DFA">
        <w:t>alīdzinot ar 2019. gadu</w:t>
      </w:r>
      <w:r w:rsidR="0070016E" w:rsidRPr="00417DFA">
        <w:t>,</w:t>
      </w:r>
      <w:r w:rsidRPr="00417DFA">
        <w:t xml:space="preserve"> šajā statistikas rādītājā ir konstatējams ievērojams 82,69</w:t>
      </w:r>
      <w:r w:rsidR="0070016E" w:rsidRPr="00417DFA">
        <w:t> %</w:t>
      </w:r>
      <w:r w:rsidRPr="00417DFA">
        <w:t xml:space="preserve"> pieaugums, kura pamatojums ir izskaidrojams ar likvidācijas procesu AS “ABLV </w:t>
      </w:r>
      <w:proofErr w:type="spellStart"/>
      <w:r w:rsidRPr="00417DFA">
        <w:t>Bank</w:t>
      </w:r>
      <w:proofErr w:type="spellEnd"/>
      <w:r w:rsidRPr="00417DFA">
        <w:t xml:space="preserve">”, kas palielināja 2020. gadā no bankas uz </w:t>
      </w:r>
      <w:r w:rsidR="0070016E" w:rsidRPr="00417DFA">
        <w:t>Finanšu izlūkošanas dienestu</w:t>
      </w:r>
      <w:r w:rsidRPr="00417DFA">
        <w:t xml:space="preserve"> nosūtīto ziņojumu skaitu.</w:t>
      </w:r>
    </w:p>
    <w:p w14:paraId="4C80FD36" w14:textId="0B7EE88C" w:rsidR="00F04E6E" w:rsidRPr="00417DFA" w:rsidRDefault="0070016E" w:rsidP="00F04E6E">
      <w:pPr>
        <w:pStyle w:val="NoSpacing"/>
        <w:spacing w:before="120"/>
        <w:ind w:firstLine="567"/>
        <w:jc w:val="both"/>
      </w:pPr>
      <w:r w:rsidRPr="00417DFA">
        <w:t>Finanšu izlūkošanas dienests</w:t>
      </w:r>
      <w:r w:rsidR="00AB5546" w:rsidRPr="00417DFA">
        <w:t xml:space="preserve"> kopumā 2020. gadā Valsts policijai saistībā ar LAS “ABLV </w:t>
      </w:r>
      <w:proofErr w:type="spellStart"/>
      <w:r w:rsidR="00AB5546" w:rsidRPr="00417DFA">
        <w:t>Bank</w:t>
      </w:r>
      <w:proofErr w:type="spellEnd"/>
      <w:r w:rsidR="00AB5546" w:rsidRPr="00417DFA">
        <w:t>” nosūtīja 211</w:t>
      </w:r>
      <w:r w:rsidRPr="00417DFA">
        <w:t> </w:t>
      </w:r>
      <w:r w:rsidR="00AB5546" w:rsidRPr="00417DFA">
        <w:t>materiālus (ziņojumus), uz kuru pamata tika uzsākti 183</w:t>
      </w:r>
      <w:r w:rsidRPr="00417DFA">
        <w:t> </w:t>
      </w:r>
      <w:r w:rsidR="00AB5546" w:rsidRPr="00417DFA">
        <w:t xml:space="preserve">kriminālprocesi. Salīdzinot ar 2019. gadu, uzsākto kriminālprocesu skaits saistībā ar LAS “ABLV </w:t>
      </w:r>
      <w:proofErr w:type="spellStart"/>
      <w:r w:rsidR="00AB5546" w:rsidRPr="00417DFA">
        <w:t>Bank</w:t>
      </w:r>
      <w:proofErr w:type="spellEnd"/>
      <w:r w:rsidR="00AB5546" w:rsidRPr="00417DFA">
        <w:t>” palielinājās par 69,44</w:t>
      </w:r>
      <w:r w:rsidRPr="00417DFA">
        <w:t> %</w:t>
      </w:r>
      <w:r w:rsidR="00AB5546" w:rsidRPr="00417DFA">
        <w:t xml:space="preserve">. </w:t>
      </w:r>
    </w:p>
    <w:p w14:paraId="69BF00F9" w14:textId="3F99997E" w:rsidR="00AB5546" w:rsidRPr="00417DFA" w:rsidRDefault="00AB5546" w:rsidP="00F04E6E">
      <w:pPr>
        <w:pStyle w:val="NoSpacing"/>
        <w:ind w:firstLine="567"/>
        <w:jc w:val="both"/>
        <w:rPr>
          <w:rFonts w:eastAsia="Times New Roman" w:cs="Times New Roman"/>
          <w:szCs w:val="24"/>
          <w:lang w:eastAsia="lv-LV"/>
        </w:rPr>
      </w:pPr>
      <w:r w:rsidRPr="00417DFA">
        <w:rPr>
          <w:rFonts w:eastAsia="Times New Roman" w:cs="Times New Roman"/>
          <w:szCs w:val="24"/>
          <w:lang w:eastAsia="lv-LV"/>
        </w:rPr>
        <w:t xml:space="preserve">2020. gadā </w:t>
      </w:r>
      <w:r w:rsidR="0070016E" w:rsidRPr="00417DFA">
        <w:t>Finanšu izlūkošanas dienests</w:t>
      </w:r>
      <w:r w:rsidRPr="00417DFA">
        <w:rPr>
          <w:rFonts w:eastAsia="Times New Roman" w:cs="Times New Roman"/>
          <w:szCs w:val="24"/>
          <w:lang w:eastAsia="lv-LV"/>
        </w:rPr>
        <w:t xml:space="preserve"> kopā ar kompetentās iestādes atzinuma nosūtīšanu tiesībaizsardzības iestādēm izdevis rīkojumus par līdzekļu iesaldēšanu</w:t>
      </w:r>
      <w:r w:rsidRPr="00417DFA">
        <w:rPr>
          <w:rFonts w:eastAsia="Times New Roman" w:cs="Times New Roman"/>
          <w:szCs w:val="24"/>
          <w:vertAlign w:val="superscript"/>
          <w:lang w:eastAsia="lv-LV"/>
        </w:rPr>
        <w:footnoteReference w:id="3"/>
      </w:r>
      <w:r w:rsidRPr="00417DFA">
        <w:rPr>
          <w:rFonts w:eastAsia="Times New Roman" w:cs="Times New Roman"/>
          <w:szCs w:val="24"/>
          <w:lang w:eastAsia="lv-LV"/>
        </w:rPr>
        <w:t xml:space="preserve"> 429,41 milj. EUR apmērā, no tiem:</w:t>
      </w:r>
    </w:p>
    <w:p w14:paraId="5F953370" w14:textId="74E11492" w:rsidR="00AB5546" w:rsidRPr="00417DFA" w:rsidRDefault="00AB5546" w:rsidP="00F04E6E">
      <w:pPr>
        <w:pStyle w:val="NoSpacing"/>
        <w:ind w:firstLine="567"/>
        <w:jc w:val="both"/>
        <w:rPr>
          <w:rFonts w:eastAsia="Times New Roman" w:cs="Times New Roman"/>
          <w:szCs w:val="24"/>
          <w:lang w:eastAsia="lv-LV"/>
        </w:rPr>
      </w:pPr>
      <w:r w:rsidRPr="00417DFA">
        <w:rPr>
          <w:rFonts w:eastAsia="Times New Roman" w:cs="Times New Roman"/>
          <w:szCs w:val="24"/>
          <w:lang w:eastAsia="lv-LV"/>
        </w:rPr>
        <w:t>- 157,39</w:t>
      </w:r>
      <w:r w:rsidR="00E229A7">
        <w:rPr>
          <w:rFonts w:eastAsia="Times New Roman" w:cs="Times New Roman"/>
          <w:szCs w:val="24"/>
          <w:lang w:eastAsia="lv-LV"/>
        </w:rPr>
        <w:t> </w:t>
      </w:r>
      <w:r w:rsidRPr="00417DFA">
        <w:rPr>
          <w:rFonts w:eastAsia="Times New Roman" w:cs="Times New Roman"/>
          <w:szCs w:val="24"/>
          <w:lang w:eastAsia="lv-LV"/>
        </w:rPr>
        <w:t>milj.</w:t>
      </w:r>
      <w:r w:rsidR="00E229A7">
        <w:rPr>
          <w:rFonts w:eastAsia="Times New Roman" w:cs="Times New Roman"/>
          <w:szCs w:val="24"/>
          <w:lang w:eastAsia="lv-LV"/>
        </w:rPr>
        <w:t> </w:t>
      </w:r>
      <w:r w:rsidRPr="00417DFA">
        <w:rPr>
          <w:rFonts w:eastAsia="Times New Roman" w:cs="Times New Roman"/>
          <w:szCs w:val="24"/>
          <w:lang w:eastAsia="lv-LV"/>
        </w:rPr>
        <w:t xml:space="preserve">EUR iesaldēti, pamatojoties uz </w:t>
      </w:r>
      <w:r w:rsidR="006956E6" w:rsidRPr="00417DFA">
        <w:t>Noziedzīgi iegūtu līdzekļu legalizācijas un terorisma un proliferācijas finansēšanas novēršanas likuma</w:t>
      </w:r>
      <w:r w:rsidR="00F04E6E" w:rsidRPr="00417DFA">
        <w:t xml:space="preserve"> </w:t>
      </w:r>
      <w:r w:rsidRPr="00417DFA">
        <w:t>subjektu</w:t>
      </w:r>
      <w:r w:rsidRPr="00417DFA">
        <w:rPr>
          <w:rFonts w:eastAsia="Times New Roman" w:cs="Times New Roman"/>
          <w:szCs w:val="24"/>
          <w:lang w:eastAsia="lv-LV"/>
        </w:rPr>
        <w:t xml:space="preserve"> F</w:t>
      </w:r>
      <w:r w:rsidR="00F04E6E" w:rsidRPr="00417DFA">
        <w:rPr>
          <w:rFonts w:eastAsia="Times New Roman" w:cs="Times New Roman"/>
          <w:szCs w:val="24"/>
          <w:lang w:eastAsia="lv-LV"/>
        </w:rPr>
        <w:t>inanšu izlūkošanas dienestam</w:t>
      </w:r>
      <w:r w:rsidRPr="00417DFA">
        <w:rPr>
          <w:rFonts w:eastAsia="Times New Roman" w:cs="Times New Roman"/>
          <w:szCs w:val="24"/>
          <w:lang w:eastAsia="lv-LV"/>
        </w:rPr>
        <w:t xml:space="preserve"> sniegto ziņojumu par atturēšanos no darījuma veikšanas</w:t>
      </w:r>
      <w:r w:rsidR="00F04E6E" w:rsidRPr="00417DFA">
        <w:rPr>
          <w:rFonts w:eastAsia="Times New Roman" w:cs="Times New Roman"/>
          <w:szCs w:val="24"/>
          <w:lang w:eastAsia="lv-LV"/>
        </w:rPr>
        <w:t>;</w:t>
      </w:r>
    </w:p>
    <w:p w14:paraId="79E32780" w14:textId="03EDEEE6" w:rsidR="00AB5546" w:rsidRPr="00417DFA" w:rsidRDefault="00AB5546" w:rsidP="00F04E6E">
      <w:pPr>
        <w:pStyle w:val="NoSpacing"/>
        <w:ind w:firstLine="567"/>
        <w:jc w:val="both"/>
        <w:rPr>
          <w:rFonts w:eastAsia="Times New Roman" w:cs="Times New Roman"/>
          <w:szCs w:val="24"/>
          <w:lang w:eastAsia="lv-LV"/>
        </w:rPr>
      </w:pPr>
      <w:r w:rsidRPr="00417DFA">
        <w:rPr>
          <w:rFonts w:eastAsia="Times New Roman" w:cs="Times New Roman"/>
          <w:szCs w:val="24"/>
          <w:lang w:eastAsia="lv-LV"/>
        </w:rPr>
        <w:t>- 272,02</w:t>
      </w:r>
      <w:r w:rsidR="00E229A7">
        <w:rPr>
          <w:rFonts w:eastAsia="Times New Roman" w:cs="Times New Roman"/>
          <w:szCs w:val="24"/>
          <w:lang w:eastAsia="lv-LV"/>
        </w:rPr>
        <w:t> </w:t>
      </w:r>
      <w:r w:rsidRPr="00417DFA">
        <w:rPr>
          <w:rFonts w:eastAsia="Times New Roman" w:cs="Times New Roman"/>
          <w:szCs w:val="24"/>
          <w:lang w:eastAsia="lv-LV"/>
        </w:rPr>
        <w:t>milj.</w:t>
      </w:r>
      <w:r w:rsidR="00E229A7">
        <w:rPr>
          <w:rFonts w:eastAsia="Times New Roman" w:cs="Times New Roman"/>
          <w:szCs w:val="24"/>
          <w:lang w:eastAsia="lv-LV"/>
        </w:rPr>
        <w:t> </w:t>
      </w:r>
      <w:r w:rsidRPr="00417DFA">
        <w:rPr>
          <w:rFonts w:eastAsia="Times New Roman" w:cs="Times New Roman"/>
          <w:szCs w:val="24"/>
          <w:lang w:eastAsia="lv-LV"/>
        </w:rPr>
        <w:t>EUR pēc F</w:t>
      </w:r>
      <w:r w:rsidR="00815601" w:rsidRPr="00417DFA">
        <w:rPr>
          <w:rFonts w:eastAsia="Times New Roman" w:cs="Times New Roman"/>
          <w:szCs w:val="24"/>
          <w:lang w:eastAsia="lv-LV"/>
        </w:rPr>
        <w:t>inanšu izlūkošanas dienesta</w:t>
      </w:r>
      <w:r w:rsidRPr="00417DFA">
        <w:rPr>
          <w:rFonts w:eastAsia="Times New Roman" w:cs="Times New Roman"/>
          <w:szCs w:val="24"/>
          <w:lang w:eastAsia="lv-LV"/>
        </w:rPr>
        <w:t xml:space="preserve"> iniciatīvas vai pamatojoties uz ārvalstu pilnvaroto iestāžu lūguma par līdzekļu iesaldēšanu. No 272,02</w:t>
      </w:r>
      <w:r w:rsidR="00E229A7">
        <w:rPr>
          <w:rFonts w:eastAsia="Times New Roman" w:cs="Times New Roman"/>
          <w:szCs w:val="24"/>
          <w:lang w:eastAsia="lv-LV"/>
        </w:rPr>
        <w:t> </w:t>
      </w:r>
      <w:r w:rsidRPr="00417DFA">
        <w:rPr>
          <w:rFonts w:eastAsia="Times New Roman" w:cs="Times New Roman"/>
          <w:szCs w:val="24"/>
          <w:lang w:eastAsia="lv-LV"/>
        </w:rPr>
        <w:t>milj.</w:t>
      </w:r>
      <w:r w:rsidR="00E229A7">
        <w:rPr>
          <w:rFonts w:eastAsia="Times New Roman" w:cs="Times New Roman"/>
          <w:szCs w:val="24"/>
          <w:lang w:eastAsia="lv-LV"/>
        </w:rPr>
        <w:t> </w:t>
      </w:r>
      <w:r w:rsidRPr="00417DFA">
        <w:rPr>
          <w:rFonts w:eastAsia="Times New Roman" w:cs="Times New Roman"/>
          <w:szCs w:val="24"/>
          <w:lang w:eastAsia="lv-LV"/>
        </w:rPr>
        <w:t>EUR, kas iesaldēti pēc F</w:t>
      </w:r>
      <w:r w:rsidR="00815601" w:rsidRPr="00417DFA">
        <w:rPr>
          <w:rFonts w:eastAsia="Times New Roman" w:cs="Times New Roman"/>
          <w:szCs w:val="24"/>
          <w:lang w:eastAsia="lv-LV"/>
        </w:rPr>
        <w:t>inanšu izlūkošanas dienesta</w:t>
      </w:r>
      <w:r w:rsidRPr="00417DFA">
        <w:rPr>
          <w:rFonts w:eastAsia="Times New Roman" w:cs="Times New Roman"/>
          <w:szCs w:val="24"/>
          <w:lang w:eastAsia="lv-LV"/>
        </w:rPr>
        <w:t xml:space="preserve"> iniciatīvas, 257,26</w:t>
      </w:r>
      <w:r w:rsidR="00E229A7">
        <w:rPr>
          <w:rFonts w:eastAsia="Times New Roman" w:cs="Times New Roman"/>
          <w:szCs w:val="24"/>
          <w:lang w:eastAsia="lv-LV"/>
        </w:rPr>
        <w:t> </w:t>
      </w:r>
      <w:r w:rsidRPr="00417DFA">
        <w:rPr>
          <w:rFonts w:eastAsia="Times New Roman" w:cs="Times New Roman"/>
          <w:szCs w:val="24"/>
          <w:lang w:eastAsia="lv-LV"/>
        </w:rPr>
        <w:t>milj.</w:t>
      </w:r>
      <w:r w:rsidR="00E229A7">
        <w:rPr>
          <w:rFonts w:eastAsia="Times New Roman" w:cs="Times New Roman"/>
          <w:szCs w:val="24"/>
          <w:lang w:eastAsia="lv-LV"/>
        </w:rPr>
        <w:t> </w:t>
      </w:r>
      <w:r w:rsidRPr="00417DFA">
        <w:rPr>
          <w:rFonts w:eastAsia="Times New Roman" w:cs="Times New Roman"/>
          <w:szCs w:val="24"/>
          <w:lang w:eastAsia="lv-LV"/>
        </w:rPr>
        <w:t>EUR jeb 94,2</w:t>
      </w:r>
      <w:r w:rsidR="00815601" w:rsidRPr="00417DFA">
        <w:rPr>
          <w:rFonts w:eastAsia="Times New Roman" w:cs="Times New Roman"/>
          <w:szCs w:val="24"/>
          <w:lang w:eastAsia="lv-LV"/>
        </w:rPr>
        <w:t> </w:t>
      </w:r>
      <w:r w:rsidRPr="00417DFA">
        <w:rPr>
          <w:rFonts w:eastAsia="Times New Roman" w:cs="Times New Roman"/>
          <w:szCs w:val="24"/>
          <w:lang w:eastAsia="lv-LV"/>
        </w:rPr>
        <w:t xml:space="preserve">% iesaldēti likvidējamās kredītiestādēs. </w:t>
      </w:r>
    </w:p>
    <w:p w14:paraId="1A6F5536" w14:textId="0A3DD30F" w:rsidR="00AB5546" w:rsidRPr="00417DFA" w:rsidRDefault="00AB5546" w:rsidP="00AB5546">
      <w:pPr>
        <w:pStyle w:val="NoSpacing"/>
        <w:spacing w:before="120"/>
        <w:ind w:firstLine="567"/>
        <w:jc w:val="both"/>
        <w:rPr>
          <w:szCs w:val="24"/>
        </w:rPr>
      </w:pPr>
      <w:r w:rsidRPr="00417DFA">
        <w:rPr>
          <w:szCs w:val="24"/>
        </w:rPr>
        <w:t>2020. gadā kriminālprocesos, kuros līdzekļi arestēti pēc F</w:t>
      </w:r>
      <w:r w:rsidR="00815601" w:rsidRPr="00417DFA">
        <w:rPr>
          <w:szCs w:val="24"/>
        </w:rPr>
        <w:t xml:space="preserve">inanšu izlūkošanas dienesta </w:t>
      </w:r>
      <w:r w:rsidRPr="00417DFA">
        <w:rPr>
          <w:szCs w:val="24"/>
        </w:rPr>
        <w:t>ziņojuma vai kompetentās iestādes atzinuma saņemšanas, kopumā arestēti 399,15 milj. EUR (197</w:t>
      </w:r>
      <w:r w:rsidR="00D72C74" w:rsidRPr="00417DFA">
        <w:rPr>
          <w:szCs w:val="24"/>
        </w:rPr>
        <w:t> </w:t>
      </w:r>
      <w:r w:rsidRPr="00417DFA">
        <w:rPr>
          <w:szCs w:val="24"/>
        </w:rPr>
        <w:t>kriminālprocesos), tostarp 6</w:t>
      </w:r>
      <w:r w:rsidR="00D72C74" w:rsidRPr="00417DFA">
        <w:rPr>
          <w:szCs w:val="24"/>
        </w:rPr>
        <w:t> </w:t>
      </w:r>
      <w:r w:rsidRPr="00417DFA">
        <w:rPr>
          <w:szCs w:val="24"/>
        </w:rPr>
        <w:t>kriminālprocesos F</w:t>
      </w:r>
      <w:r w:rsidR="00D72C74" w:rsidRPr="00417DFA">
        <w:rPr>
          <w:szCs w:val="24"/>
        </w:rPr>
        <w:t>inanšu izlūkošanas dienests</w:t>
      </w:r>
      <w:r w:rsidRPr="00417DFA">
        <w:rPr>
          <w:szCs w:val="24"/>
        </w:rPr>
        <w:t xml:space="preserve"> ir nosūtījis kompetentās iestādes atzinumu, bet nav veicis līdzekļu iesaldēšanu. Šajos kriminālprocesos arestēti līdzekļi kopumā par 26,64</w:t>
      </w:r>
      <w:r w:rsidR="00E229A7">
        <w:rPr>
          <w:szCs w:val="24"/>
        </w:rPr>
        <w:t> </w:t>
      </w:r>
      <w:r w:rsidRPr="00417DFA">
        <w:rPr>
          <w:szCs w:val="24"/>
        </w:rPr>
        <w:t>milj.</w:t>
      </w:r>
      <w:r w:rsidR="00E229A7">
        <w:rPr>
          <w:szCs w:val="24"/>
        </w:rPr>
        <w:t> </w:t>
      </w:r>
      <w:r w:rsidRPr="00417DFA">
        <w:rPr>
          <w:szCs w:val="24"/>
        </w:rPr>
        <w:t>EUR.</w:t>
      </w:r>
      <w:r w:rsidRPr="00417DFA">
        <w:rPr>
          <w:rStyle w:val="FootnoteReference"/>
          <w:szCs w:val="24"/>
        </w:rPr>
        <w:footnoteReference w:id="4"/>
      </w:r>
      <w:r w:rsidRPr="00417DFA">
        <w:rPr>
          <w:szCs w:val="24"/>
        </w:rPr>
        <w:t xml:space="preserve"> 11</w:t>
      </w:r>
      <w:r w:rsidR="00D72C74" w:rsidRPr="00417DFA">
        <w:rPr>
          <w:szCs w:val="24"/>
        </w:rPr>
        <w:t> </w:t>
      </w:r>
      <w:r w:rsidRPr="00417DFA">
        <w:rPr>
          <w:szCs w:val="24"/>
        </w:rPr>
        <w:t xml:space="preserve">gadījumos identificēta līdzekļu iesaldēšana, kam nav sekojis līdzekļu arests, kopējais līdzekļu apmērs </w:t>
      </w:r>
      <w:r w:rsidR="00D72C74" w:rsidRPr="00417DFA">
        <w:rPr>
          <w:szCs w:val="24"/>
        </w:rPr>
        <w:t xml:space="preserve">– </w:t>
      </w:r>
      <w:r w:rsidRPr="00417DFA">
        <w:rPr>
          <w:szCs w:val="24"/>
        </w:rPr>
        <w:t>13,50</w:t>
      </w:r>
      <w:r w:rsidR="00E229A7">
        <w:rPr>
          <w:szCs w:val="24"/>
        </w:rPr>
        <w:t> </w:t>
      </w:r>
      <w:r w:rsidRPr="00417DFA">
        <w:rPr>
          <w:szCs w:val="24"/>
        </w:rPr>
        <w:t>milj.</w:t>
      </w:r>
      <w:r w:rsidR="00E229A7">
        <w:rPr>
          <w:szCs w:val="24"/>
        </w:rPr>
        <w:t> </w:t>
      </w:r>
      <w:r w:rsidRPr="00417DFA">
        <w:rPr>
          <w:szCs w:val="24"/>
        </w:rPr>
        <w:t>EUR. Attiecībā uz 20</w:t>
      </w:r>
      <w:r w:rsidR="00D72C74" w:rsidRPr="00417DFA">
        <w:rPr>
          <w:szCs w:val="24"/>
        </w:rPr>
        <w:t> </w:t>
      </w:r>
      <w:r w:rsidRPr="00417DFA">
        <w:rPr>
          <w:szCs w:val="24"/>
        </w:rPr>
        <w:t>atzinumiem, kur kopējais iesaldēto līdzekļu apmērs ir 37,05</w:t>
      </w:r>
      <w:r w:rsidR="00E229A7">
        <w:rPr>
          <w:szCs w:val="24"/>
        </w:rPr>
        <w:t> </w:t>
      </w:r>
      <w:r w:rsidRPr="00417DFA">
        <w:rPr>
          <w:szCs w:val="24"/>
        </w:rPr>
        <w:t>milj.</w:t>
      </w:r>
      <w:r w:rsidR="00E229A7">
        <w:rPr>
          <w:szCs w:val="24"/>
        </w:rPr>
        <w:t> </w:t>
      </w:r>
      <w:r w:rsidRPr="00417DFA">
        <w:rPr>
          <w:szCs w:val="24"/>
        </w:rPr>
        <w:t>EUR, informācija no tiesībaizsardzības iestādēm vēl nav saņemta vai nepieciešami precizējumi. Vienlaikus jāņem vērā, ka F</w:t>
      </w:r>
      <w:r w:rsidR="00D72C74" w:rsidRPr="00417DFA">
        <w:rPr>
          <w:szCs w:val="24"/>
        </w:rPr>
        <w:t>inanšu izlūkošanas dienesta</w:t>
      </w:r>
      <w:r w:rsidRPr="00417DFA">
        <w:rPr>
          <w:szCs w:val="24"/>
        </w:rPr>
        <w:t xml:space="preserve"> iesaldēto un tiesībaizsardzības iestāžu arestēto līdzekļu apmēri nav savā starpā tieši salīdzināmi, jo: </w:t>
      </w:r>
    </w:p>
    <w:p w14:paraId="3C24A7E6" w14:textId="47CAAB36" w:rsidR="00AB5546" w:rsidRPr="00417DFA" w:rsidRDefault="00AB5546" w:rsidP="00D72C74">
      <w:pPr>
        <w:pStyle w:val="NoSpacing"/>
        <w:ind w:firstLine="567"/>
        <w:jc w:val="both"/>
        <w:rPr>
          <w:rFonts w:cs="Times New Roman"/>
          <w:szCs w:val="24"/>
        </w:rPr>
      </w:pPr>
      <w:r w:rsidRPr="00417DFA">
        <w:rPr>
          <w:rFonts w:cs="Times New Roman"/>
          <w:szCs w:val="24"/>
        </w:rPr>
        <w:lastRenderedPageBreak/>
        <w:t xml:space="preserve">- </w:t>
      </w:r>
      <w:r w:rsidR="00D72C74" w:rsidRPr="00417DFA">
        <w:rPr>
          <w:rFonts w:cs="Times New Roman"/>
          <w:szCs w:val="24"/>
        </w:rPr>
        <w:t>k</w:t>
      </w:r>
      <w:r w:rsidRPr="00417DFA">
        <w:rPr>
          <w:rFonts w:cs="Times New Roman"/>
          <w:szCs w:val="24"/>
        </w:rPr>
        <w:t>riminālprocesa ietvaros arestētie līdzekļi iekļauj gan līdzekļus, kas arestēti, pamatojoties uz F</w:t>
      </w:r>
      <w:r w:rsidR="00D72C74" w:rsidRPr="00417DFA">
        <w:rPr>
          <w:rFonts w:cs="Times New Roman"/>
          <w:szCs w:val="24"/>
        </w:rPr>
        <w:t>inanšu izlūkošanas dienesta</w:t>
      </w:r>
      <w:r w:rsidRPr="00417DFA">
        <w:rPr>
          <w:rFonts w:cs="Times New Roman"/>
          <w:szCs w:val="24"/>
        </w:rPr>
        <w:t xml:space="preserve"> sniegto atzinumu kā kompetentajai iestādei, gan kriminālprocesa ietvaros papildus identificētos un arestētos līdzekļus;</w:t>
      </w:r>
    </w:p>
    <w:p w14:paraId="6549EDA2" w14:textId="54A4C1DC" w:rsidR="00AB5546" w:rsidRPr="00417DFA" w:rsidRDefault="00AB5546" w:rsidP="00D72C74">
      <w:pPr>
        <w:pStyle w:val="NoSpacing"/>
        <w:ind w:firstLine="567"/>
        <w:jc w:val="both"/>
        <w:rPr>
          <w:rFonts w:cs="Times New Roman"/>
          <w:szCs w:val="24"/>
        </w:rPr>
      </w:pPr>
      <w:r w:rsidRPr="00417DFA">
        <w:rPr>
          <w:rFonts w:cs="Times New Roman"/>
          <w:szCs w:val="24"/>
        </w:rPr>
        <w:t xml:space="preserve">- </w:t>
      </w:r>
      <w:r w:rsidR="00726117" w:rsidRPr="00417DFA">
        <w:rPr>
          <w:rFonts w:cs="Times New Roman"/>
          <w:szCs w:val="24"/>
        </w:rPr>
        <w:t>s</w:t>
      </w:r>
      <w:r w:rsidRPr="00417DFA">
        <w:rPr>
          <w:rFonts w:cs="Times New Roman"/>
          <w:szCs w:val="24"/>
        </w:rPr>
        <w:t>alīdzinājums starp datiem par līdzekļu iesaldēšanu un arestu noteiktā laika nogrieznī ir aptuvens, jo praksē starp līdzekļu iesaldēšanu un arestu pastāv laika nobīde. Piemēram, līdzekļi var tikt iesaldēti tekošā gada decembrī, bet arestēti nākamā gada janvārī vai februārī.</w:t>
      </w:r>
    </w:p>
    <w:p w14:paraId="602E39D7" w14:textId="0B64FAB2" w:rsidR="00AB5546" w:rsidRPr="00417DFA" w:rsidRDefault="00AB5546" w:rsidP="00AB5546">
      <w:pPr>
        <w:pStyle w:val="NoSpacing"/>
        <w:spacing w:before="120"/>
        <w:ind w:firstLine="567"/>
        <w:jc w:val="both"/>
        <w:rPr>
          <w:lang w:eastAsia="lv-LV"/>
        </w:rPr>
      </w:pPr>
      <w:r w:rsidRPr="00417DFA">
        <w:t>Lai sekmētu un nodrošinātu savlaicīgu un kvalitatīvu noziedzīgi iegūtu līdzekļu legalizēšanas lietu izmeklēšanu, izmeklēšanas uzraudzību un kriminālvajāšanu, 2020. gada augustā ģenerālprokurors uzdeva izveidot specializētu prokuroru darba grupu (turpmāk – prokuroru darba grupa). Kā prioritāte prokuroru darba grupai tika izvirzīts uzdevums apzināt valstī pastāvošās problēmas, kas saistītas ar kriminālprocesiem, kuri uzsākti pēc F</w:t>
      </w:r>
      <w:r w:rsidR="00726117" w:rsidRPr="00417DFA">
        <w:t>inanšu izlūkošanas dienesta</w:t>
      </w:r>
      <w:r w:rsidRPr="00417DFA">
        <w:t xml:space="preserve"> ziņojumiem/atzinumiem saistībā ar likvidējamās AS “ABLV </w:t>
      </w:r>
      <w:proofErr w:type="spellStart"/>
      <w:r w:rsidRPr="00417DFA">
        <w:t>Bank</w:t>
      </w:r>
      <w:proofErr w:type="spellEnd"/>
      <w:r w:rsidRPr="00417DFA">
        <w:t>” pārbaudi, un koordinēt izmeklētāju un prokuroru darbu, lai nodrošinātu ātrāku un efektīvāku kriminālprocesu virzību</w:t>
      </w:r>
      <w:r w:rsidRPr="00417DFA">
        <w:rPr>
          <w:lang w:eastAsia="lv-LV"/>
        </w:rPr>
        <w:t xml:space="preserve">. Lai veicinātu šāda uzdevuma izpildi, </w:t>
      </w:r>
      <w:r w:rsidRPr="00417DFA">
        <w:t xml:space="preserve">2020. gada septembrī un oktobrī </w:t>
      </w:r>
      <w:r w:rsidRPr="00417DFA">
        <w:rPr>
          <w:lang w:eastAsia="lv-LV"/>
        </w:rPr>
        <w:t>ar ģenerālprokurora rīkojumiem prokuroru darba grupai tika uzdots realizēt K</w:t>
      </w:r>
      <w:r w:rsidR="00726117" w:rsidRPr="00417DFA">
        <w:rPr>
          <w:lang w:eastAsia="lv-LV"/>
        </w:rPr>
        <w:t>riminālprocesa likuma</w:t>
      </w:r>
      <w:r w:rsidRPr="00417DFA">
        <w:rPr>
          <w:lang w:eastAsia="lv-LV"/>
        </w:rPr>
        <w:t xml:space="preserve"> </w:t>
      </w:r>
      <w:r w:rsidRPr="00417DFA">
        <w:rPr>
          <w:noProof/>
          <w:lang w:eastAsia="lv-LV"/>
        </w:rPr>
        <w:t>46.panta otrās daļas 1. un 6.</w:t>
      </w:r>
      <w:r w:rsidR="00726117" w:rsidRPr="00417DFA">
        <w:rPr>
          <w:noProof/>
          <w:lang w:eastAsia="lv-LV"/>
        </w:rPr>
        <w:t> </w:t>
      </w:r>
      <w:r w:rsidRPr="00417DFA">
        <w:rPr>
          <w:noProof/>
          <w:lang w:eastAsia="lv-LV"/>
        </w:rPr>
        <w:t>punktā noteiktās amatā augstāka prokurora tiesības</w:t>
      </w:r>
      <w:r w:rsidRPr="00417DFA">
        <w:rPr>
          <w:lang w:eastAsia="lv-LV"/>
        </w:rPr>
        <w:t xml:space="preserve"> – iepazīties ar krimināllietu materiāliem un nepieciešamības gadījumā dot norādījumus izmeklētājiem un uzraugošajiem prokuroriem noziedzīgi iegūtu līdzekļu legalizēšanas lietu izmeklēšanā. </w:t>
      </w:r>
    </w:p>
    <w:p w14:paraId="686DCCB6" w14:textId="60E3B8D0" w:rsidR="00AB5546" w:rsidRPr="00417DFA" w:rsidRDefault="00AB5546" w:rsidP="00726117">
      <w:pPr>
        <w:pStyle w:val="NoSpacing"/>
        <w:ind w:firstLine="567"/>
        <w:jc w:val="both"/>
        <w:rPr>
          <w:lang w:eastAsia="lv-LV"/>
        </w:rPr>
      </w:pPr>
      <w:r w:rsidRPr="00417DFA">
        <w:rPr>
          <w:lang w:eastAsia="lv-LV"/>
        </w:rPr>
        <w:t>Šo amatā augstāka prokurora funkciju izpildē, īstenojot K</w:t>
      </w:r>
      <w:r w:rsidR="00726117" w:rsidRPr="00417DFA">
        <w:rPr>
          <w:lang w:eastAsia="lv-LV"/>
        </w:rPr>
        <w:t>riminālprocesa likuma</w:t>
      </w:r>
      <w:r w:rsidRPr="00417DFA">
        <w:rPr>
          <w:lang w:eastAsia="lv-LV"/>
        </w:rPr>
        <w:t xml:space="preserve"> 1.</w:t>
      </w:r>
      <w:r w:rsidR="00726117" w:rsidRPr="00417DFA">
        <w:rPr>
          <w:lang w:eastAsia="lv-LV"/>
        </w:rPr>
        <w:t> </w:t>
      </w:r>
      <w:r w:rsidRPr="00417DFA">
        <w:rPr>
          <w:lang w:eastAsia="lv-LV"/>
        </w:rPr>
        <w:t xml:space="preserve">pantā paredzēto mērķi – </w:t>
      </w:r>
      <w:r w:rsidRPr="00417DFA">
        <w:t>noteikt tādu kriminālprocesa kārtību, kas nodrošina efektīvu Krimināllikuma normu piemērošanu un krimināltiesisko attiecību taisnīgu noregulējumu bez neattaisnotas iejaukšanās personas dzīvē</w:t>
      </w:r>
      <w:r w:rsidR="00726117" w:rsidRPr="00417DFA">
        <w:t xml:space="preserve"> –</w:t>
      </w:r>
      <w:r w:rsidRPr="00417DFA">
        <w:t>,</w:t>
      </w:r>
      <w:r w:rsidRPr="00417DFA">
        <w:rPr>
          <w:lang w:eastAsia="lv-LV"/>
        </w:rPr>
        <w:t xml:space="preserve"> tika organizētas un īstenotas konkrētu kriminālprocesu apspriedes, pārbaudot izmeklēšanas rezultātus, nosakot kriminālprocesos veicamo izmeklēšanas un procesuālo darbību veikšanas minimālo apjomu.</w:t>
      </w:r>
    </w:p>
    <w:p w14:paraId="575359A0" w14:textId="4E227CD9" w:rsidR="00AB5546" w:rsidRPr="00417DFA" w:rsidRDefault="00AB5546" w:rsidP="00934D11">
      <w:pPr>
        <w:pStyle w:val="NoSpacing"/>
        <w:ind w:firstLine="567"/>
        <w:jc w:val="both"/>
        <w:rPr>
          <w:lang w:eastAsia="lv-LV"/>
        </w:rPr>
      </w:pPr>
      <w:r w:rsidRPr="00417DFA">
        <w:rPr>
          <w:lang w:eastAsia="lv-LV"/>
        </w:rPr>
        <w:t>Kriminālprocesu apspriedes tika veiktas, ievērojot Latvijas nacionālā NILLTPF novēršanas riska profilu – 1) noziedzīgi iegūtu līdzekļu legalizēšana, izmantojot Latviju kā tranzīta valsti un 2) noziedzīgi iegūtu līdzekļu legalizēšana, izmantojot Latvijas, E</w:t>
      </w:r>
      <w:r w:rsidR="00934D11" w:rsidRPr="00417DFA">
        <w:rPr>
          <w:lang w:eastAsia="lv-LV"/>
        </w:rPr>
        <w:t>iropas Savienības</w:t>
      </w:r>
      <w:r w:rsidRPr="00417DFA">
        <w:rPr>
          <w:lang w:eastAsia="lv-LV"/>
        </w:rPr>
        <w:t xml:space="preserve"> un trešo valstu ietvaros izdarītā predikatīvā noziedzīgā nodarījuma rezultātā iegūtus līdzekļus.</w:t>
      </w:r>
    </w:p>
    <w:p w14:paraId="33A24477" w14:textId="3F7D6375" w:rsidR="00AB5546" w:rsidRPr="00417DFA" w:rsidRDefault="00AB5546" w:rsidP="001B4FDA">
      <w:pPr>
        <w:pStyle w:val="NoSpacing"/>
        <w:ind w:firstLine="567"/>
        <w:jc w:val="both"/>
      </w:pPr>
      <w:r w:rsidRPr="00417DFA">
        <w:rPr>
          <w:lang w:eastAsia="lv-LV"/>
        </w:rPr>
        <w:t>2020. gadā laika periodā no augusta līdz decembrim prokuroru darba grupa organizēja un īstenoja vismaz 134</w:t>
      </w:r>
      <w:r w:rsidR="00934D11" w:rsidRPr="00417DFA">
        <w:rPr>
          <w:lang w:eastAsia="lv-LV"/>
        </w:rPr>
        <w:t> </w:t>
      </w:r>
      <w:r w:rsidRPr="00417DFA">
        <w:rPr>
          <w:lang w:eastAsia="lv-LV"/>
        </w:rPr>
        <w:t xml:space="preserve">krimināllietu apspriedes, kurās piedalījās plašs iesaistīto amatpersonu loks </w:t>
      </w:r>
      <w:r w:rsidR="00934D11" w:rsidRPr="00417DFA">
        <w:rPr>
          <w:lang w:eastAsia="lv-LV"/>
        </w:rPr>
        <w:t xml:space="preserve">– </w:t>
      </w:r>
      <w:r w:rsidRPr="00417DFA">
        <w:rPr>
          <w:lang w:eastAsia="lv-LV"/>
        </w:rPr>
        <w:t xml:space="preserve"> procesa virzītājs, izmeklētāja tiešais priekšnieks, izmeklēšanu uzraugošais prokurors, amatā augstāks prokurors. Daļa no šiem kriminālprocesiem apspriesti vairākkārt. Tādējādi, efektivizējot izmeklēšanas virzību, mainīta </w:t>
      </w:r>
      <w:r w:rsidRPr="00417DFA">
        <w:t>K</w:t>
      </w:r>
      <w:r w:rsidR="00934D11" w:rsidRPr="00417DFA">
        <w:t>riminālprocesa likuma</w:t>
      </w:r>
      <w:r w:rsidRPr="00417DFA">
        <w:t xml:space="preserve"> 59.</w:t>
      </w:r>
      <w:r w:rsidR="00934D11" w:rsidRPr="00417DFA">
        <w:t> </w:t>
      </w:r>
      <w:r w:rsidRPr="00417DFA">
        <w:t>nodaļas piemērošanas metodoloģija, tostarp, mudinot procesa virzītāju mantiskos jautājumus kriminālprocesā risināt pēc iespējas ātrāk, tai skaitā, maksimāli piemērot likumā iestrādātos grozījumus saistībā ar pierādījumu pietiekamību mantas atzīšanai par noziedzīgi iegūtu. Tāpat kriminālprocesu apspriežu laikā kriminālprocesos, kuros ir identificējams predikatīvais noziedzīgais nodarījums, tika izsvērti jautājumi saistībā ar nosacījumiem būtisku lēmumu pieņemšanā, piemēram, lēmumam par personas atzīšanu par aizdomās turēto vai personas saukšanu pie kriminālatbildības.</w:t>
      </w:r>
    </w:p>
    <w:p w14:paraId="73294DF0" w14:textId="510EF7BB" w:rsidR="00AB5546" w:rsidRPr="00417DFA" w:rsidRDefault="00AB5546" w:rsidP="00934D11">
      <w:pPr>
        <w:pStyle w:val="NoSpacing"/>
        <w:ind w:firstLine="567"/>
        <w:jc w:val="both"/>
        <w:rPr>
          <w:rFonts w:eastAsia="Times New Roman" w:cs="Times New Roman"/>
          <w:lang w:eastAsia="lv-LV"/>
        </w:rPr>
      </w:pPr>
      <w:r w:rsidRPr="00417DFA">
        <w:rPr>
          <w:rFonts w:eastAsia="Times New Roman" w:cs="Times New Roman"/>
          <w:lang w:eastAsia="lv-LV"/>
        </w:rPr>
        <w:t xml:space="preserve">Apspriežu laikā analizēti arī lēmumu projekti par procesa uzsākšanu par noziedzīgi iegūtu mantu un krimināllietas par noziedzīgi iegūtu mantu nodošanu izlemšanai tiesai, veicinot vienotu lēmuma parauga izstrādi, lai atvieglotu procesa virzītāju un prokuroru ikdienas darbu un nodrošinātu maksimāli iespējami vienotu pieeju lēmumu izstrādē. </w:t>
      </w:r>
    </w:p>
    <w:p w14:paraId="129FDFAF" w14:textId="01CC4F0A" w:rsidR="00AB5546" w:rsidRPr="00417DFA" w:rsidRDefault="00AB5546" w:rsidP="00AB5546">
      <w:pPr>
        <w:pStyle w:val="NoSpacing"/>
        <w:spacing w:before="120"/>
        <w:ind w:firstLine="567"/>
        <w:jc w:val="both"/>
        <w:rPr>
          <w:rFonts w:eastAsia="Times New Roman" w:cs="Times New Roman"/>
          <w:lang w:eastAsia="lv-LV"/>
        </w:rPr>
      </w:pPr>
      <w:r w:rsidRPr="00417DFA">
        <w:t>Lai veicinātu F</w:t>
      </w:r>
      <w:r w:rsidR="00DB1A30" w:rsidRPr="00417DFA">
        <w:t>inanšu izlūkošanas dienesta</w:t>
      </w:r>
      <w:r w:rsidRPr="00417DFA">
        <w:t xml:space="preserve"> ziņojumā/atzinumā ietvertās informācijas atbilstību tiesīb</w:t>
      </w:r>
      <w:r w:rsidR="00DB1A30" w:rsidRPr="00417DFA">
        <w:t>aizsardzības</w:t>
      </w:r>
      <w:r w:rsidRPr="00417DFA">
        <w:t xml:space="preserve"> institūciju darbības nepieciešamībai, kā arī maksimāli identificētu dienesta rīcībā esošās un pieejamās informācijas izmantošanu un sekmīgu tās pielietošanu izmeklēšanā, aktīvi organizētas starpinstitucionālās </w:t>
      </w:r>
      <w:r w:rsidRPr="00417DFA">
        <w:rPr>
          <w:rFonts w:eastAsia="Times New Roman" w:cs="Times New Roman"/>
          <w:lang w:eastAsia="lv-LV"/>
        </w:rPr>
        <w:t xml:space="preserve">krimināllietu apspriedes, piedaloties Finanšu izlūkošanas dienesta pārstāvjiem, tostarp </w:t>
      </w:r>
      <w:r w:rsidRPr="00417DFA">
        <w:t>F</w:t>
      </w:r>
      <w:r w:rsidR="00DB1A30" w:rsidRPr="00417DFA">
        <w:t>inanšu izlūkošanas dienesta</w:t>
      </w:r>
      <w:r w:rsidRPr="00417DFA">
        <w:t xml:space="preserve"> Sadarbības </w:t>
      </w:r>
      <w:r w:rsidRPr="00417DFA">
        <w:lastRenderedPageBreak/>
        <w:t>koordinācijas grupas ietvaros, izmantojot šīs institūcijas piedāvātās iespējas aktuālo izmeklēšanu ietvaros</w:t>
      </w:r>
      <w:r w:rsidRPr="00417DFA">
        <w:rPr>
          <w:rFonts w:eastAsia="Times New Roman" w:cs="Times New Roman"/>
          <w:lang w:eastAsia="lv-LV"/>
        </w:rPr>
        <w:t>. Tāpat atsevišķos kriminālprocesos tika koordinēta sadarbība ar Finanšu un kapitāla tirgus komisiju atzinumu saņemšanā.</w:t>
      </w:r>
    </w:p>
    <w:p w14:paraId="1A54FAD8" w14:textId="4DC4132A" w:rsidR="00AB5546" w:rsidRPr="00417DFA" w:rsidRDefault="00AB5546" w:rsidP="00402460">
      <w:pPr>
        <w:pStyle w:val="NoSpacing"/>
        <w:ind w:firstLine="567"/>
        <w:jc w:val="both"/>
        <w:rPr>
          <w:rFonts w:eastAsia="Times New Roman" w:cs="Times New Roman"/>
          <w:lang w:eastAsia="lv-LV"/>
        </w:rPr>
      </w:pPr>
      <w:r w:rsidRPr="00417DFA">
        <w:rPr>
          <w:rFonts w:eastAsia="Times New Roman" w:cs="Times New Roman"/>
          <w:lang w:eastAsia="lv-LV"/>
        </w:rPr>
        <w:t>Laika posmā no 2020. gada septembra līdz decembrim kopumā koordinētas vairāk par 10</w:t>
      </w:r>
      <w:r w:rsidR="00402460" w:rsidRPr="00417DFA">
        <w:rPr>
          <w:rFonts w:eastAsia="Times New Roman" w:cs="Times New Roman"/>
          <w:lang w:eastAsia="lv-LV"/>
        </w:rPr>
        <w:t> </w:t>
      </w:r>
      <w:r w:rsidRPr="00417DFA">
        <w:rPr>
          <w:rFonts w:eastAsia="Times New Roman" w:cs="Times New Roman"/>
          <w:lang w:eastAsia="lv-LV"/>
        </w:rPr>
        <w:t>darba sanāksmēm ar Finanšu izlūkošanas dienestu, kā arī Finanšu un kapitāla tirgus komisiju.</w:t>
      </w:r>
    </w:p>
    <w:p w14:paraId="4927E1C5" w14:textId="42BDFA26" w:rsidR="00AB5546" w:rsidRPr="00417DFA" w:rsidRDefault="00402460" w:rsidP="00AB5546">
      <w:pPr>
        <w:pStyle w:val="NoSpacing"/>
        <w:spacing w:before="120"/>
        <w:ind w:firstLine="567"/>
        <w:jc w:val="both"/>
        <w:rPr>
          <w:rFonts w:eastAsia="Times New Roman" w:cs="Times New Roman"/>
          <w:lang w:eastAsia="lv-LV"/>
        </w:rPr>
      </w:pPr>
      <w:r w:rsidRPr="00417DFA">
        <w:rPr>
          <w:rFonts w:eastAsia="Times New Roman" w:cs="Times New Roman"/>
          <w:lang w:eastAsia="lv-LV"/>
        </w:rPr>
        <w:t xml:space="preserve">2020. gadā </w:t>
      </w:r>
      <w:r w:rsidR="00AB5546" w:rsidRPr="00417DFA">
        <w:rPr>
          <w:rFonts w:eastAsia="Times New Roman" w:cs="Times New Roman"/>
          <w:lang w:eastAsia="lv-LV"/>
        </w:rPr>
        <w:t>sagatavots un pausts prokuratūras viedoklis starpinstitucionālajās darba grupās, komisijās un sanāksmēs jautājumos, kas saistīti ar noziedzīgi iegūtu līdzekļu legalizēšanas un terorisma un proliferācijas finansēšanas novēršanu un apkarošanu, kā arī ģenerālprokurora atsevišķi uzdotajās jomās.</w:t>
      </w:r>
    </w:p>
    <w:p w14:paraId="1A0D3057" w14:textId="698397DA" w:rsidR="00AB5546" w:rsidRPr="00417DFA" w:rsidRDefault="00AB5546" w:rsidP="00AB5546">
      <w:pPr>
        <w:pStyle w:val="NoSpacing"/>
        <w:spacing w:before="120"/>
        <w:ind w:firstLine="567"/>
        <w:jc w:val="both"/>
      </w:pPr>
      <w:r w:rsidRPr="00417DFA">
        <w:t xml:space="preserve">Ģenerālprokurora izveidotā </w:t>
      </w:r>
      <w:r w:rsidRPr="00417DFA">
        <w:rPr>
          <w:lang w:eastAsia="lv-LV"/>
        </w:rPr>
        <w:t>prokuroru darba grupa</w:t>
      </w:r>
      <w:r w:rsidRPr="00417DFA">
        <w:t xml:space="preserve"> kopā ar F</w:t>
      </w:r>
      <w:r w:rsidR="00402460" w:rsidRPr="00417DFA">
        <w:t xml:space="preserve">inanšu izlūkošanas dienestu </w:t>
      </w:r>
      <w:r w:rsidRPr="00417DFA">
        <w:t>izstrādāja vienotu F</w:t>
      </w:r>
      <w:r w:rsidR="00402460" w:rsidRPr="00417DFA">
        <w:t>inanšu izlūkošanas dienesta</w:t>
      </w:r>
      <w:r w:rsidRPr="00417DFA">
        <w:t xml:space="preserve"> atzinuma formu, kas vērtējams kā Kompetentās iestādes atzinums atbilstoši K</w:t>
      </w:r>
      <w:r w:rsidR="00402460" w:rsidRPr="00417DFA">
        <w:t xml:space="preserve">riminālprocesa likuma </w:t>
      </w:r>
      <w:r w:rsidRPr="00417DFA">
        <w:t>133.</w:t>
      </w:r>
      <w:r w:rsidR="00402460" w:rsidRPr="00417DFA">
        <w:t> </w:t>
      </w:r>
      <w:r w:rsidRPr="00417DFA">
        <w:t>panta prasībām, kā arī aktīvi piedalījās Finanšu izlūkošanas dienesta Konsultatīvās padomes sēdēs, sekmējot un koordinējot valsts institūciju, Noziedzīgi iegūtu līdzekļu legalizācijas un terorisma un proliferācijas finansēšanas novēršanas likuma subjektu, to uzraudzības un kontroles institūciju sadarbību šā likuma prasību izpildē. Turklāt prokurori piedalījās F</w:t>
      </w:r>
      <w:r w:rsidR="00352AD5" w:rsidRPr="00417DFA">
        <w:t>inanšu izlūkošanas dienesta</w:t>
      </w:r>
      <w:r w:rsidRPr="00417DFA">
        <w:t xml:space="preserve"> ieteikumu un kritēriju izstrādē, pēc kuriem efektīvāk var analizēt saņemtos ziņojumus no Noziedzīgi iegūtu līdzekļu legalizācijas un terorisma un proliferācijas finansēšanas novēršanas likuma subjektiem. </w:t>
      </w:r>
    </w:p>
    <w:p w14:paraId="0704310E" w14:textId="77777777" w:rsidR="00AB5546" w:rsidRPr="00417DFA" w:rsidRDefault="00AB5546" w:rsidP="00AB5546">
      <w:pPr>
        <w:pStyle w:val="NoSpacing"/>
        <w:spacing w:before="120"/>
        <w:ind w:firstLine="567"/>
        <w:jc w:val="both"/>
        <w:rPr>
          <w:szCs w:val="24"/>
        </w:rPr>
      </w:pPr>
      <w:r w:rsidRPr="00417DFA">
        <w:rPr>
          <w:szCs w:val="24"/>
        </w:rPr>
        <w:t xml:space="preserve">Turpinot </w:t>
      </w:r>
      <w:r w:rsidRPr="00417DFA">
        <w:t xml:space="preserve">ģenerālprokurora izveidotās </w:t>
      </w:r>
      <w:r w:rsidRPr="00417DFA">
        <w:rPr>
          <w:lang w:eastAsia="lv-LV"/>
        </w:rPr>
        <w:t xml:space="preserve">prokuroru darba grupa pienākumu izpildes tvēruma paplašināšanu, </w:t>
      </w:r>
      <w:r w:rsidRPr="00417DFA">
        <w:rPr>
          <w:szCs w:val="24"/>
        </w:rPr>
        <w:t xml:space="preserve">ar 2020. gada 1. decembra ģenerālprokurora pavēli, nolūkā nodrošināt efektīvāku prokurora tiesību un pienākumu realizāciju kriminālprocesos, kas saistīti ar noziedzīgi iegūtu līdzekļu legalizēšanu, kā arī nodrošināt prokurora darba koordinēšanu šajā jomā, Ģenerālprokuratūrā tika izveidota </w:t>
      </w:r>
      <w:r w:rsidRPr="00417DFA">
        <w:rPr>
          <w:lang w:eastAsia="lv-LV"/>
        </w:rPr>
        <w:t>Noziedzīgi iegūtu līdzekļu legalizēšanas apkarošanas koordinācijas nodaļa, kas uzsāka savu darbu 2021. gada 4. janvārī.</w:t>
      </w:r>
    </w:p>
    <w:p w14:paraId="46DAA972" w14:textId="13E6EC3C" w:rsidR="00AB5546" w:rsidRPr="00417DFA" w:rsidRDefault="00AB5546" w:rsidP="00AB5546">
      <w:pPr>
        <w:pStyle w:val="NoSpacing"/>
        <w:spacing w:before="120"/>
        <w:ind w:firstLine="567"/>
        <w:jc w:val="both"/>
        <w:rPr>
          <w:lang w:eastAsia="lv-LV"/>
        </w:rPr>
      </w:pPr>
      <w:r w:rsidRPr="00417DFA">
        <w:t xml:space="preserve">Papildus minētajam, lai stiprinātu prokuratūras kapacitāti apstrādāt un izmeklēt ievērojami pieaugošo informācijas apjomu un kriminālprocesu skaitu </w:t>
      </w:r>
      <w:r w:rsidRPr="00417DFA">
        <w:rPr>
          <w:lang w:eastAsia="lv-LV"/>
        </w:rPr>
        <w:t xml:space="preserve">noziedzīgi iegūtu līdzekļu legalizēšanas apkarošanas jomā, kā arī nodrošināt sistemātisku finanšu izmeklēšanu veikšanu, </w:t>
      </w:r>
      <w:r w:rsidRPr="00417DFA">
        <w:t>prokuratūrā 2020.</w:t>
      </w:r>
      <w:r w:rsidR="00AD72E7" w:rsidRPr="00417DFA">
        <w:t> </w:t>
      </w:r>
      <w:r w:rsidRPr="00417DFA">
        <w:t>gadā</w:t>
      </w:r>
      <w:r w:rsidRPr="00417DFA">
        <w:rPr>
          <w:lang w:eastAsia="lv-LV"/>
        </w:rPr>
        <w:t xml:space="preserve"> izveidotas</w:t>
      </w:r>
      <w:r w:rsidRPr="00417DFA">
        <w:t xml:space="preserve"> 2 jaunas finanšu analītiķa amata vietas </w:t>
      </w:r>
      <w:r w:rsidRPr="00417DFA">
        <w:rPr>
          <w:lang w:eastAsia="lv-LV"/>
        </w:rPr>
        <w:t xml:space="preserve">noziedzīgi iegūtu līdzekļu legalizēšanas apkarošanas jomā, kuras 2021. gadā papildinātas ar vēl 2 amata vietām. Tādējādi </w:t>
      </w:r>
      <w:r w:rsidRPr="00417DFA">
        <w:t>2021. gada sākumā darbu uzsāks 4 jauni darbinieki (2 vecākie darījumu operāciju analītiķi un 2 darījumu operāciju analītiķi</w:t>
      </w:r>
      <w:r w:rsidRPr="00417DFA">
        <w:rPr>
          <w:lang w:eastAsia="lv-LV"/>
        </w:rPr>
        <w:t>.</w:t>
      </w:r>
    </w:p>
    <w:p w14:paraId="1D0168C8" w14:textId="77777777" w:rsidR="00C53B7E" w:rsidRPr="00417DFA" w:rsidRDefault="00C53B7E" w:rsidP="00A23639">
      <w:pPr>
        <w:pStyle w:val="NoSpacing"/>
        <w:ind w:firstLine="567"/>
        <w:jc w:val="both"/>
        <w:rPr>
          <w:lang w:eastAsia="lv-LV"/>
        </w:rPr>
      </w:pPr>
    </w:p>
    <w:p w14:paraId="6D1A36C2" w14:textId="77777777" w:rsidR="00C53B7E" w:rsidRDefault="00C53B7E" w:rsidP="00C53B7E">
      <w:pPr>
        <w:spacing w:after="0" w:line="240" w:lineRule="auto"/>
        <w:jc w:val="both"/>
        <w:rPr>
          <w:b/>
          <w:bCs/>
        </w:rPr>
      </w:pPr>
      <w:r>
        <w:rPr>
          <w:b/>
          <w:bCs/>
        </w:rPr>
        <w:t xml:space="preserve">[2] </w:t>
      </w:r>
      <w:r w:rsidR="00AB5546" w:rsidRPr="000D0B47">
        <w:rPr>
          <w:b/>
          <w:bCs/>
        </w:rPr>
        <w:t>Apmācību īstenošana, metodisko materiālu izstrāde un ieviešana praktiskajā darbā</w:t>
      </w:r>
    </w:p>
    <w:p w14:paraId="0F961FC3" w14:textId="00D69F40" w:rsidR="00AB5546" w:rsidRPr="00C53B7E" w:rsidRDefault="00AB5546" w:rsidP="00F77887">
      <w:pPr>
        <w:spacing w:after="0" w:line="240" w:lineRule="auto"/>
        <w:ind w:firstLine="567"/>
        <w:jc w:val="both"/>
        <w:rPr>
          <w:b/>
          <w:bCs/>
        </w:rPr>
      </w:pPr>
      <w:r>
        <w:t>Saskaņā ar vairākiem normatīvajiem aktiem</w:t>
      </w:r>
      <w:r>
        <w:rPr>
          <w:rStyle w:val="FootnoteReference"/>
        </w:rPr>
        <w:footnoteReference w:id="5"/>
      </w:r>
      <w:r>
        <w:t xml:space="preserve"> un Latvijas un starptautisko institūciju (organizāciju)</w:t>
      </w:r>
      <w:r>
        <w:rPr>
          <w:rStyle w:val="FootnoteReference"/>
        </w:rPr>
        <w:footnoteReference w:id="6"/>
      </w:r>
      <w:r>
        <w:t xml:space="preserve"> ieteikumiem </w:t>
      </w:r>
      <w:r w:rsidR="00A23639">
        <w:t>–</w:t>
      </w:r>
      <w:r>
        <w:t xml:space="preserve"> t</w:t>
      </w:r>
      <w:r w:rsidRPr="00E47B06">
        <w:t>urpin</w:t>
      </w:r>
      <w:r>
        <w:t>ā</w:t>
      </w:r>
      <w:r w:rsidRPr="00E47B06">
        <w:t xml:space="preserve">t īstenot </w:t>
      </w:r>
      <w:r>
        <w:t xml:space="preserve">izmeklētāju, </w:t>
      </w:r>
      <w:r w:rsidRPr="00E47B06">
        <w:t>prokuroru</w:t>
      </w:r>
      <w:r>
        <w:t xml:space="preserve"> un tiesnešu</w:t>
      </w:r>
      <w:r w:rsidRPr="00E47B06">
        <w:t xml:space="preserve"> apmācības par Latvijai aktuālo </w:t>
      </w:r>
      <w:r>
        <w:t>noziedzīgi iegūtu līdzekļu legalizācijas un terorisma un proliferācijas finansēšanas novēršanas un apkarošanas</w:t>
      </w:r>
      <w:r w:rsidRPr="00E47B06">
        <w:t xml:space="preserve"> jomu, </w:t>
      </w:r>
      <w:r>
        <w:t>jo īpaši</w:t>
      </w:r>
      <w:r w:rsidRPr="00E47B06">
        <w:t xml:space="preserve"> par </w:t>
      </w:r>
      <w:r>
        <w:t xml:space="preserve">izmeklēšanas standartiem un vienveidību </w:t>
      </w:r>
      <w:r w:rsidRPr="00E47B06">
        <w:t>sodu politik</w:t>
      </w:r>
      <w:r>
        <w:t>ā</w:t>
      </w:r>
      <w:r w:rsidRPr="00E47B06">
        <w:t xml:space="preserve"> ārvalstu kukuļošanas un noziedzīgi iegūtu līdzekļu legaliz</w:t>
      </w:r>
      <w:r>
        <w:t>ēšanas</w:t>
      </w:r>
      <w:r w:rsidRPr="00E47B06">
        <w:t xml:space="preserve"> lietās</w:t>
      </w:r>
      <w:r w:rsidR="00A23639">
        <w:t xml:space="preserve"> –</w:t>
      </w:r>
      <w:r w:rsidRPr="00E47B06">
        <w:t xml:space="preserve">, </w:t>
      </w:r>
      <w:r>
        <w:t>2020. gadā ģenerālprokurora izveidotā</w:t>
      </w:r>
      <w:r w:rsidR="00E229A7">
        <w:t>s</w:t>
      </w:r>
      <w:r>
        <w:t xml:space="preserve"> prokuroru darba grupas dalībnieki</w:t>
      </w:r>
      <w:r w:rsidRPr="00E47B06">
        <w:t xml:space="preserve"> </w:t>
      </w:r>
      <w:r>
        <w:t xml:space="preserve">sadarbībā ar citām Ģenerālprokuratūras struktūrvienībām </w:t>
      </w:r>
      <w:r w:rsidRPr="00E47B06">
        <w:t>izveidoj</w:t>
      </w:r>
      <w:r>
        <w:t>a</w:t>
      </w:r>
      <w:r w:rsidRPr="00E47B06">
        <w:t xml:space="preserve"> mācību programmu par noziedzīgi iegūtu līdzekļu legaliz</w:t>
      </w:r>
      <w:r>
        <w:t>ēšanas</w:t>
      </w:r>
      <w:r w:rsidRPr="00E47B06">
        <w:t xml:space="preserve"> izmeklēšanai nepieciešamā pierādījumu apjoma nodrošināšanu, </w:t>
      </w:r>
      <w:r>
        <w:t xml:space="preserve">tostarp </w:t>
      </w:r>
      <w:r w:rsidRPr="00E47B06">
        <w:t>arī par sodu politiku</w:t>
      </w:r>
      <w:r>
        <w:t xml:space="preserve"> un</w:t>
      </w:r>
      <w:r w:rsidRPr="00E47B06">
        <w:t xml:space="preserve"> noziedzīgi iegūtu līdzekļu konfiskāciju un mantas īpašās konfiskācijas tiesisko regulējumu un piemērošanu praksē.</w:t>
      </w:r>
    </w:p>
    <w:p w14:paraId="0D4D2667" w14:textId="79ADDFCE" w:rsidR="00AB5546" w:rsidRPr="00417DFA" w:rsidRDefault="00AB5546" w:rsidP="00A23639">
      <w:pPr>
        <w:pStyle w:val="NoSpacing"/>
        <w:ind w:firstLine="567"/>
        <w:jc w:val="both"/>
      </w:pPr>
      <w:r w:rsidRPr="00417DFA">
        <w:lastRenderedPageBreak/>
        <w:t xml:space="preserve">2020. gadā šī prokuroru darba grupa </w:t>
      </w:r>
      <w:bookmarkStart w:id="52" w:name="_Hlk62660743"/>
      <w:r w:rsidRPr="00417DFA">
        <w:t xml:space="preserve">koordinēja un īstenoja, tostarp sadarbībā ar citu struktūrvienību prokuroriem un atsevišķās mācību aktivitātēs iesaistoties arī ģenerālprokuroram, vairāk </w:t>
      </w:r>
      <w:r w:rsidR="00A23639" w:rsidRPr="00417DFA">
        <w:t>ne</w:t>
      </w:r>
      <w:r w:rsidRPr="00417DFA">
        <w:t>kā 15</w:t>
      </w:r>
      <w:r w:rsidR="00A23639" w:rsidRPr="00417DFA">
        <w:t> </w:t>
      </w:r>
      <w:r w:rsidRPr="00417DFA">
        <w:t>apmācību ciklus noziedzīgi iegūtu līdzekļu legaliz</w:t>
      </w:r>
      <w:r w:rsidR="00A23639" w:rsidRPr="00417DFA">
        <w:t>ēšanas</w:t>
      </w:r>
      <w:r w:rsidRPr="00417DFA">
        <w:t xml:space="preserve"> un terorisma un proliferācijas finansēšanas novēršanas un apkarošanas jomā</w:t>
      </w:r>
      <w:bookmarkEnd w:id="52"/>
      <w:r w:rsidRPr="00417DFA">
        <w:t xml:space="preserve">. Apmācības tika īstenotas vairākās prokuratūras struktūrvienībās, Valsts policijas Galvenās kriminālpolicijas pārvaldes Ekonomisko noziegumu apkarošanas pārvaldē un reģionālajās Valsts policijas struktūrvienībās, Korupcijas novēršanas un apkarošanas birojā, Rīgas apgabaltiesā, Kurzemes apgabaltiesā un Latgales apgabaltiesā. </w:t>
      </w:r>
    </w:p>
    <w:p w14:paraId="63C6F77C" w14:textId="773B164D" w:rsidR="00AB5546" w:rsidRPr="00417DFA" w:rsidRDefault="00AB5546" w:rsidP="00893353">
      <w:pPr>
        <w:pStyle w:val="NoSpacing"/>
        <w:ind w:firstLine="567"/>
        <w:jc w:val="both"/>
      </w:pPr>
      <w:r w:rsidRPr="00417DFA">
        <w:t>Kopumā jāatzīmē, ka šajās apmācībās piedalījās vairāk nekā 250</w:t>
      </w:r>
      <w:r w:rsidR="00893353" w:rsidRPr="00417DFA">
        <w:t> </w:t>
      </w:r>
      <w:r w:rsidRPr="00417DFA">
        <w:t>tiesīb</w:t>
      </w:r>
      <w:r w:rsidR="00893353" w:rsidRPr="00417DFA">
        <w:t xml:space="preserve">aizsardzības </w:t>
      </w:r>
      <w:r w:rsidRPr="00417DFA">
        <w:t xml:space="preserve">institūciju darbinieki (tiesneši, tiesnešu palīgi, virsprokurori, prokurori, izmeklētāju tiešie priekšnieki un izmeklētāji). Tostarp apmācības prokuroriem par sodu politiku noziedzīgi iegūtu līdzekļu legalizēšanas lietās organizētas arī tiešsaistes režīmā, tādējādi nodrošinot iespēju attālināti piedalīties visiem prokuroriem. </w:t>
      </w:r>
    </w:p>
    <w:p w14:paraId="6311477B" w14:textId="26FE8E56" w:rsidR="00AB5546" w:rsidRPr="00417DFA" w:rsidRDefault="00AB5546" w:rsidP="00AB5546">
      <w:pPr>
        <w:pStyle w:val="NoSpacing"/>
        <w:spacing w:before="120"/>
        <w:ind w:firstLine="567"/>
        <w:jc w:val="both"/>
      </w:pPr>
      <w:r w:rsidRPr="00417DFA">
        <w:t>Turklāt ģenerālprokurora izveidotā prokur</w:t>
      </w:r>
      <w:r w:rsidR="00893353" w:rsidRPr="00417DFA">
        <w:t>or</w:t>
      </w:r>
      <w:r w:rsidRPr="00417DFA">
        <w:t>u darba grupa aktīvi piedalījās F</w:t>
      </w:r>
      <w:r w:rsidR="00893353" w:rsidRPr="00417DFA">
        <w:t>inanšu izlūkošanas dienesta</w:t>
      </w:r>
      <w:r w:rsidRPr="00417DFA">
        <w:t xml:space="preserve"> organizētajās apmācībās “Noziedzīgi iegūtu līdzekļu legalizēšanas izmeklēšanas un iztiesāšanas problēmas” 2020. gada 29.</w:t>
      </w:r>
      <w:r w:rsidR="00893353" w:rsidRPr="00417DFA">
        <w:t>–</w:t>
      </w:r>
      <w:r w:rsidRPr="00417DFA">
        <w:t>30. oktobrī. Kopā šajās apmācībās piedalījās ne mazāk kā 330 dažādu tiesīb</w:t>
      </w:r>
      <w:r w:rsidR="00893353" w:rsidRPr="00417DFA">
        <w:t>aizsardzības</w:t>
      </w:r>
      <w:r w:rsidRPr="00417DFA">
        <w:t xml:space="preserve"> institūciju darbiniek</w:t>
      </w:r>
      <w:r w:rsidR="00893353" w:rsidRPr="00417DFA">
        <w:t>u</w:t>
      </w:r>
      <w:r w:rsidRPr="00417DFA">
        <w:t>.</w:t>
      </w:r>
    </w:p>
    <w:p w14:paraId="28F0280E" w14:textId="0E1DCBDC" w:rsidR="00AB5546" w:rsidRPr="00417DFA" w:rsidRDefault="00AB5546" w:rsidP="00AB5546">
      <w:pPr>
        <w:pStyle w:val="NoSpacing"/>
        <w:spacing w:before="120"/>
        <w:ind w:firstLine="567"/>
        <w:jc w:val="both"/>
        <w:rPr>
          <w:lang w:eastAsia="lv-LV"/>
        </w:rPr>
      </w:pPr>
      <w:r w:rsidRPr="00417DFA">
        <w:t>Ņemot vērā, ka pēdējo gadu laikā veiktie grozījumi Kriminālprocesa likumā un citos normatīvajos aktos</w:t>
      </w:r>
      <w:r w:rsidRPr="00417DFA">
        <w:rPr>
          <w:lang w:eastAsia="lv-LV"/>
        </w:rPr>
        <w:t xml:space="preserve"> </w:t>
      </w:r>
      <w:r w:rsidRPr="00417DFA">
        <w:t>noziedzīgi iegūtu līdzekļu legaliz</w:t>
      </w:r>
      <w:r w:rsidR="00893353" w:rsidRPr="00417DFA">
        <w:t>ēša</w:t>
      </w:r>
      <w:r w:rsidR="000F65C4" w:rsidRPr="00417DFA">
        <w:t>n</w:t>
      </w:r>
      <w:r w:rsidRPr="00417DFA">
        <w:t>as un terorisma un proliferācijas finansēšanas novēršanas un apkarošanas jomā</w:t>
      </w:r>
      <w:r w:rsidRPr="00417DFA">
        <w:rPr>
          <w:lang w:eastAsia="lv-LV"/>
        </w:rPr>
        <w:t xml:space="preserve"> </w:t>
      </w:r>
      <w:r w:rsidRPr="00417DFA">
        <w:t>precīzāk definē, ka nav nepieciešams pierādīt, no konkrēti kura noziedzīgā nodarījuma iegūtie līdzekļi legalizēti, un 2020.</w:t>
      </w:r>
      <w:r w:rsidR="000F65C4" w:rsidRPr="00417DFA">
        <w:t> </w:t>
      </w:r>
      <w:r w:rsidRPr="00417DFA">
        <w:t xml:space="preserve">gada veikto apmācību ietvaros šī pieeja akcentēta, stiprinot šīs likuma normas ieviešanu praksē, arvien vairāk </w:t>
      </w:r>
      <w:r w:rsidRPr="00417DFA">
        <w:rPr>
          <w:lang w:eastAsia="lv-LV"/>
        </w:rPr>
        <w:t>noziedzīgi iegūtu līdzekļu legalizēšana</w:t>
      </w:r>
      <w:r w:rsidRPr="00417DFA">
        <w:t xml:space="preserve"> tiek identificēta bez konkrēta predikatīv</w:t>
      </w:r>
      <w:r w:rsidR="000F65C4" w:rsidRPr="00417DFA">
        <w:t>ā</w:t>
      </w:r>
      <w:r w:rsidRPr="00417DFA">
        <w:t xml:space="preserve"> noziedzīg</w:t>
      </w:r>
      <w:r w:rsidR="000F65C4" w:rsidRPr="00417DFA">
        <w:t>ā</w:t>
      </w:r>
      <w:r w:rsidRPr="00417DFA">
        <w:t xml:space="preserve"> nodarījuma, it īpaši gadījumos, kad noziedzīgie līdzekļi Latvijā iepludināti no ārvalstīm. Turklāt </w:t>
      </w:r>
      <w:r w:rsidRPr="00417DFA">
        <w:rPr>
          <w:lang w:eastAsia="lv-LV"/>
        </w:rPr>
        <w:t>noziedzīgi iegūtu līdzekļu</w:t>
      </w:r>
      <w:r w:rsidRPr="00417DFA">
        <w:t xml:space="preserve"> pirmstiesas konfiskācija K</w:t>
      </w:r>
      <w:r w:rsidR="000F65C4" w:rsidRPr="00417DFA">
        <w:t>riminālprocesa likuma</w:t>
      </w:r>
      <w:r w:rsidRPr="00417DFA">
        <w:t xml:space="preserve"> 59.</w:t>
      </w:r>
      <w:r w:rsidR="000F65C4" w:rsidRPr="00417DFA">
        <w:t> </w:t>
      </w:r>
      <w:r w:rsidRPr="00417DFA">
        <w:t>nodaļas kārtībā lielākajā daļā gadījumu tiek piemērota tieši ārvalstu predikatīv</w:t>
      </w:r>
      <w:r w:rsidR="006B1F98" w:rsidRPr="00417DFA">
        <w:t>ā</w:t>
      </w:r>
      <w:r w:rsidRPr="00417DFA">
        <w:t xml:space="preserve"> noziedzīg</w:t>
      </w:r>
      <w:r w:rsidR="006B1F98" w:rsidRPr="00417DFA">
        <w:t>ā</w:t>
      </w:r>
      <w:r w:rsidRPr="00417DFA">
        <w:t xml:space="preserve"> nodarījuma vai nezināma predikatīv</w:t>
      </w:r>
      <w:r w:rsidR="006B1F98" w:rsidRPr="00417DFA">
        <w:t>ā</w:t>
      </w:r>
      <w:r w:rsidRPr="00417DFA">
        <w:t xml:space="preserve"> noziedzīg</w:t>
      </w:r>
      <w:r w:rsidR="00FA2F48" w:rsidRPr="00417DFA">
        <w:t>ā</w:t>
      </w:r>
      <w:r w:rsidRPr="00417DFA">
        <w:t xml:space="preserve"> nodarījuma</w:t>
      </w:r>
      <w:r w:rsidRPr="00417DFA">
        <w:rPr>
          <w:lang w:eastAsia="lv-LV"/>
        </w:rPr>
        <w:t xml:space="preserve"> rezultātā iegūtu noziedzīgi iegūtu līdzekļu legalizēšanas</w:t>
      </w:r>
      <w:r w:rsidRPr="00417DFA">
        <w:t xml:space="preserve"> lietās, ko apliecina šā ziņojuma sadaļā iepriekš norādītā statistika.</w:t>
      </w:r>
    </w:p>
    <w:p w14:paraId="203D69EB" w14:textId="6AD66B30" w:rsidR="00AB5546" w:rsidRPr="00417DFA" w:rsidRDefault="00AB5546" w:rsidP="00AB5546">
      <w:pPr>
        <w:pStyle w:val="NoSpacing"/>
        <w:spacing w:before="120"/>
        <w:ind w:firstLine="567"/>
        <w:jc w:val="both"/>
      </w:pPr>
      <w:r w:rsidRPr="00417DFA">
        <w:rPr>
          <w:rFonts w:eastAsia="Times New Roman" w:cs="Times New Roman"/>
          <w:szCs w:val="24"/>
          <w:lang w:eastAsia="lv-LV"/>
        </w:rPr>
        <w:t xml:space="preserve">Sekmīgai normatīvo aktu piemērošanai un to uzlabošanai </w:t>
      </w:r>
      <w:bookmarkStart w:id="53" w:name="_Hlk62805839"/>
      <w:bookmarkStart w:id="54" w:name="_Hlk62805952"/>
      <w:r w:rsidRPr="00417DFA">
        <w:t>noziedzīgi iegūtu līdzekļu legaliz</w:t>
      </w:r>
      <w:r w:rsidR="000F65C4" w:rsidRPr="00417DFA">
        <w:t>ēšanas</w:t>
      </w:r>
      <w:r w:rsidRPr="00417DFA">
        <w:t xml:space="preserve"> un terorisma un proliferācijas finansēšanas novēršanas</w:t>
      </w:r>
      <w:bookmarkEnd w:id="53"/>
      <w:r w:rsidRPr="00417DFA">
        <w:t xml:space="preserve"> un apkarošanas</w:t>
      </w:r>
      <w:bookmarkEnd w:id="54"/>
      <w:r w:rsidRPr="00417DFA">
        <w:t xml:space="preserve"> jomā prokuroru darba grupas dalībnieki</w:t>
      </w:r>
      <w:r w:rsidRPr="00417DFA">
        <w:rPr>
          <w:rFonts w:eastAsia="Times New Roman" w:cs="Times New Roman"/>
          <w:szCs w:val="24"/>
          <w:lang w:eastAsia="lv-LV"/>
        </w:rPr>
        <w:t xml:space="preserve"> aktīvi piedalījās tiesību aktu normu projektu izstrādē</w:t>
      </w:r>
      <w:bookmarkStart w:id="55" w:name="_Hlk54945342"/>
      <w:r w:rsidRPr="00417DFA">
        <w:rPr>
          <w:rFonts w:eastAsia="Times New Roman" w:cs="Times New Roman"/>
          <w:szCs w:val="24"/>
          <w:lang w:eastAsia="lv-LV"/>
        </w:rPr>
        <w:t xml:space="preserve"> – gan Kriminālprocesa likuma, gan arī N</w:t>
      </w:r>
      <w:r w:rsidRPr="00417DFA">
        <w:t>oziedzīgi iegūtu līdzekļu legalizācijas un terorisma un proliferācijas finansēšanas novēršanas likuma.</w:t>
      </w:r>
    </w:p>
    <w:p w14:paraId="6F152520" w14:textId="44D5145B" w:rsidR="00AB5546" w:rsidRPr="00417DFA" w:rsidRDefault="00AB5546" w:rsidP="00AB5546">
      <w:pPr>
        <w:pStyle w:val="NoSpacing"/>
        <w:spacing w:before="120"/>
        <w:ind w:firstLine="567"/>
        <w:jc w:val="both"/>
        <w:rPr>
          <w:szCs w:val="24"/>
        </w:rPr>
      </w:pPr>
      <w:r w:rsidRPr="00417DFA">
        <w:rPr>
          <w:color w:val="000000"/>
          <w:szCs w:val="24"/>
        </w:rPr>
        <w:t>Prokuroru darba grupa sadarbībā ar F</w:t>
      </w:r>
      <w:r w:rsidR="00DF4791" w:rsidRPr="00417DFA">
        <w:rPr>
          <w:color w:val="000000"/>
          <w:szCs w:val="24"/>
        </w:rPr>
        <w:t>inanšu izlūkošanas dienestu</w:t>
      </w:r>
      <w:r w:rsidRPr="00417DFA">
        <w:rPr>
          <w:color w:val="000000"/>
          <w:szCs w:val="24"/>
        </w:rPr>
        <w:t xml:space="preserve"> nodrošināja divu būtisku vadlīniju “Finanšu izlūkošanas dienesta</w:t>
      </w:r>
      <w:r w:rsidRPr="00417DFA">
        <w:rPr>
          <w:szCs w:val="24"/>
        </w:rPr>
        <w:t xml:space="preserve"> sadarbība ar operatīvās darbības subjektiem, izmeklēšanas iestādēm un prokuratūru” un “Noziedzīgu nodarījumu izmeklēšanas prioritātes noziedzīgi iegūtu līdzekļu legalizācijas jomā”, kā arī metodiskā materiāla “Noziedzīgi iegūtu līdzekļu legalizācijas tipoloģijas un pazīmes”  izstrādi un </w:t>
      </w:r>
      <w:r w:rsidRPr="00417DFA">
        <w:rPr>
          <w:color w:val="000000"/>
          <w:szCs w:val="24"/>
        </w:rPr>
        <w:t>ieviešanu praksē.</w:t>
      </w:r>
    </w:p>
    <w:p w14:paraId="193E24C7" w14:textId="0ECC8D6F" w:rsidR="00AB5546" w:rsidRPr="00417DFA" w:rsidRDefault="00AB5546" w:rsidP="00DF4791">
      <w:pPr>
        <w:pStyle w:val="NoSpacing"/>
        <w:ind w:firstLine="567"/>
        <w:jc w:val="both"/>
      </w:pPr>
      <w:r w:rsidRPr="00417DFA">
        <w:t xml:space="preserve">Tādējādi, balstoties uz kopīgi izstrādātajām, kā arī ieviestajām vadlīnijām </w:t>
      </w:r>
      <w:r w:rsidRPr="00417DFA">
        <w:rPr>
          <w:lang w:eastAsia="lv-LV"/>
        </w:rPr>
        <w:t>noziedzīgi iegūtu līdzekļu legalizēšanas</w:t>
      </w:r>
      <w:r w:rsidRPr="00417DFA">
        <w:t xml:space="preserve"> noziegumu izmeklēšanā, kā arī regulārām apmācībām, būtisks darbs veikts prokuroru un izmeklētāju vienotas izpratnes izveidošanā attiecībā uz </w:t>
      </w:r>
      <w:r w:rsidRPr="00417DFA">
        <w:rPr>
          <w:lang w:eastAsia="lv-LV"/>
        </w:rPr>
        <w:t>noziedzīgi iegūtu līdzekļu legalizēšanas</w:t>
      </w:r>
      <w:r w:rsidRPr="00417DFA">
        <w:t xml:space="preserve"> likumpārkāpumiem, pierādīšanas prasībām un Latvijas riska profilu, kas veicinājis apņēmību sadarboties kopēju mērķu sasniegšanai. Minēto darbību kopums būtiski palielinājis </w:t>
      </w:r>
      <w:r w:rsidRPr="00417DFA">
        <w:rPr>
          <w:lang w:eastAsia="lv-LV"/>
        </w:rPr>
        <w:t>noziedzīgi iegūtu līdzekļu legalizēšanas</w:t>
      </w:r>
      <w:r w:rsidRPr="00417DFA">
        <w:t xml:space="preserve"> lietu izmeklēšanas aktivitāti, kā arī lēmumu pieņemšanu par mantas atzīšanu par noziedzīgi iegūtu K</w:t>
      </w:r>
      <w:r w:rsidR="00DF4791" w:rsidRPr="00417DFA">
        <w:t>riminālprocesa likuma</w:t>
      </w:r>
      <w:r w:rsidRPr="00417DFA">
        <w:t xml:space="preserve"> 59.</w:t>
      </w:r>
      <w:r w:rsidR="00DF4791" w:rsidRPr="00417DFA">
        <w:t> </w:t>
      </w:r>
      <w:r w:rsidRPr="00417DFA">
        <w:t xml:space="preserve">nodaļas kārtībā. </w:t>
      </w:r>
    </w:p>
    <w:bookmarkEnd w:id="55"/>
    <w:p w14:paraId="0015AC5B" w14:textId="77777777" w:rsidR="00AB5546" w:rsidRDefault="00AB5546" w:rsidP="00F77887">
      <w:pPr>
        <w:pStyle w:val="NoSpacing"/>
        <w:ind w:firstLine="709"/>
        <w:jc w:val="both"/>
      </w:pPr>
    </w:p>
    <w:p w14:paraId="5A81CC2A" w14:textId="720B45E9" w:rsidR="00AB5546" w:rsidRPr="006B1F98" w:rsidRDefault="006B1F98" w:rsidP="00F77887">
      <w:pPr>
        <w:spacing w:after="0"/>
        <w:rPr>
          <w:b/>
          <w:bCs/>
        </w:rPr>
      </w:pPr>
      <w:r>
        <w:rPr>
          <w:b/>
          <w:bCs/>
        </w:rPr>
        <w:t xml:space="preserve">[3] </w:t>
      </w:r>
      <w:r w:rsidR="00AB5546" w:rsidRPr="006B1F98">
        <w:rPr>
          <w:b/>
          <w:bCs/>
        </w:rPr>
        <w:t>Prioritātes noziedzīgi iegūtu līdzekļu legalizēšanas novēršanas un apkarošanas jomā</w:t>
      </w:r>
    </w:p>
    <w:p w14:paraId="40824E70" w14:textId="5F589330" w:rsidR="00AB5546" w:rsidRPr="003170FD" w:rsidRDefault="00AB5546" w:rsidP="006B1F98">
      <w:pPr>
        <w:spacing w:after="0" w:line="240" w:lineRule="auto"/>
        <w:ind w:firstLine="567"/>
        <w:jc w:val="both"/>
      </w:pPr>
      <w:r w:rsidRPr="003170FD">
        <w:t>Prokuratūras noteiktās prioritātes</w:t>
      </w:r>
      <w:r w:rsidRPr="003170FD">
        <w:rPr>
          <w:lang w:eastAsia="lv-LV"/>
        </w:rPr>
        <w:t xml:space="preserve"> </w:t>
      </w:r>
      <w:r w:rsidRPr="00470C6F">
        <w:t>noziedzīgi iegūtu līdzekļu legaliz</w:t>
      </w:r>
      <w:r>
        <w:t>ēšanas</w:t>
      </w:r>
      <w:r w:rsidRPr="00470C6F">
        <w:t xml:space="preserve"> novēršanas un apkarošanas jomā</w:t>
      </w:r>
      <w:r w:rsidRPr="003170FD">
        <w:t xml:space="preserve"> 2021.</w:t>
      </w:r>
      <w:r w:rsidR="006B1F98">
        <w:t> </w:t>
      </w:r>
      <w:r w:rsidRPr="003170FD">
        <w:t xml:space="preserve">gadam noteiktas atbilstoši Latvijas riska profilam </w:t>
      </w:r>
      <w:r>
        <w:rPr>
          <w:lang w:eastAsia="lv-LV"/>
        </w:rPr>
        <w:t>šajā</w:t>
      </w:r>
      <w:r w:rsidRPr="003170FD">
        <w:t xml:space="preserve"> jomā, kas </w:t>
      </w:r>
      <w:r w:rsidRPr="003170FD">
        <w:lastRenderedPageBreak/>
        <w:t>iedalām</w:t>
      </w:r>
      <w:r>
        <w:t>a</w:t>
      </w:r>
      <w:r w:rsidRPr="003170FD">
        <w:t xml:space="preserve">s divās daļās. Pirmkārt, </w:t>
      </w:r>
      <w:r>
        <w:t xml:space="preserve">tas ir noziedzīgi iegūtu līdzekļu legalizēšanas risks, kas izriet no Latvijas kā </w:t>
      </w:r>
      <w:r w:rsidRPr="003170FD">
        <w:t>reģionālā finanšu centra statusa (Latvija tiek izmantota kā tranzīt</w:t>
      </w:r>
      <w:r>
        <w:t>a valsts</w:t>
      </w:r>
      <w:r w:rsidRPr="003170FD">
        <w:t xml:space="preserve">, lai akumulētu un tālāk pārskaitītu noziedzīgi iegūtos līdzekļus, izmantojot finanšu un </w:t>
      </w:r>
      <w:r w:rsidRPr="003170FD">
        <w:rPr>
          <w:rFonts w:cs="Times New Roman"/>
          <w:szCs w:val="24"/>
        </w:rPr>
        <w:t xml:space="preserve">kredīta iestāžu infrastruktūru). Otrkārt, </w:t>
      </w:r>
      <w:r>
        <w:rPr>
          <w:rFonts w:cs="Times New Roman"/>
          <w:szCs w:val="24"/>
        </w:rPr>
        <w:t xml:space="preserve">Latvijas profilu šajā jomā raksturo risks, kas saistīts ar </w:t>
      </w:r>
      <w:r w:rsidRPr="003170FD">
        <w:rPr>
          <w:rFonts w:cs="Times New Roman"/>
          <w:szCs w:val="24"/>
        </w:rPr>
        <w:t>Latvij</w:t>
      </w:r>
      <w:r>
        <w:rPr>
          <w:rFonts w:cs="Times New Roman"/>
          <w:szCs w:val="24"/>
        </w:rPr>
        <w:t>ā</w:t>
      </w:r>
      <w:r w:rsidRPr="003170FD">
        <w:rPr>
          <w:rFonts w:cs="Times New Roman"/>
          <w:szCs w:val="24"/>
        </w:rPr>
        <w:t xml:space="preserve"> un </w:t>
      </w:r>
      <w:r>
        <w:rPr>
          <w:rFonts w:cs="Times New Roman"/>
          <w:szCs w:val="24"/>
        </w:rPr>
        <w:t>ārvalstīs</w:t>
      </w:r>
      <w:r w:rsidRPr="003170FD">
        <w:rPr>
          <w:rFonts w:cs="Times New Roman"/>
          <w:szCs w:val="24"/>
        </w:rPr>
        <w:t xml:space="preserve"> </w:t>
      </w:r>
      <w:r>
        <w:rPr>
          <w:rFonts w:cs="Times New Roman"/>
          <w:szCs w:val="24"/>
        </w:rPr>
        <w:t xml:space="preserve">izdarītiem </w:t>
      </w:r>
      <w:r w:rsidRPr="003170FD">
        <w:rPr>
          <w:rFonts w:cs="Times New Roman"/>
          <w:szCs w:val="24"/>
        </w:rPr>
        <w:t>predikatīv</w:t>
      </w:r>
      <w:r>
        <w:rPr>
          <w:rFonts w:cs="Times New Roman"/>
          <w:szCs w:val="24"/>
        </w:rPr>
        <w:t>ajiem</w:t>
      </w:r>
      <w:r w:rsidRPr="003170FD">
        <w:rPr>
          <w:rFonts w:cs="Times New Roman"/>
          <w:szCs w:val="24"/>
        </w:rPr>
        <w:t xml:space="preserve"> noziedzīg</w:t>
      </w:r>
      <w:r>
        <w:rPr>
          <w:rFonts w:cs="Times New Roman"/>
          <w:szCs w:val="24"/>
        </w:rPr>
        <w:t>ajiem</w:t>
      </w:r>
      <w:r w:rsidRPr="003170FD">
        <w:rPr>
          <w:rFonts w:cs="Times New Roman"/>
          <w:szCs w:val="24"/>
        </w:rPr>
        <w:t xml:space="preserve"> nodarījum</w:t>
      </w:r>
      <w:r>
        <w:rPr>
          <w:rFonts w:cs="Times New Roman"/>
          <w:szCs w:val="24"/>
        </w:rPr>
        <w:t>iem</w:t>
      </w:r>
      <w:r w:rsidRPr="003170FD">
        <w:rPr>
          <w:rFonts w:cs="Times New Roman"/>
          <w:szCs w:val="24"/>
        </w:rPr>
        <w:t xml:space="preserve"> </w:t>
      </w:r>
      <w:r>
        <w:rPr>
          <w:rFonts w:cs="Times New Roman"/>
          <w:szCs w:val="24"/>
        </w:rPr>
        <w:t xml:space="preserve">un to </w:t>
      </w:r>
      <w:r w:rsidRPr="003170FD">
        <w:rPr>
          <w:rFonts w:cs="Times New Roman"/>
          <w:szCs w:val="24"/>
        </w:rPr>
        <w:t>rezultātā ģenerēt</w:t>
      </w:r>
      <w:r>
        <w:rPr>
          <w:rFonts w:cs="Times New Roman"/>
          <w:szCs w:val="24"/>
        </w:rPr>
        <w:t>ajiem</w:t>
      </w:r>
      <w:r w:rsidRPr="003170FD">
        <w:rPr>
          <w:rFonts w:cs="Times New Roman"/>
          <w:szCs w:val="24"/>
        </w:rPr>
        <w:t xml:space="preserve"> </w:t>
      </w:r>
      <w:r w:rsidRPr="003170FD">
        <w:rPr>
          <w:rFonts w:cs="Times New Roman"/>
          <w:szCs w:val="24"/>
          <w:lang w:eastAsia="lv-LV"/>
        </w:rPr>
        <w:t>noziedzīgi iegūt</w:t>
      </w:r>
      <w:r>
        <w:rPr>
          <w:rFonts w:cs="Times New Roman"/>
          <w:szCs w:val="24"/>
          <w:lang w:eastAsia="lv-LV"/>
        </w:rPr>
        <w:t>iem</w:t>
      </w:r>
      <w:r w:rsidRPr="003170FD">
        <w:rPr>
          <w:rFonts w:cs="Times New Roman"/>
          <w:szCs w:val="24"/>
          <w:lang w:eastAsia="lv-LV"/>
        </w:rPr>
        <w:t xml:space="preserve"> līdzekļ</w:t>
      </w:r>
      <w:r>
        <w:rPr>
          <w:rFonts w:cs="Times New Roman"/>
          <w:szCs w:val="24"/>
          <w:lang w:eastAsia="lv-LV"/>
        </w:rPr>
        <w:t>iem, kas tiek legalizēti Latvijā.</w:t>
      </w:r>
      <w:r w:rsidRPr="003170FD">
        <w:rPr>
          <w:rFonts w:cs="Times New Roman"/>
          <w:szCs w:val="24"/>
          <w:lang w:eastAsia="lv-LV"/>
        </w:rPr>
        <w:t xml:space="preserve"> </w:t>
      </w:r>
    </w:p>
    <w:p w14:paraId="6207E45E" w14:textId="77777777" w:rsidR="00AB5546" w:rsidRPr="003170FD" w:rsidRDefault="00AB5546" w:rsidP="00AB5546">
      <w:pPr>
        <w:suppressAutoHyphens/>
        <w:autoSpaceDN w:val="0"/>
        <w:spacing w:before="120" w:after="0" w:line="240" w:lineRule="auto"/>
        <w:ind w:firstLine="567"/>
        <w:jc w:val="both"/>
        <w:textAlignment w:val="baseline"/>
        <w:rPr>
          <w:rFonts w:cs="Times New Roman"/>
          <w:szCs w:val="24"/>
        </w:rPr>
      </w:pPr>
      <w:r w:rsidRPr="003170FD">
        <w:rPr>
          <w:rFonts w:cs="Times New Roman"/>
          <w:szCs w:val="24"/>
        </w:rPr>
        <w:t xml:space="preserve"> </w:t>
      </w:r>
      <w:r w:rsidRPr="003170FD">
        <w:rPr>
          <w:rFonts w:cs="Times New Roman"/>
          <w:szCs w:val="24"/>
          <w:lang w:eastAsia="lv-LV"/>
        </w:rPr>
        <w:t>Noziedzīgi iegūtu līdzekļu legalizēšana</w:t>
      </w:r>
      <w:r w:rsidRPr="003170FD">
        <w:rPr>
          <w:rFonts w:cs="Times New Roman"/>
          <w:szCs w:val="24"/>
        </w:rPr>
        <w:t xml:space="preserve"> </w:t>
      </w:r>
      <w:r>
        <w:rPr>
          <w:rFonts w:cs="Times New Roman"/>
          <w:szCs w:val="24"/>
        </w:rPr>
        <w:t xml:space="preserve">Latvijā </w:t>
      </w:r>
      <w:r w:rsidRPr="003170FD">
        <w:rPr>
          <w:rFonts w:cs="Times New Roman"/>
          <w:szCs w:val="24"/>
        </w:rPr>
        <w:t>tiek identificēta saistībā ar arvien plašāku nacionālo predikatīvo noziedzīgo nodarījumu</w:t>
      </w:r>
      <w:r w:rsidRPr="00D119F3">
        <w:rPr>
          <w:rFonts w:cs="Times New Roman"/>
          <w:szCs w:val="24"/>
        </w:rPr>
        <w:t xml:space="preserve"> </w:t>
      </w:r>
      <w:r w:rsidRPr="003170FD">
        <w:rPr>
          <w:rFonts w:cs="Times New Roman"/>
          <w:szCs w:val="24"/>
        </w:rPr>
        <w:t xml:space="preserve">loku. Būtiskākie predikatīvie noziegumi, kas rada </w:t>
      </w:r>
      <w:r w:rsidRPr="003170FD">
        <w:rPr>
          <w:rFonts w:cs="Times New Roman"/>
          <w:szCs w:val="24"/>
          <w:lang w:eastAsia="lv-LV"/>
        </w:rPr>
        <w:t>noziedzīgi iegūtu līdzekļu legalizēšanas</w:t>
      </w:r>
      <w:r w:rsidRPr="003170FD">
        <w:rPr>
          <w:rFonts w:cs="Times New Roman"/>
          <w:szCs w:val="24"/>
        </w:rPr>
        <w:t xml:space="preserve"> apdraudējumu, ir izvairīšanās no nodokļu nomaksas, akcīzes preču un narkotisko vielu</w:t>
      </w:r>
      <w:r w:rsidRPr="003170FD">
        <w:t xml:space="preserve"> nelegālā aprite</w:t>
      </w:r>
      <w:r>
        <w:t>,</w:t>
      </w:r>
      <w:r w:rsidRPr="002553CD">
        <w:rPr>
          <w:rFonts w:cs="Times New Roman"/>
          <w:szCs w:val="24"/>
        </w:rPr>
        <w:t xml:space="preserve"> </w:t>
      </w:r>
      <w:r w:rsidRPr="003170FD">
        <w:rPr>
          <w:rFonts w:cs="Times New Roman"/>
          <w:szCs w:val="24"/>
        </w:rPr>
        <w:t>koruptīvie noziedzīgie nodarījumi (kukuļošana),</w:t>
      </w:r>
      <w:r>
        <w:rPr>
          <w:rFonts w:cs="Times New Roman"/>
          <w:szCs w:val="24"/>
        </w:rPr>
        <w:t xml:space="preserve"> </w:t>
      </w:r>
      <w:r w:rsidRPr="003170FD">
        <w:rPr>
          <w:rFonts w:cs="Times New Roman"/>
          <w:szCs w:val="24"/>
        </w:rPr>
        <w:t xml:space="preserve">noziegumi pret īpašumu (īpaši krāpšanas un piesavināšanās), </w:t>
      </w:r>
      <w:r w:rsidRPr="003170FD">
        <w:t xml:space="preserve">sutenerisms. Kā ārvalstu predikatīvais noziedzīgais nodarījums galvenokārt tiek identificēta krāpšana, tai pašā laikā netieši tiek identificētas aizdomas par ārvalstu korupciju un piesavināšanos. </w:t>
      </w:r>
      <w:r>
        <w:t xml:space="preserve">Kā noziedzīgi iegūtu līdzekļu legalizēšanas mehānisma sastāvdaļa, pirms noziedzīgie aktīvi tiek iepludināti Latvijas finanšu sistēma, plaši tiek izmantotas </w:t>
      </w:r>
      <w:r w:rsidRPr="00AC76B1">
        <w:t>ārzonās</w:t>
      </w:r>
      <w:r>
        <w:t xml:space="preserve"> reģistrētas kompānijas.</w:t>
      </w:r>
      <w:r w:rsidRPr="00AC76B1">
        <w:t xml:space="preserve">   </w:t>
      </w:r>
    </w:p>
    <w:p w14:paraId="58C63DDF" w14:textId="77777777" w:rsidR="00FA2F48" w:rsidRDefault="00FA2F48" w:rsidP="00FA2F48">
      <w:pPr>
        <w:spacing w:after="0" w:line="240" w:lineRule="auto"/>
        <w:jc w:val="both"/>
        <w:rPr>
          <w:b/>
          <w:bCs/>
          <w:i/>
          <w:iCs/>
        </w:rPr>
      </w:pPr>
    </w:p>
    <w:p w14:paraId="63D0E780" w14:textId="40EF3A7F" w:rsidR="00AB5546" w:rsidRPr="003170FD" w:rsidRDefault="00FA2F48" w:rsidP="00FA2F48">
      <w:pPr>
        <w:spacing w:after="0" w:line="240" w:lineRule="auto"/>
        <w:jc w:val="both"/>
        <w:rPr>
          <w:i/>
          <w:iCs/>
        </w:rPr>
      </w:pPr>
      <w:r>
        <w:rPr>
          <w:b/>
          <w:bCs/>
        </w:rPr>
        <w:t xml:space="preserve">[4] </w:t>
      </w:r>
      <w:r w:rsidR="00AB5546" w:rsidRPr="00FA2F48">
        <w:rPr>
          <w:b/>
          <w:bCs/>
        </w:rPr>
        <w:t>Prokurora lomas stiprināšana izmeklēšanā, kriminālvajāšanā un valsts apsūdzības uzturēšanā.</w:t>
      </w:r>
    </w:p>
    <w:p w14:paraId="604E1548" w14:textId="7D42135A" w:rsidR="00AB5546" w:rsidRPr="003170FD" w:rsidRDefault="00AB5546" w:rsidP="00F77887">
      <w:pPr>
        <w:spacing w:after="0" w:line="240" w:lineRule="auto"/>
        <w:ind w:firstLine="567"/>
        <w:jc w:val="both"/>
      </w:pPr>
      <w:r w:rsidRPr="003170FD">
        <w:t>Lai gan 2020.</w:t>
      </w:r>
      <w:r w:rsidR="00FA2F48">
        <w:t> </w:t>
      </w:r>
      <w:r w:rsidRPr="003170FD">
        <w:t xml:space="preserve">gadā izvirzītais mērķis – sakārtot finanšu noziegumu novēršanas sistēmu un nodrošināt Latvijas NILLTPF </w:t>
      </w:r>
      <w:r w:rsidR="00352AD5">
        <w:t xml:space="preserve">novēršanas </w:t>
      </w:r>
      <w:r w:rsidRPr="003170FD">
        <w:t>sistēmas atbilstību starptautiskajām prasībām</w:t>
      </w:r>
      <w:r w:rsidR="00FA2F48">
        <w:t xml:space="preserve"> –</w:t>
      </w:r>
      <w:r w:rsidRPr="003170FD">
        <w:t xml:space="preserve">, pēc būtības ir sasniegts, iesāktais darbs jāturpina, tajā skaitā attiecībā uz </w:t>
      </w:r>
      <w:r w:rsidR="00034C36" w:rsidRPr="00164C02">
        <w:rPr>
          <w:szCs w:val="24"/>
        </w:rPr>
        <w:t xml:space="preserve">Eiropas Padomes noziedzīgi iegūtu līdzekļu legalizācijas un terorisma finansēšanas novēršanas ekspertu komitejas </w:t>
      </w:r>
      <w:r w:rsidR="00034C36">
        <w:rPr>
          <w:szCs w:val="24"/>
        </w:rPr>
        <w:t>(</w:t>
      </w:r>
      <w:r w:rsidRPr="003170FD">
        <w:rPr>
          <w:szCs w:val="24"/>
        </w:rPr>
        <w:t>MONEYVAL</w:t>
      </w:r>
      <w:r w:rsidR="00034C36">
        <w:rPr>
          <w:szCs w:val="24"/>
        </w:rPr>
        <w:t>),</w:t>
      </w:r>
      <w:r w:rsidR="00034C36" w:rsidRPr="00034C36">
        <w:t xml:space="preserve"> </w:t>
      </w:r>
      <w:r w:rsidR="00034C36">
        <w:t>Finanšu darījumu darba grupas (</w:t>
      </w:r>
      <w:r w:rsidR="00034C36" w:rsidRPr="003170FD">
        <w:t>FATF</w:t>
      </w:r>
      <w:r w:rsidR="00034C36">
        <w:t xml:space="preserve">) </w:t>
      </w:r>
      <w:r w:rsidRPr="003170FD">
        <w:t xml:space="preserve"> un </w:t>
      </w:r>
      <w:r w:rsidR="00034C36">
        <w:rPr>
          <w:rFonts w:eastAsia="Calibri" w:cs="Times New Roman"/>
          <w:color w:val="000000"/>
          <w:szCs w:val="24"/>
        </w:rPr>
        <w:t>Ekonomiskās sadarbības un attīstības organizācijas (</w:t>
      </w:r>
      <w:r w:rsidRPr="003170FD">
        <w:t>OECD</w:t>
      </w:r>
      <w:r w:rsidR="00034C36">
        <w:t>)</w:t>
      </w:r>
      <w:r w:rsidRPr="003170FD">
        <w:t xml:space="preserve"> ekspertu sniegtajām rekomendācijām un turpmāk veicamajām darbībām katrā no rīcības virzieniem. Līdz ar to atbilstoši Latvijas Republikas Prokuratūras Pasākumu plānam </w:t>
      </w:r>
      <w:r w:rsidRPr="003170FD">
        <w:rPr>
          <w:szCs w:val="24"/>
        </w:rPr>
        <w:t>Eiropas Padomes noziedzīgi iegūtu līdzekļu legalizācijas un terorisma finansēšanas novēršanas ekspertu komitejas (MONEYVAL) un Ekonomiskās sadarbības un attīstības organizācijas (OECD) rekomendāciju izpildei</w:t>
      </w:r>
      <w:r w:rsidRPr="003170FD">
        <w:t xml:space="preserve"> plānots:</w:t>
      </w:r>
    </w:p>
    <w:p w14:paraId="2E9347B2" w14:textId="5C403AF2" w:rsidR="00AB5546" w:rsidRPr="003170FD" w:rsidRDefault="00AB5546" w:rsidP="00FA2F48">
      <w:pPr>
        <w:spacing w:after="0" w:line="240" w:lineRule="auto"/>
        <w:ind w:left="142" w:firstLine="567"/>
        <w:jc w:val="both"/>
        <w:rPr>
          <w:rFonts w:eastAsia="Times New Roman" w:cs="Times New Roman"/>
          <w:szCs w:val="24"/>
          <w:lang w:eastAsia="lv-LV"/>
        </w:rPr>
      </w:pPr>
      <w:r w:rsidRPr="003170FD">
        <w:rPr>
          <w:szCs w:val="24"/>
        </w:rPr>
        <w:t>-</w:t>
      </w:r>
      <w:r>
        <w:rPr>
          <w:szCs w:val="24"/>
        </w:rPr>
        <w:t xml:space="preserve"> </w:t>
      </w:r>
      <w:r w:rsidR="00FA2F48">
        <w:rPr>
          <w:szCs w:val="24"/>
        </w:rPr>
        <w:t>i</w:t>
      </w:r>
      <w:r w:rsidRPr="003170FD">
        <w:rPr>
          <w:szCs w:val="24"/>
        </w:rPr>
        <w:t xml:space="preserve">eviest </w:t>
      </w:r>
      <w:r w:rsidR="00034C36" w:rsidRPr="00164C02">
        <w:rPr>
          <w:szCs w:val="24"/>
        </w:rPr>
        <w:t xml:space="preserve">Eiropas Padomes noziedzīgi iegūtu līdzekļu legalizācijas un terorisma finansēšanas novēršanas ekspertu komitejas </w:t>
      </w:r>
      <w:r w:rsidR="00034C36">
        <w:rPr>
          <w:szCs w:val="24"/>
        </w:rPr>
        <w:t>(</w:t>
      </w:r>
      <w:r w:rsidRPr="003170FD">
        <w:rPr>
          <w:szCs w:val="24"/>
        </w:rPr>
        <w:t>MONEYVAL</w:t>
      </w:r>
      <w:r w:rsidR="00034C36">
        <w:rPr>
          <w:szCs w:val="24"/>
        </w:rPr>
        <w:t>)</w:t>
      </w:r>
      <w:r w:rsidRPr="003170FD">
        <w:rPr>
          <w:szCs w:val="24"/>
        </w:rPr>
        <w:t xml:space="preserve"> un </w:t>
      </w:r>
      <w:r w:rsidR="00034C36">
        <w:rPr>
          <w:rFonts w:cs="Times New Roman"/>
          <w:szCs w:val="24"/>
        </w:rPr>
        <w:t>Ekonomiskās sadarbības un attīstības organizācijas (</w:t>
      </w:r>
      <w:r w:rsidRPr="003170FD">
        <w:rPr>
          <w:szCs w:val="24"/>
        </w:rPr>
        <w:t>OECD</w:t>
      </w:r>
      <w:r w:rsidR="00034C36">
        <w:rPr>
          <w:szCs w:val="24"/>
        </w:rPr>
        <w:t xml:space="preserve">) </w:t>
      </w:r>
      <w:r w:rsidRPr="003170FD">
        <w:rPr>
          <w:szCs w:val="24"/>
        </w:rPr>
        <w:t xml:space="preserve">rekomendācijas, tādējādi stiprinot izmeklēšanas iestāžu un prokuratūras spējas identificēt un cīnīties ar noziedzīgi iegūtu līdzekļu legalizēšanu, ārvalstu amatpersonu kukuļošanu un ar to saistītajiem noziedzīgajiem nodarījumiem; uzlabot un sistemātiski veikt paralēlo finanšu izmeklēšanu; </w:t>
      </w:r>
    </w:p>
    <w:p w14:paraId="633237A7" w14:textId="00A8513E" w:rsidR="00AB5546" w:rsidRPr="003170FD" w:rsidRDefault="00AB5546" w:rsidP="00C82CF3">
      <w:pPr>
        <w:spacing w:after="0" w:line="240" w:lineRule="auto"/>
        <w:ind w:left="142" w:firstLine="567"/>
        <w:jc w:val="both"/>
        <w:rPr>
          <w:szCs w:val="24"/>
        </w:rPr>
      </w:pPr>
      <w:r w:rsidRPr="003170FD">
        <w:rPr>
          <w:szCs w:val="24"/>
        </w:rPr>
        <w:t xml:space="preserve">- </w:t>
      </w:r>
      <w:r w:rsidR="00C82CF3">
        <w:rPr>
          <w:szCs w:val="24"/>
        </w:rPr>
        <w:t>v</w:t>
      </w:r>
      <w:r w:rsidRPr="003170FD">
        <w:rPr>
          <w:szCs w:val="24"/>
        </w:rPr>
        <w:t xml:space="preserve">eikt prokuratūras resursu un kapacitātes izvērtēšanu un izstrādāt priekšlikumus resursu stiprināšanai un kapacitātes paaugstināšanai, lai nodrošinātu efektīvāku izmeklēšanas uzraudzību un kriminālvajāšanu ārvalstu amatpersonu kukuļošanas un </w:t>
      </w:r>
      <w:r w:rsidRPr="003170FD">
        <w:rPr>
          <w:lang w:eastAsia="lv-LV"/>
        </w:rPr>
        <w:t>noziedzīgi iegūtu līdzekļu legalizēšanas</w:t>
      </w:r>
      <w:r w:rsidRPr="003170FD">
        <w:t xml:space="preserve"> </w:t>
      </w:r>
      <w:r w:rsidRPr="003170FD">
        <w:rPr>
          <w:szCs w:val="24"/>
        </w:rPr>
        <w:t>lietās</w:t>
      </w:r>
      <w:r>
        <w:rPr>
          <w:szCs w:val="24"/>
        </w:rPr>
        <w:t>;</w:t>
      </w:r>
      <w:r w:rsidRPr="003170FD">
        <w:rPr>
          <w:szCs w:val="24"/>
        </w:rPr>
        <w:t xml:space="preserve"> </w:t>
      </w:r>
    </w:p>
    <w:p w14:paraId="188DE028" w14:textId="295E9864" w:rsidR="00AB5546" w:rsidRPr="003170FD" w:rsidRDefault="00AB5546" w:rsidP="00C82CF3">
      <w:pPr>
        <w:spacing w:after="0" w:line="240" w:lineRule="auto"/>
        <w:ind w:left="142" w:firstLine="567"/>
        <w:jc w:val="both"/>
        <w:rPr>
          <w:szCs w:val="24"/>
        </w:rPr>
      </w:pPr>
      <w:r w:rsidRPr="003170FD">
        <w:rPr>
          <w:szCs w:val="24"/>
        </w:rPr>
        <w:t xml:space="preserve">- </w:t>
      </w:r>
      <w:r w:rsidR="00C82CF3">
        <w:rPr>
          <w:szCs w:val="24"/>
        </w:rPr>
        <w:t>n</w:t>
      </w:r>
      <w:r w:rsidRPr="003170FD">
        <w:rPr>
          <w:szCs w:val="24"/>
        </w:rPr>
        <w:t>oteikt precīzu K</w:t>
      </w:r>
      <w:r w:rsidR="00C82CF3">
        <w:rPr>
          <w:szCs w:val="24"/>
        </w:rPr>
        <w:t>orupcijas novēršanas un apkarošanas biroja</w:t>
      </w:r>
      <w:r w:rsidRPr="003170FD">
        <w:rPr>
          <w:szCs w:val="24"/>
        </w:rPr>
        <w:t xml:space="preserve"> kompetenci ārvalstu amatpersonu kukuļošanas lietās, it īpaši gadījumos, kad kukulis dots ārvalstīs un pārskaitīts caur Latvijas finanšu sistēmu. Nodrošināt izmeklēšanas iestāžu un prokuratūras informēšanu par šādu K</w:t>
      </w:r>
      <w:r w:rsidR="00C82CF3">
        <w:rPr>
          <w:szCs w:val="24"/>
        </w:rPr>
        <w:t>orupcijas novēršanas un apkarošanas biroja</w:t>
      </w:r>
      <w:r w:rsidRPr="003170FD">
        <w:rPr>
          <w:szCs w:val="24"/>
        </w:rPr>
        <w:t xml:space="preserve"> kompetenci</w:t>
      </w:r>
      <w:r>
        <w:rPr>
          <w:szCs w:val="24"/>
        </w:rPr>
        <w:t>;</w:t>
      </w:r>
      <w:r w:rsidRPr="003170FD">
        <w:rPr>
          <w:szCs w:val="24"/>
        </w:rPr>
        <w:t xml:space="preserve"> </w:t>
      </w:r>
    </w:p>
    <w:p w14:paraId="15DD13E2" w14:textId="5707D420" w:rsidR="00AB5546" w:rsidRPr="003170FD" w:rsidRDefault="00AB5546" w:rsidP="00C82CF3">
      <w:pPr>
        <w:spacing w:after="0" w:line="240" w:lineRule="auto"/>
        <w:ind w:left="142" w:firstLine="567"/>
        <w:jc w:val="both"/>
        <w:rPr>
          <w:szCs w:val="24"/>
        </w:rPr>
      </w:pPr>
      <w:r w:rsidRPr="003170FD">
        <w:rPr>
          <w:szCs w:val="24"/>
        </w:rPr>
        <w:t xml:space="preserve">- </w:t>
      </w:r>
      <w:r w:rsidR="00C82CF3">
        <w:rPr>
          <w:szCs w:val="24"/>
        </w:rPr>
        <w:t>n</w:t>
      </w:r>
      <w:r w:rsidRPr="003170FD">
        <w:rPr>
          <w:szCs w:val="24"/>
        </w:rPr>
        <w:t>odrošināt K</w:t>
      </w:r>
      <w:r w:rsidR="00C82CF3">
        <w:rPr>
          <w:szCs w:val="24"/>
        </w:rPr>
        <w:t>orupcijas novēršanas un apkarošanas biroja</w:t>
      </w:r>
      <w:r w:rsidRPr="003170FD">
        <w:rPr>
          <w:szCs w:val="24"/>
        </w:rPr>
        <w:t xml:space="preserve"> un V</w:t>
      </w:r>
      <w:r w:rsidR="00C82CF3">
        <w:rPr>
          <w:szCs w:val="24"/>
        </w:rPr>
        <w:t>alsts policijas</w:t>
      </w:r>
      <w:r w:rsidRPr="003170FD">
        <w:rPr>
          <w:szCs w:val="24"/>
        </w:rPr>
        <w:t xml:space="preserve"> koordinētu rīcību </w:t>
      </w:r>
      <w:r w:rsidRPr="003170FD">
        <w:rPr>
          <w:rFonts w:cs="Times New Roman"/>
          <w:szCs w:val="24"/>
        </w:rPr>
        <w:t xml:space="preserve">ārvalstu amatpersonu kukuļošanas un ar to saistītās </w:t>
      </w:r>
      <w:r w:rsidRPr="003170FD">
        <w:rPr>
          <w:lang w:eastAsia="lv-LV"/>
        </w:rPr>
        <w:t>noziedzīgi iegūtu līdzekļu legalizēšanas</w:t>
      </w:r>
      <w:r w:rsidRPr="003170FD">
        <w:t xml:space="preserve"> </w:t>
      </w:r>
      <w:r w:rsidRPr="003170FD">
        <w:rPr>
          <w:rFonts w:cs="Times New Roman"/>
          <w:szCs w:val="24"/>
        </w:rPr>
        <w:t>izmeklēšanā</w:t>
      </w:r>
      <w:r w:rsidRPr="003170FD">
        <w:rPr>
          <w:szCs w:val="24"/>
        </w:rPr>
        <w:t xml:space="preserve">.  </w:t>
      </w:r>
    </w:p>
    <w:p w14:paraId="5D50852A" w14:textId="70F4F61B" w:rsidR="00AB5546" w:rsidRPr="003170FD" w:rsidRDefault="00AB5546" w:rsidP="00AB5546">
      <w:pPr>
        <w:spacing w:before="120" w:after="0" w:line="240" w:lineRule="auto"/>
        <w:ind w:firstLine="567"/>
        <w:jc w:val="both"/>
      </w:pPr>
      <w:r w:rsidRPr="003170FD">
        <w:t>Ar 2021.</w:t>
      </w:r>
      <w:r w:rsidR="001D4738">
        <w:t> </w:t>
      </w:r>
      <w:r w:rsidRPr="003170FD">
        <w:t xml:space="preserve">gada </w:t>
      </w:r>
      <w:r w:rsidR="001D4738">
        <w:t>4</w:t>
      </w:r>
      <w:r w:rsidRPr="003170FD">
        <w:t>.</w:t>
      </w:r>
      <w:r w:rsidR="001D4738">
        <w:t> </w:t>
      </w:r>
      <w:r w:rsidRPr="003170FD">
        <w:t>janvāri, pamatojoties uz ģenerālprokurora 2020.</w:t>
      </w:r>
      <w:r w:rsidR="001D4738">
        <w:t> </w:t>
      </w:r>
      <w:r w:rsidRPr="003170FD">
        <w:t>gada 1.</w:t>
      </w:r>
      <w:r w:rsidR="001D4738">
        <w:t> </w:t>
      </w:r>
      <w:r w:rsidRPr="003170FD">
        <w:t>decembra pavēli Nr.117</w:t>
      </w:r>
      <w:r w:rsidR="001D4738">
        <w:t xml:space="preserve"> </w:t>
      </w:r>
      <w:r w:rsidR="001D4738">
        <w:rPr>
          <w:i/>
          <w:iCs/>
        </w:rPr>
        <w:t>Par Ģenerālprokuratūras struktūrvienības izveidošanu</w:t>
      </w:r>
      <w:r w:rsidRPr="003170FD">
        <w:t xml:space="preserve">, darbu uzsāka </w:t>
      </w:r>
      <w:r w:rsidR="00D751E7">
        <w:t xml:space="preserve">Ģenerālprokuratūras </w:t>
      </w:r>
      <w:r w:rsidRPr="003170FD">
        <w:rPr>
          <w:lang w:eastAsia="lv-LV"/>
        </w:rPr>
        <w:t xml:space="preserve">specializēta struktūrvienība </w:t>
      </w:r>
      <w:r w:rsidR="00D751E7">
        <w:rPr>
          <w:lang w:eastAsia="lv-LV"/>
        </w:rPr>
        <w:t>–</w:t>
      </w:r>
      <w:r w:rsidR="00D751E7">
        <w:t xml:space="preserve"> </w:t>
      </w:r>
      <w:r w:rsidRPr="003170FD">
        <w:t>Noziedzīgi iegūtu līdzekļu legalizēšanas apkarošanas koordinācijas nodaļa, nosakot šādu darbības pamatvirzienu:</w:t>
      </w:r>
    </w:p>
    <w:p w14:paraId="751181B5" w14:textId="35E5A2DD" w:rsidR="00AB5546" w:rsidRPr="003170FD" w:rsidRDefault="00AB5546" w:rsidP="00D751E7">
      <w:pPr>
        <w:spacing w:after="0" w:line="240" w:lineRule="auto"/>
        <w:jc w:val="both"/>
        <w:rPr>
          <w:rFonts w:cs="Times New Roman"/>
        </w:rPr>
      </w:pPr>
      <w:r w:rsidRPr="003170FD">
        <w:t xml:space="preserve"> - amatā augstāka prokurora funkciju realizēšana koordinācijas tvērumā kriminālprocesos, kas saistīti ar noziedzīgi iegūtu līdzekļu legalizēšanu, tostarp izmeklēšanas iestāžu, operatīv</w:t>
      </w:r>
      <w:r>
        <w:t>ā</w:t>
      </w:r>
      <w:r w:rsidRPr="003170FD">
        <w:t xml:space="preserve">s </w:t>
      </w:r>
      <w:r w:rsidRPr="003170FD">
        <w:lastRenderedPageBreak/>
        <w:t xml:space="preserve">darbības subjektu un prokuratūras darba koordinācija, veicinot savstarpējo sadarbību, lai </w:t>
      </w:r>
      <w:r w:rsidRPr="003170FD">
        <w:rPr>
          <w:rFonts w:cs="Times New Roman"/>
        </w:rPr>
        <w:t>nodrošinātu optimālu un efektīvu pirmstiesas kriminālprocesa virzību un tiesvedību krimināllietā;</w:t>
      </w:r>
    </w:p>
    <w:p w14:paraId="3BA9FAB5" w14:textId="2125644E" w:rsidR="00AB5546" w:rsidRPr="003170FD" w:rsidRDefault="00AB5546" w:rsidP="00D751E7">
      <w:pPr>
        <w:tabs>
          <w:tab w:val="left" w:pos="567"/>
        </w:tabs>
        <w:spacing w:after="0" w:line="240" w:lineRule="auto"/>
        <w:jc w:val="both"/>
        <w:rPr>
          <w:rFonts w:eastAsia="Times New Roman" w:cs="Times New Roman"/>
          <w:szCs w:val="24"/>
          <w:lang w:eastAsia="lv-LV"/>
        </w:rPr>
      </w:pPr>
      <w:r w:rsidRPr="003170FD">
        <w:rPr>
          <w:rFonts w:cs="Times New Roman"/>
        </w:rPr>
        <w:t xml:space="preserve">- tiesību aktu projektu, metodisko materiālu, starptautisko sadarbības projektu un jaunu apmācības programmu izstrāde, tostarp saistībā ar </w:t>
      </w:r>
      <w:r w:rsidR="00034C36" w:rsidRPr="00164C02">
        <w:rPr>
          <w:szCs w:val="24"/>
        </w:rPr>
        <w:t xml:space="preserve">Eiropas Padomes noziedzīgi iegūtu līdzekļu legalizācijas un terorisma finansēšanas novēršanas ekspertu komitejas </w:t>
      </w:r>
      <w:r w:rsidR="00034C36">
        <w:rPr>
          <w:szCs w:val="24"/>
        </w:rPr>
        <w:t>(</w:t>
      </w:r>
      <w:r w:rsidRPr="003170FD">
        <w:rPr>
          <w:rFonts w:cs="Times New Roman"/>
        </w:rPr>
        <w:t>MONEYVAL</w:t>
      </w:r>
      <w:r w:rsidR="00034C36">
        <w:rPr>
          <w:rFonts w:cs="Times New Roman"/>
        </w:rPr>
        <w:t>) un</w:t>
      </w:r>
      <w:r w:rsidRPr="003170FD">
        <w:rPr>
          <w:rFonts w:cs="Times New Roman"/>
        </w:rPr>
        <w:t xml:space="preserve"> </w:t>
      </w:r>
      <w:r w:rsidR="00034C36">
        <w:rPr>
          <w:rFonts w:cs="Times New Roman"/>
          <w:szCs w:val="24"/>
        </w:rPr>
        <w:t>Ekonomiskās sadarbības un attīstības organizācijas (</w:t>
      </w:r>
      <w:r w:rsidRPr="003170FD">
        <w:rPr>
          <w:rFonts w:cs="Times New Roman"/>
        </w:rPr>
        <w:t>OECD</w:t>
      </w:r>
      <w:r w:rsidR="00034C36">
        <w:rPr>
          <w:rFonts w:cs="Times New Roman"/>
        </w:rPr>
        <w:t xml:space="preserve">) </w:t>
      </w:r>
      <w:r w:rsidRPr="003170FD">
        <w:rPr>
          <w:rFonts w:eastAsia="Times New Roman" w:cs="Times New Roman"/>
          <w:szCs w:val="24"/>
          <w:lang w:eastAsia="lv-LV"/>
        </w:rPr>
        <w:t>rekomendācijām</w:t>
      </w:r>
      <w:r>
        <w:rPr>
          <w:rFonts w:eastAsia="Times New Roman" w:cs="Times New Roman"/>
          <w:szCs w:val="24"/>
          <w:lang w:eastAsia="lv-LV"/>
        </w:rPr>
        <w:t>.</w:t>
      </w:r>
      <w:r w:rsidRPr="003170FD">
        <w:rPr>
          <w:rFonts w:eastAsia="Times New Roman" w:cs="Times New Roman"/>
          <w:szCs w:val="24"/>
          <w:lang w:eastAsia="lv-LV"/>
        </w:rPr>
        <w:t xml:space="preserve"> </w:t>
      </w:r>
    </w:p>
    <w:p w14:paraId="0303D8A2" w14:textId="73C3DCD7" w:rsidR="00AB5546" w:rsidRPr="003170FD" w:rsidRDefault="00AB5546" w:rsidP="00D751E7">
      <w:pPr>
        <w:tabs>
          <w:tab w:val="left" w:pos="567"/>
        </w:tabs>
        <w:spacing w:after="0" w:line="240" w:lineRule="auto"/>
        <w:ind w:firstLine="567"/>
        <w:jc w:val="both"/>
        <w:rPr>
          <w:color w:val="000000"/>
          <w:szCs w:val="24"/>
        </w:rPr>
      </w:pPr>
      <w:r w:rsidRPr="003170FD">
        <w:rPr>
          <w:color w:val="000000"/>
          <w:szCs w:val="24"/>
        </w:rPr>
        <w:t>Minētās prokuratūras struktūrvienības uzdevumos būs arī koordinēt un veicināt jau 2020.</w:t>
      </w:r>
      <w:r w:rsidR="00D751E7">
        <w:rPr>
          <w:color w:val="000000"/>
          <w:szCs w:val="24"/>
        </w:rPr>
        <w:t> </w:t>
      </w:r>
      <w:r w:rsidRPr="003170FD">
        <w:rPr>
          <w:color w:val="000000"/>
          <w:szCs w:val="24"/>
        </w:rPr>
        <w:t>gadā iesākto prokuratūras darbu pie F</w:t>
      </w:r>
      <w:r w:rsidR="00D751E7">
        <w:rPr>
          <w:color w:val="000000"/>
          <w:szCs w:val="24"/>
        </w:rPr>
        <w:t>inanšu izlūkošanas dienesta</w:t>
      </w:r>
      <w:r w:rsidRPr="003170FD">
        <w:rPr>
          <w:color w:val="000000"/>
          <w:szCs w:val="24"/>
        </w:rPr>
        <w:t xml:space="preserve"> Sadarbības koordinācijas grupas plašākas iesaistes, tās kompetences ietvaros sniedzot nepieciešamo atbalstu izmeklēšanas iestādēm </w:t>
      </w:r>
      <w:r w:rsidRPr="003170FD">
        <w:rPr>
          <w:lang w:eastAsia="lv-LV"/>
        </w:rPr>
        <w:t>noziedzīgi iegūtu līdzekļu legalizēšanas</w:t>
      </w:r>
      <w:r w:rsidRPr="003170FD">
        <w:rPr>
          <w:color w:val="000000"/>
          <w:szCs w:val="24"/>
        </w:rPr>
        <w:t xml:space="preserve"> apkarošanas ietvaros.</w:t>
      </w:r>
    </w:p>
    <w:p w14:paraId="459A8163" w14:textId="3117E050" w:rsidR="00AB5546" w:rsidRPr="003170FD" w:rsidRDefault="00AB5546" w:rsidP="00AB5546">
      <w:pPr>
        <w:tabs>
          <w:tab w:val="left" w:pos="567"/>
        </w:tabs>
        <w:spacing w:before="120" w:after="0" w:line="240" w:lineRule="auto"/>
        <w:ind w:firstLine="567"/>
        <w:jc w:val="both"/>
      </w:pPr>
      <w:r w:rsidRPr="003170FD">
        <w:rPr>
          <w:bCs/>
          <w:szCs w:val="24"/>
        </w:rPr>
        <w:t xml:space="preserve">Nosakot kritērijus noziedzīgu nodarījumu izmeklēšanas, uzraudzības un kriminālvajāšanas funkciju efektivizēšanā un koordinēšanā, par prioritāti noteikti arī tie kriminālprocesi, kas uzsākti pēc Finanšu izlūkošanas dienesta ziņojuma attiecībā par iespējamu naudas līdzekļu legalizēšanu likvidējamā akciju sabiedrībā “ABLV </w:t>
      </w:r>
      <w:proofErr w:type="spellStart"/>
      <w:r w:rsidRPr="003170FD">
        <w:rPr>
          <w:bCs/>
          <w:szCs w:val="24"/>
        </w:rPr>
        <w:t>Bank</w:t>
      </w:r>
      <w:proofErr w:type="spellEnd"/>
      <w:r w:rsidRPr="003170FD">
        <w:rPr>
          <w:bCs/>
          <w:szCs w:val="24"/>
        </w:rPr>
        <w:t>”, ievērojot akciju sabiedrības paredzēto pašlikvidācijas termiņu. Turklāt, ņ</w:t>
      </w:r>
      <w:r w:rsidRPr="003170FD">
        <w:rPr>
          <w:rFonts w:eastAsia="Times New Roman" w:cs="Times New Roman"/>
          <w:szCs w:val="24"/>
          <w:lang w:eastAsia="lv-LV"/>
        </w:rPr>
        <w:t>emot vērā jau 2020.</w:t>
      </w:r>
      <w:r w:rsidR="00C14F10">
        <w:rPr>
          <w:rFonts w:eastAsia="Times New Roman" w:cs="Times New Roman"/>
          <w:szCs w:val="24"/>
          <w:lang w:eastAsia="lv-LV"/>
        </w:rPr>
        <w:t> </w:t>
      </w:r>
      <w:r w:rsidRPr="003170FD">
        <w:rPr>
          <w:rFonts w:eastAsia="Times New Roman" w:cs="Times New Roman"/>
          <w:szCs w:val="24"/>
          <w:lang w:eastAsia="lv-LV"/>
        </w:rPr>
        <w:t>gadā novēroto tendenci kriminālprocesu skaita pieaugumam, kas saistīti ar F</w:t>
      </w:r>
      <w:r w:rsidR="00C14F10">
        <w:rPr>
          <w:rFonts w:eastAsia="Times New Roman" w:cs="Times New Roman"/>
          <w:szCs w:val="24"/>
          <w:lang w:eastAsia="lv-LV"/>
        </w:rPr>
        <w:t xml:space="preserve">inanšu izlūkošanas dienesta </w:t>
      </w:r>
      <w:r w:rsidRPr="003170FD">
        <w:rPr>
          <w:rFonts w:eastAsia="Times New Roman" w:cs="Times New Roman"/>
          <w:szCs w:val="24"/>
          <w:lang w:eastAsia="lv-LV"/>
        </w:rPr>
        <w:t xml:space="preserve"> iesniegtajiem ziņojumiem saistībā ar LAS “ABLV</w:t>
      </w:r>
      <w:r>
        <w:rPr>
          <w:rFonts w:eastAsia="Times New Roman" w:cs="Times New Roman"/>
          <w:szCs w:val="24"/>
          <w:lang w:eastAsia="lv-LV"/>
        </w:rPr>
        <w:t xml:space="preserve"> </w:t>
      </w:r>
      <w:proofErr w:type="spellStart"/>
      <w:r>
        <w:rPr>
          <w:rFonts w:eastAsia="Times New Roman" w:cs="Times New Roman"/>
          <w:szCs w:val="24"/>
          <w:lang w:eastAsia="lv-LV"/>
        </w:rPr>
        <w:t>Bank</w:t>
      </w:r>
      <w:proofErr w:type="spellEnd"/>
      <w:r w:rsidRPr="003170FD">
        <w:rPr>
          <w:rFonts w:eastAsia="Times New Roman" w:cs="Times New Roman"/>
          <w:szCs w:val="24"/>
          <w:lang w:eastAsia="lv-LV"/>
        </w:rPr>
        <w:t>” kontos konstatētajiem iespējami noziedzīgi iegūtiem līdzekļiem, nepieciešams</w:t>
      </w:r>
      <w:r w:rsidRPr="003170FD">
        <w:t xml:space="preserve"> stiprināt izmeklēšanas iestāžu un prokuratūras darba resursu kapacitāti un spēju pilnvērtīgi apstrādāt un izmeklēt potenciāli pieaugušo pārbaudāmās informācijas apjomu un kriminālprocesu skaitu </w:t>
      </w:r>
      <w:r w:rsidRPr="003170FD">
        <w:rPr>
          <w:rFonts w:eastAsia="Times New Roman" w:cs="Times New Roman"/>
          <w:szCs w:val="24"/>
          <w:lang w:eastAsia="lv-LV"/>
        </w:rPr>
        <w:t>noziedzīgi iegūtu līdzekļu legalizācijas</w:t>
      </w:r>
      <w:r w:rsidRPr="003170FD">
        <w:t xml:space="preserve"> jomā.</w:t>
      </w:r>
    </w:p>
    <w:p w14:paraId="53629832" w14:textId="3427AE76" w:rsidR="00AB5546" w:rsidRPr="003170FD" w:rsidRDefault="00AB5546" w:rsidP="00C14F10">
      <w:pPr>
        <w:spacing w:after="0" w:line="240" w:lineRule="auto"/>
        <w:ind w:firstLine="567"/>
        <w:jc w:val="both"/>
        <w:rPr>
          <w:iCs/>
          <w:lang w:eastAsia="lv-LV"/>
        </w:rPr>
      </w:pPr>
      <w:r w:rsidRPr="003170FD">
        <w:t>Tādējādi, izvērtējot prognozi 2021.</w:t>
      </w:r>
      <w:r w:rsidR="00C14F10">
        <w:t> </w:t>
      </w:r>
      <w:r w:rsidRPr="003170FD">
        <w:t>gadam par F</w:t>
      </w:r>
      <w:r w:rsidR="00C14F10">
        <w:t>inanšu izlūkošanas dienesta</w:t>
      </w:r>
      <w:r w:rsidRPr="003170FD">
        <w:t xml:space="preserve"> atzinumu saņemšanas pieaugumu </w:t>
      </w:r>
      <w:r>
        <w:t>tiesībaizsardzības iestādēs</w:t>
      </w:r>
      <w:r w:rsidRPr="003170FD">
        <w:t>, minētais papildu raksturo nepieciešamību 2021.</w:t>
      </w:r>
      <w:r w:rsidR="00C14F10">
        <w:t> </w:t>
      </w:r>
      <w:r w:rsidRPr="003170FD">
        <w:t xml:space="preserve">gadā ka vienu no prioritātēm cīņā ar </w:t>
      </w:r>
      <w:r w:rsidR="00F33C3F">
        <w:t>noziedzīgi iegūtu līdzekļu legalizēšanu</w:t>
      </w:r>
      <w:r w:rsidRPr="003170FD">
        <w:t xml:space="preserve"> noteikt </w:t>
      </w:r>
      <w:proofErr w:type="spellStart"/>
      <w:r w:rsidRPr="003170FD">
        <w:rPr>
          <w:i/>
          <w:iCs/>
        </w:rPr>
        <w:t>stand</w:t>
      </w:r>
      <w:r w:rsidR="00E072E5">
        <w:rPr>
          <w:i/>
          <w:iCs/>
        </w:rPr>
        <w:t>-</w:t>
      </w:r>
      <w:r w:rsidRPr="003170FD">
        <w:rPr>
          <w:i/>
          <w:iCs/>
        </w:rPr>
        <w:t>alone</w:t>
      </w:r>
      <w:proofErr w:type="spellEnd"/>
      <w:r w:rsidRPr="003170FD">
        <w:t xml:space="preserve">  lietu izmeklēšanu.  </w:t>
      </w:r>
    </w:p>
    <w:p w14:paraId="08758FDB" w14:textId="24704B94" w:rsidR="00AB5546" w:rsidRPr="003170FD" w:rsidRDefault="00AB5546" w:rsidP="00AB5546">
      <w:pPr>
        <w:spacing w:before="120" w:after="0" w:line="240" w:lineRule="auto"/>
        <w:ind w:firstLine="567"/>
        <w:jc w:val="both"/>
        <w:rPr>
          <w:szCs w:val="24"/>
        </w:rPr>
      </w:pPr>
      <w:r w:rsidRPr="003170FD">
        <w:rPr>
          <w:szCs w:val="24"/>
        </w:rPr>
        <w:t>Kā viens no kriminālprocesa efektivitātes paaugstināšanas veidiem ir process par noziedzīgi iegūtu mantu. Tādējādi, pastāvot K</w:t>
      </w:r>
      <w:r w:rsidR="00163C3D">
        <w:rPr>
          <w:szCs w:val="24"/>
        </w:rPr>
        <w:t>riminālprocesa likumā</w:t>
      </w:r>
      <w:r w:rsidRPr="003170FD">
        <w:rPr>
          <w:szCs w:val="24"/>
        </w:rPr>
        <w:t xml:space="preserve"> paredzētajiem nosacījumiem, kā prioritāte tiks izvirzīta procesuālās ekonomijas interesēs pirmstiesas kriminālprocesā radušos mantisko jautājumu savlaicīga atrisināšana K</w:t>
      </w:r>
      <w:r w:rsidR="00163C3D">
        <w:rPr>
          <w:szCs w:val="24"/>
        </w:rPr>
        <w:t>riminālprocesa likuma</w:t>
      </w:r>
      <w:r w:rsidRPr="003170FD">
        <w:rPr>
          <w:szCs w:val="24"/>
        </w:rPr>
        <w:t xml:space="preserve"> 59.nodaļas kārtībā. </w:t>
      </w:r>
    </w:p>
    <w:p w14:paraId="211C884C" w14:textId="305DED15" w:rsidR="00AB5546" w:rsidRPr="003170FD" w:rsidRDefault="00AB5546" w:rsidP="00AB5546">
      <w:pPr>
        <w:tabs>
          <w:tab w:val="left" w:pos="567"/>
          <w:tab w:val="left" w:pos="6804"/>
        </w:tabs>
        <w:spacing w:before="120" w:after="0" w:line="240" w:lineRule="auto"/>
        <w:ind w:firstLine="567"/>
        <w:jc w:val="both"/>
        <w:rPr>
          <w:szCs w:val="24"/>
        </w:rPr>
      </w:pPr>
      <w:r w:rsidRPr="003170FD">
        <w:rPr>
          <w:bCs/>
          <w:iCs/>
          <w:szCs w:val="24"/>
        </w:rPr>
        <w:t xml:space="preserve">Tāpat kā uzdevums tiek izvirzīts </w:t>
      </w:r>
      <w:r>
        <w:rPr>
          <w:szCs w:val="24"/>
        </w:rPr>
        <w:t>K</w:t>
      </w:r>
      <w:r w:rsidR="00163C3D">
        <w:rPr>
          <w:szCs w:val="24"/>
        </w:rPr>
        <w:t>riminālprocesa likuma</w:t>
      </w:r>
      <w:r w:rsidRPr="003170FD">
        <w:rPr>
          <w:szCs w:val="24"/>
        </w:rPr>
        <w:t xml:space="preserve"> 393.</w:t>
      </w:r>
      <w:r w:rsidR="00ED6775">
        <w:rPr>
          <w:szCs w:val="24"/>
        </w:rPr>
        <w:t> </w:t>
      </w:r>
      <w:r w:rsidRPr="003170FD">
        <w:rPr>
          <w:szCs w:val="24"/>
        </w:rPr>
        <w:t>panta 2.</w:t>
      </w:r>
      <w:r w:rsidRPr="003170FD">
        <w:rPr>
          <w:szCs w:val="24"/>
          <w:vertAlign w:val="superscript"/>
        </w:rPr>
        <w:t>1</w:t>
      </w:r>
      <w:r w:rsidR="00ED6775">
        <w:rPr>
          <w:szCs w:val="24"/>
        </w:rPr>
        <w:t> </w:t>
      </w:r>
      <w:r w:rsidRPr="003170FD">
        <w:rPr>
          <w:szCs w:val="24"/>
        </w:rPr>
        <w:t>daļ</w:t>
      </w:r>
      <w:r>
        <w:rPr>
          <w:szCs w:val="24"/>
        </w:rPr>
        <w:t>ā</w:t>
      </w:r>
      <w:r w:rsidRPr="003170FD">
        <w:rPr>
          <w:szCs w:val="24"/>
        </w:rPr>
        <w:t xml:space="preserve"> ietvertā regulējuma, kas paredz kriminālprocesa vai tā daļas izbeigšanu par noziedzīgi iegūtu līdzekļu legalizēšanu, ja panākts mantisko attiecību taisnīgs noregulējums, personas vaina noziedzīga nodarījuma izdarīšanā pirmstiesas procesā nav pierādīta un papildu pierādījumu iegūšana nenodrošinās ekonomisku pirmstiesas kriminālprocesu vai radīs nesamērīgi lielus izdevumus, piemērošanas pamatojuma pārbaude. 2021.</w:t>
      </w:r>
      <w:r w:rsidR="00ED6775">
        <w:rPr>
          <w:szCs w:val="24"/>
        </w:rPr>
        <w:t> </w:t>
      </w:r>
      <w:r w:rsidRPr="003170FD">
        <w:rPr>
          <w:szCs w:val="24"/>
        </w:rPr>
        <w:t xml:space="preserve">gadā šī kriminālprocesuālā regulējuma ietvaros </w:t>
      </w:r>
      <w:r w:rsidR="00ED6775">
        <w:rPr>
          <w:szCs w:val="24"/>
        </w:rPr>
        <w:t xml:space="preserve">jau </w:t>
      </w:r>
      <w:r w:rsidRPr="003170FD">
        <w:rPr>
          <w:szCs w:val="24"/>
        </w:rPr>
        <w:t xml:space="preserve">izbeigti </w:t>
      </w:r>
      <w:r w:rsidRPr="00EC7ED2">
        <w:rPr>
          <w:szCs w:val="24"/>
        </w:rPr>
        <w:t>6</w:t>
      </w:r>
      <w:r w:rsidR="00ED6775">
        <w:rPr>
          <w:szCs w:val="24"/>
        </w:rPr>
        <w:t> </w:t>
      </w:r>
      <w:r w:rsidRPr="003170FD">
        <w:rPr>
          <w:szCs w:val="24"/>
        </w:rPr>
        <w:t>kriminālprocesi.</w:t>
      </w:r>
    </w:p>
    <w:p w14:paraId="5EA586E0" w14:textId="3D331F21" w:rsidR="00AB5546" w:rsidRPr="003170FD" w:rsidRDefault="00AB5546" w:rsidP="00ED6775">
      <w:pPr>
        <w:tabs>
          <w:tab w:val="left" w:pos="567"/>
          <w:tab w:val="left" w:pos="6804"/>
        </w:tabs>
        <w:spacing w:after="0" w:line="240" w:lineRule="auto"/>
        <w:ind w:firstLine="567"/>
        <w:jc w:val="both"/>
        <w:rPr>
          <w:szCs w:val="24"/>
        </w:rPr>
      </w:pPr>
      <w:r w:rsidRPr="003170FD">
        <w:t>Šāda</w:t>
      </w:r>
      <w:r w:rsidRPr="003170FD">
        <w:rPr>
          <w:szCs w:val="24"/>
        </w:rPr>
        <w:t xml:space="preserve"> kriminālprocesuālā institūta kontroles nepieciešamība noteikta ar kriminālprocesu </w:t>
      </w:r>
      <w:r>
        <w:rPr>
          <w:szCs w:val="24"/>
        </w:rPr>
        <w:t xml:space="preserve">izmeklēšanas </w:t>
      </w:r>
      <w:r w:rsidRPr="003170FD">
        <w:rPr>
          <w:szCs w:val="24"/>
        </w:rPr>
        <w:t>noslodzes samazinājuma panākšanu izmeklēšanas iestādēs, vienlaikus pievēršot uzmanību, lai tiktu nodrošināta Kriminālprocesa likuma 1.</w:t>
      </w:r>
      <w:r w:rsidR="00ED6775">
        <w:rPr>
          <w:szCs w:val="24"/>
        </w:rPr>
        <w:t> </w:t>
      </w:r>
      <w:r w:rsidRPr="003170FD">
        <w:rPr>
          <w:szCs w:val="24"/>
        </w:rPr>
        <w:t>pantā ietvertā mērķa sasniegšana.</w:t>
      </w:r>
    </w:p>
    <w:p w14:paraId="0F343338" w14:textId="0C9EBF8C" w:rsidR="00AB5546" w:rsidRPr="003170FD" w:rsidRDefault="00AB5546" w:rsidP="00AB5546">
      <w:pPr>
        <w:spacing w:before="120" w:after="0" w:line="240" w:lineRule="auto"/>
        <w:ind w:firstLine="567"/>
        <w:jc w:val="both"/>
        <w:rPr>
          <w:lang w:eastAsia="lv-LV"/>
        </w:rPr>
      </w:pPr>
      <w:r w:rsidRPr="003170FD">
        <w:rPr>
          <w:lang w:eastAsia="lv-LV"/>
        </w:rPr>
        <w:t>Kā aktuāla joma pasaulē šobrīd identificēta arvien plašāka noguldījumu, fondu, biržas un trastu izmantošana noziedzīgi iegūtu līdzekļu legal</w:t>
      </w:r>
      <w:r w:rsidR="00ED6775">
        <w:rPr>
          <w:lang w:eastAsia="lv-LV"/>
        </w:rPr>
        <w:t>izēšanā</w:t>
      </w:r>
      <w:r>
        <w:rPr>
          <w:lang w:eastAsia="lv-LV"/>
        </w:rPr>
        <w:t>.</w:t>
      </w:r>
      <w:r w:rsidRPr="003170FD">
        <w:rPr>
          <w:lang w:eastAsia="lv-LV"/>
        </w:rPr>
        <w:t xml:space="preserve"> Līdz ar to secināms, ka noziedzīgi iegūtas naudas legaliz</w:t>
      </w:r>
      <w:r w:rsidR="00ED6775">
        <w:rPr>
          <w:lang w:eastAsia="lv-LV"/>
        </w:rPr>
        <w:t>ēšanas</w:t>
      </w:r>
      <w:r w:rsidRPr="003170FD">
        <w:rPr>
          <w:lang w:eastAsia="lv-LV"/>
        </w:rPr>
        <w:t xml:space="preserve"> mehānismā arvien biežāk tiks izmantoti datornoziegumi, </w:t>
      </w:r>
      <w:r>
        <w:rPr>
          <w:lang w:eastAsia="lv-LV"/>
        </w:rPr>
        <w:t xml:space="preserve">dažādu </w:t>
      </w:r>
      <w:r w:rsidRPr="003170FD">
        <w:rPr>
          <w:lang w:eastAsia="lv-LV"/>
        </w:rPr>
        <w:t>tehnoloģiju sniegtās iespējas. Ņemot vērā, ka kriptovalūtas izmanto</w:t>
      </w:r>
      <w:r>
        <w:rPr>
          <w:lang w:eastAsia="lv-LV"/>
        </w:rPr>
        <w:t>šana</w:t>
      </w:r>
      <w:r w:rsidRPr="003170FD">
        <w:rPr>
          <w:lang w:eastAsia="lv-LV"/>
        </w:rPr>
        <w:t xml:space="preserve"> pasaulē, tostarp Latvijā, arvien </w:t>
      </w:r>
      <w:r>
        <w:rPr>
          <w:lang w:eastAsia="lv-LV"/>
        </w:rPr>
        <w:t>pieaug</w:t>
      </w:r>
      <w:r w:rsidRPr="003170FD">
        <w:rPr>
          <w:lang w:eastAsia="lv-LV"/>
        </w:rPr>
        <w:t>, kriptovalūtas tiek izmantoti kā mehānismi, lai noziedzīgi iegūto līdzekļu legaliz</w:t>
      </w:r>
      <w:r w:rsidR="00ED6775">
        <w:rPr>
          <w:lang w:eastAsia="lv-LV"/>
        </w:rPr>
        <w:t>ēšanu</w:t>
      </w:r>
      <w:r w:rsidRPr="003170FD">
        <w:rPr>
          <w:lang w:eastAsia="lv-LV"/>
        </w:rPr>
        <w:t xml:space="preserve"> padarītu mazāk pamanāmu. Līdz ar to prioritāri jāpievērš uzmanība kriptovalūtām un ar tām saistītiem riskiem, kā arī kibernoziegumu izmeklēšan</w:t>
      </w:r>
      <w:r>
        <w:rPr>
          <w:lang w:eastAsia="lv-LV"/>
        </w:rPr>
        <w:t>ai</w:t>
      </w:r>
      <w:r w:rsidRPr="003170FD">
        <w:rPr>
          <w:lang w:eastAsia="lv-LV"/>
        </w:rPr>
        <w:t xml:space="preserve"> saistībā ar noziedzīgi iegūtu līdzekļu legaliz</w:t>
      </w:r>
      <w:r>
        <w:rPr>
          <w:lang w:eastAsia="lv-LV"/>
        </w:rPr>
        <w:t>ēšanu</w:t>
      </w:r>
      <w:r w:rsidRPr="003170FD">
        <w:rPr>
          <w:lang w:eastAsia="lv-LV"/>
        </w:rPr>
        <w:t>.</w:t>
      </w:r>
    </w:p>
    <w:p w14:paraId="05A80462" w14:textId="7CB3F4D4" w:rsidR="00AB5546" w:rsidRDefault="00AB5546" w:rsidP="00A90655">
      <w:pPr>
        <w:spacing w:before="120" w:after="0" w:line="240" w:lineRule="auto"/>
        <w:ind w:firstLine="567"/>
        <w:jc w:val="both"/>
        <w:rPr>
          <w:szCs w:val="24"/>
        </w:rPr>
      </w:pPr>
      <w:r w:rsidRPr="003170FD">
        <w:rPr>
          <w:rFonts w:eastAsia="Times New Roman" w:cs="Times New Roman"/>
          <w:szCs w:val="24"/>
          <w:lang w:eastAsia="lv-LV"/>
        </w:rPr>
        <w:lastRenderedPageBreak/>
        <w:t xml:space="preserve">Tāpat par prioritāru virzienu </w:t>
      </w:r>
      <w:r w:rsidRPr="003170FD">
        <w:t xml:space="preserve">noziedzīgi iegūtu līdzekļu legalizēšanas apkarošanas jomā noteikta </w:t>
      </w:r>
      <w:r w:rsidRPr="003170FD">
        <w:rPr>
          <w:bCs/>
          <w:szCs w:val="24"/>
        </w:rPr>
        <w:t>K</w:t>
      </w:r>
      <w:r w:rsidR="00F33C3F">
        <w:rPr>
          <w:bCs/>
          <w:szCs w:val="24"/>
        </w:rPr>
        <w:t>rimināllikuma</w:t>
      </w:r>
      <w:r w:rsidRPr="003170FD">
        <w:rPr>
          <w:bCs/>
          <w:szCs w:val="24"/>
        </w:rPr>
        <w:t xml:space="preserve"> 195.</w:t>
      </w:r>
      <w:r w:rsidRPr="003170FD">
        <w:rPr>
          <w:bCs/>
          <w:szCs w:val="24"/>
          <w:vertAlign w:val="superscript"/>
        </w:rPr>
        <w:t xml:space="preserve">2 </w:t>
      </w:r>
      <w:r w:rsidRPr="003170FD">
        <w:rPr>
          <w:bCs/>
          <w:szCs w:val="24"/>
        </w:rPr>
        <w:t xml:space="preserve">panta trešajā daļā ietvertā </w:t>
      </w:r>
      <w:r w:rsidRPr="003170FD">
        <w:rPr>
          <w:rFonts w:eastAsia="Times New Roman" w:cs="Times New Roman"/>
          <w:szCs w:val="24"/>
          <w:lang w:eastAsia="lv-LV"/>
        </w:rPr>
        <w:t>noziedzīgā nodarījuma (i</w:t>
      </w:r>
      <w:r w:rsidRPr="003170FD">
        <w:t>zvairīšanās no skaidras naudas deklarēšanas, ja to izdarījusi organizēta grupa)</w:t>
      </w:r>
      <w:r w:rsidRPr="003170FD">
        <w:rPr>
          <w:szCs w:val="24"/>
        </w:rPr>
        <w:t xml:space="preserve"> sastāva izmeklēšanas, uzraudzības un kriminālvajāšanas funkciju efektivizēšana un koordinēšana.</w:t>
      </w:r>
    </w:p>
    <w:p w14:paraId="7790CB38" w14:textId="77777777" w:rsidR="00C0057A" w:rsidRDefault="00C0057A" w:rsidP="00C0057A">
      <w:pPr>
        <w:spacing w:after="0" w:line="240" w:lineRule="auto"/>
        <w:ind w:firstLine="567"/>
        <w:jc w:val="both"/>
        <w:rPr>
          <w:szCs w:val="24"/>
        </w:rPr>
      </w:pPr>
    </w:p>
    <w:p w14:paraId="03577058" w14:textId="3F6CA834" w:rsidR="00A90655" w:rsidRDefault="008A1A54" w:rsidP="00C0057A">
      <w:pPr>
        <w:spacing w:after="0" w:line="240" w:lineRule="auto"/>
        <w:jc w:val="both"/>
        <w:rPr>
          <w:b/>
          <w:bCs/>
          <w:szCs w:val="24"/>
        </w:rPr>
      </w:pPr>
      <w:r>
        <w:rPr>
          <w:b/>
          <w:bCs/>
          <w:szCs w:val="24"/>
        </w:rPr>
        <w:t xml:space="preserve">Ģenerālprokuratūras </w:t>
      </w:r>
      <w:r w:rsidR="00A90655" w:rsidRPr="008A1A54">
        <w:rPr>
          <w:b/>
          <w:bCs/>
          <w:szCs w:val="24"/>
        </w:rPr>
        <w:t>Krimināltiesiskā d</w:t>
      </w:r>
      <w:r>
        <w:rPr>
          <w:b/>
          <w:bCs/>
          <w:szCs w:val="24"/>
        </w:rPr>
        <w:t>e</w:t>
      </w:r>
      <w:r w:rsidR="00A90655" w:rsidRPr="008A1A54">
        <w:rPr>
          <w:b/>
          <w:bCs/>
          <w:szCs w:val="24"/>
        </w:rPr>
        <w:t>partamenta</w:t>
      </w:r>
      <w:r>
        <w:rPr>
          <w:b/>
          <w:bCs/>
          <w:szCs w:val="24"/>
        </w:rPr>
        <w:t xml:space="preserve"> virsprokurors A. Kalniņš</w:t>
      </w:r>
    </w:p>
    <w:p w14:paraId="467DABFB" w14:textId="3375E9F3" w:rsidR="00BC5868" w:rsidRDefault="008A1A54" w:rsidP="00C0057A">
      <w:pPr>
        <w:spacing w:after="0" w:line="240" w:lineRule="auto"/>
        <w:jc w:val="both"/>
        <w:rPr>
          <w:b/>
          <w:bCs/>
          <w:szCs w:val="24"/>
        </w:rPr>
      </w:pPr>
      <w:r>
        <w:rPr>
          <w:b/>
          <w:bCs/>
          <w:szCs w:val="24"/>
        </w:rPr>
        <w:t>Rīgā 2021. gada 10. februārī</w:t>
      </w:r>
    </w:p>
    <w:p w14:paraId="4DB95995" w14:textId="1F9DD75E" w:rsidR="00A90655" w:rsidRPr="00BC5868" w:rsidRDefault="00BC5868" w:rsidP="00BC5868">
      <w:pPr>
        <w:rPr>
          <w:b/>
          <w:bCs/>
          <w:szCs w:val="24"/>
        </w:rPr>
      </w:pPr>
      <w:r>
        <w:rPr>
          <w:b/>
          <w:bCs/>
          <w:szCs w:val="24"/>
        </w:rPr>
        <w:br w:type="page"/>
      </w:r>
    </w:p>
    <w:p w14:paraId="7D502230" w14:textId="44C116DE" w:rsidR="00CA5CAC" w:rsidRPr="00577BF3" w:rsidRDefault="00CA5CAC" w:rsidP="00CF4214">
      <w:pPr>
        <w:spacing w:after="0" w:line="240" w:lineRule="auto"/>
        <w:jc w:val="center"/>
        <w:rPr>
          <w:rFonts w:cs="Times New Roman"/>
          <w:b/>
          <w:sz w:val="32"/>
          <w:szCs w:val="32"/>
        </w:rPr>
      </w:pPr>
      <w:r w:rsidRPr="00577BF3">
        <w:rPr>
          <w:rFonts w:cs="Times New Roman"/>
          <w:b/>
          <w:sz w:val="32"/>
          <w:szCs w:val="32"/>
        </w:rPr>
        <w:lastRenderedPageBreak/>
        <w:t>Ģenerālprokuratūras Personu un valsts tiesību aizsardzības departamenta un tā nodaļas pārskats par 2020. gada darba rezultātiem</w:t>
      </w:r>
    </w:p>
    <w:p w14:paraId="704BD03F" w14:textId="77777777" w:rsidR="00FF0CE0" w:rsidRPr="00F62B7E" w:rsidRDefault="00FF0CE0" w:rsidP="00CF4214">
      <w:pPr>
        <w:spacing w:after="0" w:line="240" w:lineRule="auto"/>
        <w:jc w:val="center"/>
        <w:rPr>
          <w:rFonts w:cs="Times New Roman"/>
          <w:b/>
          <w:szCs w:val="24"/>
        </w:rPr>
      </w:pPr>
    </w:p>
    <w:p w14:paraId="5D83705A" w14:textId="599C5D9B" w:rsidR="00CA5CAC" w:rsidRPr="00577BF3" w:rsidRDefault="00C57A73" w:rsidP="00CF4214">
      <w:pPr>
        <w:pStyle w:val="ListParagraph"/>
        <w:spacing w:after="0" w:line="240" w:lineRule="auto"/>
        <w:ind w:left="1077"/>
        <w:jc w:val="center"/>
        <w:rPr>
          <w:rFonts w:cs="Times New Roman"/>
          <w:b/>
          <w:bCs/>
          <w:sz w:val="28"/>
          <w:szCs w:val="28"/>
        </w:rPr>
      </w:pPr>
      <w:r w:rsidRPr="00577BF3">
        <w:rPr>
          <w:rFonts w:cs="Times New Roman"/>
          <w:b/>
          <w:bCs/>
          <w:sz w:val="28"/>
          <w:szCs w:val="28"/>
        </w:rPr>
        <w:t>I. </w:t>
      </w:r>
      <w:r w:rsidR="00CA5CAC" w:rsidRPr="00577BF3">
        <w:rPr>
          <w:rFonts w:cs="Times New Roman"/>
          <w:b/>
          <w:bCs/>
          <w:sz w:val="28"/>
          <w:szCs w:val="28"/>
        </w:rPr>
        <w:t>Strukturālais modelis un prokuroru personālsastāvs</w:t>
      </w:r>
    </w:p>
    <w:p w14:paraId="21BBA801" w14:textId="77777777" w:rsidR="00FF0CE0" w:rsidRPr="00F62B7E" w:rsidRDefault="00FF0CE0" w:rsidP="00CF4214">
      <w:pPr>
        <w:pStyle w:val="ListParagraph"/>
        <w:spacing w:after="0" w:line="240" w:lineRule="auto"/>
        <w:ind w:left="1077"/>
        <w:rPr>
          <w:rFonts w:cs="Times New Roman"/>
          <w:b/>
          <w:szCs w:val="24"/>
        </w:rPr>
      </w:pPr>
    </w:p>
    <w:p w14:paraId="167A2170" w14:textId="6A4FFEE2" w:rsidR="00CA5CAC" w:rsidRPr="00577BF3" w:rsidRDefault="00CA5CAC" w:rsidP="00CF4214">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sidR="006371CF">
        <w:rPr>
          <w:rFonts w:cs="Times New Roman"/>
          <w:szCs w:val="24"/>
        </w:rPr>
        <w:t xml:space="preserve">2020. gada 28. oktobra redakcijā </w:t>
      </w:r>
      <w:r w:rsidRPr="00577BF3">
        <w:rPr>
          <w:rFonts w:cs="Times New Roman"/>
          <w:szCs w:val="24"/>
        </w:rPr>
        <w:t>Ģenerālprokuratūras</w:t>
      </w:r>
      <w:r w:rsidR="000E2414" w:rsidRPr="00577BF3">
        <w:rPr>
          <w:rFonts w:cs="Times New Roman"/>
          <w:szCs w:val="24"/>
        </w:rPr>
        <w:t xml:space="preserve"> Personu un valsts tiesību aizsardzības </w:t>
      </w:r>
      <w:r w:rsidRPr="00577BF3">
        <w:rPr>
          <w:rFonts w:cs="Times New Roman"/>
          <w:szCs w:val="24"/>
        </w:rPr>
        <w:t xml:space="preserve">departaments un tā nodaļa 2020. gadā darbojās </w:t>
      </w:r>
      <w:r w:rsidR="008C3CBA" w:rsidRPr="00577BF3">
        <w:rPr>
          <w:rFonts w:cs="Times New Roman"/>
          <w:szCs w:val="24"/>
        </w:rPr>
        <w:t>pie</w:t>
      </w:r>
      <w:r w:rsidRPr="00577BF3">
        <w:rPr>
          <w:rFonts w:cs="Times New Roman"/>
          <w:szCs w:val="24"/>
        </w:rPr>
        <w:t xml:space="preserve"> šād</w:t>
      </w:r>
      <w:r w:rsidR="008C3CBA" w:rsidRPr="00577BF3">
        <w:rPr>
          <w:rFonts w:cs="Times New Roman"/>
          <w:szCs w:val="24"/>
        </w:rPr>
        <w:t>a</w:t>
      </w:r>
      <w:r w:rsidRPr="00577BF3">
        <w:rPr>
          <w:rFonts w:cs="Times New Roman"/>
          <w:szCs w:val="24"/>
        </w:rPr>
        <w:t xml:space="preserve"> prokurora amata vietu sadalījum</w:t>
      </w:r>
      <w:r w:rsidR="008C3CBA" w:rsidRPr="00577BF3">
        <w:rPr>
          <w:rFonts w:cs="Times New Roman"/>
          <w:szCs w:val="24"/>
        </w:rPr>
        <w:t>a</w:t>
      </w:r>
      <w:r w:rsidRPr="00577BF3">
        <w:rPr>
          <w:rFonts w:cs="Times New Roman"/>
          <w:szCs w:val="24"/>
        </w:rPr>
        <w:t>:</w:t>
      </w:r>
    </w:p>
    <w:p w14:paraId="66617903" w14:textId="31EA5DE9" w:rsidR="00CA5CAC" w:rsidRPr="00577BF3" w:rsidRDefault="000E2414"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Personu un valsts tiesību aizsardzības </w:t>
      </w:r>
      <w:r w:rsidR="00CA5CAC" w:rsidRPr="00577BF3">
        <w:rPr>
          <w:rFonts w:cs="Times New Roman"/>
          <w:szCs w:val="24"/>
        </w:rPr>
        <w:t>departamen</w:t>
      </w:r>
      <w:r w:rsidRPr="00577BF3">
        <w:rPr>
          <w:rFonts w:cs="Times New Roman"/>
          <w:szCs w:val="24"/>
        </w:rPr>
        <w:t>ts</w:t>
      </w:r>
      <w:r w:rsidR="00CA5CAC" w:rsidRPr="00577BF3">
        <w:rPr>
          <w:rFonts w:cs="Times New Roman"/>
          <w:szCs w:val="24"/>
        </w:rPr>
        <w:t xml:space="preserve"> – </w:t>
      </w:r>
      <w:bookmarkStart w:id="56" w:name="_Hlk63710491"/>
      <w:r w:rsidRPr="00577BF3">
        <w:rPr>
          <w:rFonts w:cs="Times New Roman"/>
          <w:szCs w:val="24"/>
        </w:rPr>
        <w:t>7 </w:t>
      </w:r>
      <w:r w:rsidR="00CA5CAC" w:rsidRPr="00577BF3">
        <w:rPr>
          <w:rFonts w:cs="Times New Roman"/>
          <w:szCs w:val="24"/>
        </w:rPr>
        <w:t>prokurora amata vieta</w:t>
      </w:r>
      <w:r w:rsidRPr="00577BF3">
        <w:rPr>
          <w:rFonts w:cs="Times New Roman"/>
          <w:szCs w:val="24"/>
        </w:rPr>
        <w:t>s</w:t>
      </w:r>
      <w:r w:rsidR="00CA5CAC" w:rsidRPr="00577BF3">
        <w:rPr>
          <w:rFonts w:cs="Times New Roman"/>
          <w:szCs w:val="24"/>
        </w:rPr>
        <w:t xml:space="preserve"> (1 virsprokurora </w:t>
      </w:r>
      <w:r w:rsidRPr="00577BF3">
        <w:rPr>
          <w:rFonts w:cs="Times New Roman"/>
          <w:szCs w:val="24"/>
        </w:rPr>
        <w:t xml:space="preserve">un 6 prokurora </w:t>
      </w:r>
      <w:r w:rsidR="00CA5CAC" w:rsidRPr="00577BF3">
        <w:rPr>
          <w:rFonts w:cs="Times New Roman"/>
          <w:szCs w:val="24"/>
        </w:rPr>
        <w:t>štata vieta</w:t>
      </w:r>
      <w:r w:rsidR="0026275F" w:rsidRPr="00577BF3">
        <w:rPr>
          <w:rFonts w:cs="Times New Roman"/>
          <w:szCs w:val="24"/>
        </w:rPr>
        <w:t>s</w:t>
      </w:r>
      <w:r w:rsidR="00CA5CAC" w:rsidRPr="00577BF3">
        <w:rPr>
          <w:rFonts w:cs="Times New Roman"/>
          <w:szCs w:val="24"/>
        </w:rPr>
        <w:t>);</w:t>
      </w:r>
      <w:bookmarkEnd w:id="56"/>
    </w:p>
    <w:p w14:paraId="4BC2C904" w14:textId="4C4BA1D5" w:rsidR="00CA5CAC" w:rsidRPr="00577BF3" w:rsidRDefault="0026275F" w:rsidP="00B16727">
      <w:pPr>
        <w:pStyle w:val="ListParagraph"/>
        <w:numPr>
          <w:ilvl w:val="0"/>
          <w:numId w:val="1"/>
        </w:numPr>
        <w:spacing w:after="0" w:line="240" w:lineRule="auto"/>
        <w:ind w:left="714" w:hanging="357"/>
        <w:jc w:val="both"/>
        <w:rPr>
          <w:rFonts w:cs="Times New Roman"/>
          <w:szCs w:val="24"/>
        </w:rPr>
      </w:pPr>
      <w:r w:rsidRPr="00577BF3">
        <w:rPr>
          <w:rFonts w:cs="Times New Roman"/>
          <w:szCs w:val="24"/>
        </w:rPr>
        <w:t>Tiesās izskatāmo civillietu</w:t>
      </w:r>
      <w:r w:rsidR="00CA5CAC" w:rsidRPr="00577BF3">
        <w:rPr>
          <w:rFonts w:cs="Times New Roman"/>
          <w:szCs w:val="24"/>
        </w:rPr>
        <w:t xml:space="preserve"> nodaļa – </w:t>
      </w:r>
      <w:r w:rsidRPr="00577BF3">
        <w:rPr>
          <w:rFonts w:cs="Times New Roman"/>
          <w:szCs w:val="24"/>
        </w:rPr>
        <w:t>7 prokurora amata vietas (1 virsprokurora un 6 prokurora štata vietas).</w:t>
      </w:r>
    </w:p>
    <w:p w14:paraId="0C8C47D7" w14:textId="77777777" w:rsidR="00993A1E" w:rsidRPr="00577BF3" w:rsidRDefault="00993A1E" w:rsidP="00993A1E">
      <w:pPr>
        <w:pStyle w:val="ListParagraph"/>
        <w:spacing w:after="0" w:line="240" w:lineRule="auto"/>
        <w:ind w:left="714"/>
        <w:jc w:val="both"/>
        <w:rPr>
          <w:rFonts w:cs="Times New Roman"/>
          <w:szCs w:val="24"/>
        </w:rPr>
      </w:pPr>
    </w:p>
    <w:p w14:paraId="5E2990FE" w14:textId="40CC6C6D" w:rsidR="00FE7523" w:rsidRDefault="004426E1" w:rsidP="00EB45C7">
      <w:pPr>
        <w:spacing w:after="0" w:line="240" w:lineRule="auto"/>
        <w:ind w:firstLine="567"/>
        <w:jc w:val="both"/>
        <w:rPr>
          <w:rFonts w:cs="Times New Roman"/>
          <w:lang w:eastAsia="lv-LV"/>
        </w:rPr>
      </w:pPr>
      <w:r w:rsidRPr="00577BF3">
        <w:rPr>
          <w:rFonts w:cs="Times New Roman"/>
          <w:szCs w:val="24"/>
        </w:rPr>
        <w:t xml:space="preserve">Personu un valsts tiesību aizsardzības departamenta </w:t>
      </w:r>
      <w:r w:rsidR="006E6DAB" w:rsidRPr="00577BF3">
        <w:rPr>
          <w:rFonts w:cs="Times New Roman"/>
          <w:szCs w:val="24"/>
        </w:rPr>
        <w:t xml:space="preserve">prokurora </w:t>
      </w:r>
      <w:r w:rsidR="009A2F50">
        <w:rPr>
          <w:rFonts w:cs="Times New Roman"/>
          <w:szCs w:val="24"/>
        </w:rPr>
        <w:t>amata</w:t>
      </w:r>
      <w:r w:rsidR="006E6DAB" w:rsidRPr="00577BF3">
        <w:rPr>
          <w:rFonts w:cs="Times New Roman"/>
          <w:szCs w:val="24"/>
        </w:rPr>
        <w:t xml:space="preserve"> vietu skaits </w:t>
      </w:r>
      <w:r w:rsidR="006E6DAB" w:rsidRPr="00577BF3">
        <w:rPr>
          <w:rFonts w:cs="Times New Roman"/>
          <w:lang w:eastAsia="lv-LV"/>
        </w:rPr>
        <w:t xml:space="preserve">2020. gada laikā veikto strukturālo reformu rezultātā kopumā samazināts par </w:t>
      </w:r>
      <w:r w:rsidR="00583F97" w:rsidRPr="00577BF3">
        <w:rPr>
          <w:rFonts w:cs="Times New Roman"/>
          <w:lang w:eastAsia="lv-LV"/>
        </w:rPr>
        <w:t>1 </w:t>
      </w:r>
      <w:r w:rsidR="006E6DAB" w:rsidRPr="00577BF3">
        <w:rPr>
          <w:rFonts w:cs="Times New Roman"/>
          <w:lang w:eastAsia="lv-LV"/>
        </w:rPr>
        <w:t xml:space="preserve">prokurora </w:t>
      </w:r>
      <w:r w:rsidR="007D460E">
        <w:rPr>
          <w:rFonts w:cs="Times New Roman"/>
          <w:lang w:eastAsia="lv-LV"/>
        </w:rPr>
        <w:t xml:space="preserve">amata </w:t>
      </w:r>
      <w:r w:rsidR="006E6DAB" w:rsidRPr="00577BF3">
        <w:rPr>
          <w:rFonts w:cs="Times New Roman"/>
          <w:lang w:eastAsia="lv-LV"/>
        </w:rPr>
        <w:t>viet</w:t>
      </w:r>
      <w:r w:rsidR="00583F97" w:rsidRPr="00577BF3">
        <w:rPr>
          <w:rFonts w:cs="Times New Roman"/>
          <w:lang w:eastAsia="lv-LV"/>
        </w:rPr>
        <w:t>u</w:t>
      </w:r>
      <w:r w:rsidR="006E6DAB" w:rsidRPr="00577BF3">
        <w:rPr>
          <w:rFonts w:cs="Times New Roman"/>
          <w:lang w:eastAsia="lv-LV"/>
        </w:rPr>
        <w:t xml:space="preserve"> salīdzinājumā ar stāvokli uz 2020. gada 1. janvāri</w:t>
      </w:r>
      <w:r w:rsidR="00FE7523" w:rsidRPr="00577BF3">
        <w:rPr>
          <w:rFonts w:cs="Times New Roman"/>
          <w:lang w:eastAsia="lv-LV"/>
        </w:rPr>
        <w:t xml:space="preserve">. </w:t>
      </w:r>
    </w:p>
    <w:p w14:paraId="0A42E2F6" w14:textId="7BAC42F3" w:rsidR="006E6DAB" w:rsidRPr="00577BF3" w:rsidRDefault="006E6DAB" w:rsidP="00EB45C7">
      <w:pPr>
        <w:spacing w:after="0" w:line="240" w:lineRule="auto"/>
        <w:jc w:val="both"/>
        <w:rPr>
          <w:rFonts w:cs="Times New Roman"/>
          <w:lang w:eastAsia="lv-LV"/>
        </w:rPr>
      </w:pPr>
    </w:p>
    <w:p w14:paraId="508A509F" w14:textId="2927DE36" w:rsidR="00EB45C7" w:rsidRPr="00EB45C7" w:rsidRDefault="00EB45C7" w:rsidP="00EB45C7">
      <w:pPr>
        <w:spacing w:after="0" w:line="240" w:lineRule="auto"/>
        <w:jc w:val="center"/>
        <w:rPr>
          <w:rFonts w:cs="Times New Roman"/>
          <w:b/>
          <w:sz w:val="28"/>
          <w:szCs w:val="28"/>
        </w:rPr>
      </w:pPr>
      <w:r w:rsidRPr="00EB45C7">
        <w:rPr>
          <w:rFonts w:cs="Times New Roman"/>
          <w:b/>
          <w:sz w:val="28"/>
          <w:szCs w:val="28"/>
        </w:rPr>
        <w:t>II. Prokuratūras darbība ārpus krimināltiesiskās jomas 2020.</w:t>
      </w:r>
      <w:r>
        <w:rPr>
          <w:rFonts w:cs="Times New Roman"/>
          <w:b/>
          <w:sz w:val="28"/>
          <w:szCs w:val="28"/>
        </w:rPr>
        <w:t> </w:t>
      </w:r>
      <w:r w:rsidRPr="00EB45C7">
        <w:rPr>
          <w:rFonts w:cs="Times New Roman"/>
          <w:b/>
          <w:sz w:val="28"/>
          <w:szCs w:val="28"/>
        </w:rPr>
        <w:t>gadā</w:t>
      </w:r>
    </w:p>
    <w:p w14:paraId="6543CF6F" w14:textId="77777777" w:rsidR="00EB45C7" w:rsidRPr="00F62B7E" w:rsidRDefault="00EB45C7" w:rsidP="00EA3809">
      <w:pPr>
        <w:spacing w:after="0"/>
        <w:rPr>
          <w:rFonts w:cs="Times New Roman"/>
          <w:szCs w:val="24"/>
        </w:rPr>
      </w:pPr>
    </w:p>
    <w:p w14:paraId="09C91CE3" w14:textId="06911173" w:rsidR="00994C22" w:rsidRPr="00FF5FCB" w:rsidRDefault="00EB45C7" w:rsidP="00265F89">
      <w:pPr>
        <w:spacing w:after="0" w:line="240" w:lineRule="auto"/>
        <w:ind w:firstLine="567"/>
        <w:jc w:val="both"/>
        <w:rPr>
          <w:rFonts w:cs="Times New Roman"/>
          <w:bCs/>
          <w:szCs w:val="24"/>
        </w:rPr>
      </w:pPr>
      <w:r w:rsidRPr="00FF5FCB">
        <w:rPr>
          <w:rFonts w:cs="Times New Roman"/>
          <w:szCs w:val="24"/>
        </w:rPr>
        <w:t>Ārpus krimināltiesis</w:t>
      </w:r>
      <w:r w:rsidR="00994C22">
        <w:rPr>
          <w:rFonts w:cs="Times New Roman"/>
          <w:szCs w:val="24"/>
        </w:rPr>
        <w:t>kās jomas</w:t>
      </w:r>
      <w:r w:rsidRPr="00FF5FCB">
        <w:rPr>
          <w:rFonts w:cs="Times New Roman"/>
          <w:szCs w:val="24"/>
        </w:rPr>
        <w:t xml:space="preserve"> prokuratūras darbībā </w:t>
      </w:r>
      <w:r w:rsidRPr="00FF5FCB">
        <w:rPr>
          <w:rFonts w:cs="Times New Roman"/>
          <w:bCs/>
          <w:szCs w:val="24"/>
        </w:rPr>
        <w:t>ir gan Civilprocesa likumā paredzēto tiesību un pienākumu īstenošana (piemēram, prokurors var celt prasību tiesā vai iesniegt pieteikumu, ja ir konstatēts likuma pārkāpums, bet prokurors ar saviem procesuālajiem līdzekļiem nav varējis novērst tā sekas; ja ir aizskartas tādu personu tiesības, kuras pašas nespēj sevi aizstāvēt; tas ir nepieciešams likumā noteikto valsts vai pašvaldības tiesību un interešu aizsardzībai; prokuroram ir pienākums piedalīties, ja to par nepieciešamu atzinusi tiesa), gan arī citos virzienos īstenojamā prokurora uzraudzība personu un valsts tiesību un likumīgo interešu aizsardzībai (piemēram, kad saņemta informācija par likuma pārkāpumu Prokuratūras likumā noteiktās kompetences ietvaros vai personas iesniegums, kurš jau izskatīts kompetentā valsts institūcijā un saņemts tās atteikums novērst iesniegumā minēto likuma pārkāpumu,  vai uzdevums (ģenerālprokurora, virsprokurora, Valsts prezidenta, Saeimas, Ministru kabineta) pārbaudīt faktus par likuma pārkāpumu).</w:t>
      </w:r>
    </w:p>
    <w:p w14:paraId="3B1573C2" w14:textId="6D1939A5" w:rsidR="00685A28" w:rsidRPr="00EC7ED2" w:rsidRDefault="00EB45C7" w:rsidP="00EA3809">
      <w:pPr>
        <w:spacing w:before="120" w:after="0" w:line="240" w:lineRule="auto"/>
        <w:ind w:firstLine="567"/>
        <w:jc w:val="both"/>
        <w:rPr>
          <w:rFonts w:cs="Times New Roman"/>
          <w:bCs/>
          <w:szCs w:val="24"/>
        </w:rPr>
      </w:pPr>
      <w:r w:rsidRPr="00EC7ED2">
        <w:rPr>
          <w:rFonts w:cs="Times New Roman"/>
          <w:bCs/>
          <w:szCs w:val="24"/>
        </w:rPr>
        <w:t xml:space="preserve">Prokurora pilnvaras (tiesības un pienākumus) minēto </w:t>
      </w:r>
      <w:r w:rsidR="00994C22" w:rsidRPr="00EC7ED2">
        <w:rPr>
          <w:rFonts w:cs="Times New Roman"/>
          <w:bCs/>
          <w:szCs w:val="24"/>
        </w:rPr>
        <w:t>p</w:t>
      </w:r>
      <w:r w:rsidRPr="00EC7ED2">
        <w:rPr>
          <w:rFonts w:cs="Times New Roman"/>
          <w:bCs/>
          <w:szCs w:val="24"/>
        </w:rPr>
        <w:t>rokuratūras funkciju pildīšanai</w:t>
      </w:r>
      <w:r w:rsidR="00685A28" w:rsidRPr="00EC7ED2">
        <w:rPr>
          <w:rFonts w:cs="Times New Roman"/>
          <w:bCs/>
          <w:szCs w:val="24"/>
        </w:rPr>
        <w:t xml:space="preserve"> </w:t>
      </w:r>
      <w:r w:rsidRPr="00EC7ED2">
        <w:rPr>
          <w:rFonts w:cs="Times New Roman"/>
          <w:bCs/>
          <w:szCs w:val="24"/>
        </w:rPr>
        <w:t>bez Prokuratūras likuma paredz arī citi attiecīgo jomu reglamentējoši</w:t>
      </w:r>
      <w:r w:rsidR="00773CCA">
        <w:rPr>
          <w:rFonts w:cs="Times New Roman"/>
          <w:bCs/>
          <w:szCs w:val="24"/>
        </w:rPr>
        <w:t>e</w:t>
      </w:r>
      <w:r w:rsidRPr="00EC7ED2">
        <w:rPr>
          <w:rFonts w:cs="Times New Roman"/>
          <w:bCs/>
          <w:szCs w:val="24"/>
        </w:rPr>
        <w:t xml:space="preserve"> likumi, piemēram, Kriminālprocesa likums, Civilprocesa likums, Operatīvās darbības likums, Parlamentārās izmeklēšanas komisiju likums, Administratīvās atbildības likums </w:t>
      </w:r>
      <w:r w:rsidR="00685A28" w:rsidRPr="00EC7ED2">
        <w:rPr>
          <w:rFonts w:cs="Times New Roman"/>
          <w:bCs/>
          <w:szCs w:val="24"/>
        </w:rPr>
        <w:t>(</w:t>
      </w:r>
      <w:r w:rsidR="004C34E0" w:rsidRPr="00EC7ED2">
        <w:rPr>
          <w:rFonts w:cs="Times New Roman"/>
          <w:bCs/>
          <w:szCs w:val="24"/>
        </w:rPr>
        <w:t>līdz 2020. gada 30. jūnijam arī</w:t>
      </w:r>
      <w:r w:rsidRPr="00EC7ED2">
        <w:rPr>
          <w:rFonts w:cs="Times New Roman"/>
          <w:bCs/>
          <w:szCs w:val="24"/>
        </w:rPr>
        <w:t xml:space="preserve"> Latvijas</w:t>
      </w:r>
      <w:r w:rsidR="004C34E0" w:rsidRPr="00EC7ED2">
        <w:rPr>
          <w:rFonts w:cs="Times New Roman"/>
          <w:bCs/>
          <w:szCs w:val="24"/>
        </w:rPr>
        <w:t xml:space="preserve"> </w:t>
      </w:r>
      <w:r w:rsidRPr="00EC7ED2">
        <w:rPr>
          <w:rFonts w:cs="Times New Roman"/>
          <w:bCs/>
          <w:szCs w:val="24"/>
        </w:rPr>
        <w:t>Administratīvo pārkāpumu kodekss</w:t>
      </w:r>
      <w:r w:rsidR="004C34E0" w:rsidRPr="00EC7ED2">
        <w:rPr>
          <w:rFonts w:cs="Times New Roman"/>
          <w:bCs/>
          <w:szCs w:val="24"/>
        </w:rPr>
        <w:t xml:space="preserve"> (turpmāk – LAPK)</w:t>
      </w:r>
      <w:r w:rsidR="00685A28" w:rsidRPr="00EC7ED2">
        <w:rPr>
          <w:rFonts w:cs="Times New Roman"/>
          <w:bCs/>
          <w:szCs w:val="24"/>
        </w:rPr>
        <w:t>)</w:t>
      </w:r>
      <w:r w:rsidRPr="00EC7ED2">
        <w:rPr>
          <w:rFonts w:cs="Times New Roman"/>
          <w:bCs/>
          <w:szCs w:val="24"/>
        </w:rPr>
        <w:t>.</w:t>
      </w:r>
    </w:p>
    <w:p w14:paraId="679D848D" w14:textId="1539D67C" w:rsidR="00970D9A" w:rsidRPr="00EC7ED2" w:rsidRDefault="00EB45C7" w:rsidP="00265F89">
      <w:pPr>
        <w:spacing w:after="0" w:line="240" w:lineRule="auto"/>
        <w:ind w:firstLine="567"/>
        <w:jc w:val="both"/>
        <w:rPr>
          <w:rFonts w:cs="Times New Roman"/>
          <w:bCs/>
          <w:szCs w:val="24"/>
        </w:rPr>
      </w:pPr>
      <w:r w:rsidRPr="00EC7ED2">
        <w:rPr>
          <w:rFonts w:cs="Times New Roman"/>
          <w:bCs/>
          <w:szCs w:val="24"/>
        </w:rPr>
        <w:t>2020.</w:t>
      </w:r>
      <w:r w:rsidR="00685A28" w:rsidRPr="00EC7ED2">
        <w:rPr>
          <w:rFonts w:cs="Times New Roman"/>
          <w:bCs/>
          <w:szCs w:val="24"/>
        </w:rPr>
        <w:t> </w:t>
      </w:r>
      <w:r w:rsidRPr="00EC7ED2">
        <w:rPr>
          <w:rFonts w:cs="Times New Roman"/>
          <w:bCs/>
          <w:szCs w:val="24"/>
        </w:rPr>
        <w:t>gadā prokurori piedalījušies 639</w:t>
      </w:r>
      <w:r w:rsidR="00685A28" w:rsidRPr="00EC7ED2">
        <w:rPr>
          <w:rFonts w:cs="Times New Roman"/>
          <w:bCs/>
          <w:szCs w:val="24"/>
        </w:rPr>
        <w:t> </w:t>
      </w:r>
      <w:r w:rsidRPr="00EC7ED2">
        <w:rPr>
          <w:rFonts w:cs="Times New Roman"/>
          <w:bCs/>
          <w:szCs w:val="24"/>
        </w:rPr>
        <w:t>civillietu izskatīšanā pirmās instances tiesā, kas salīdzin</w:t>
      </w:r>
      <w:r w:rsidR="00970D9A" w:rsidRPr="00EC7ED2">
        <w:rPr>
          <w:rFonts w:cs="Times New Roman"/>
          <w:bCs/>
          <w:szCs w:val="24"/>
        </w:rPr>
        <w:t>ājumā</w:t>
      </w:r>
      <w:r w:rsidRPr="00EC7ED2">
        <w:rPr>
          <w:rFonts w:cs="Times New Roman"/>
          <w:bCs/>
          <w:szCs w:val="24"/>
        </w:rPr>
        <w:t xml:space="preserve"> ar 2019.</w:t>
      </w:r>
      <w:r w:rsidR="00685A28" w:rsidRPr="00EC7ED2">
        <w:rPr>
          <w:rFonts w:cs="Times New Roman"/>
          <w:bCs/>
          <w:szCs w:val="24"/>
        </w:rPr>
        <w:t> </w:t>
      </w:r>
      <w:r w:rsidRPr="00EC7ED2">
        <w:rPr>
          <w:rFonts w:cs="Times New Roman"/>
          <w:bCs/>
          <w:szCs w:val="24"/>
        </w:rPr>
        <w:t>gadā izskatītu 601 civillietu ir par 38</w:t>
      </w:r>
      <w:r w:rsidR="00685A28" w:rsidRPr="00EC7ED2">
        <w:rPr>
          <w:rFonts w:cs="Times New Roman"/>
          <w:bCs/>
          <w:szCs w:val="24"/>
        </w:rPr>
        <w:t> </w:t>
      </w:r>
      <w:r w:rsidRPr="00EC7ED2">
        <w:rPr>
          <w:rFonts w:cs="Times New Roman"/>
          <w:bCs/>
          <w:szCs w:val="24"/>
        </w:rPr>
        <w:t>lietām jeb 5,9</w:t>
      </w:r>
      <w:r w:rsidR="00685A28" w:rsidRPr="00EC7ED2">
        <w:rPr>
          <w:rFonts w:cs="Times New Roman"/>
          <w:bCs/>
          <w:szCs w:val="24"/>
        </w:rPr>
        <w:t> </w:t>
      </w:r>
      <w:r w:rsidRPr="00EC7ED2">
        <w:rPr>
          <w:rFonts w:cs="Times New Roman"/>
          <w:bCs/>
          <w:szCs w:val="24"/>
        </w:rPr>
        <w:t>%</w:t>
      </w:r>
      <w:r w:rsidR="000E24FB" w:rsidRPr="00EC7ED2">
        <w:rPr>
          <w:rFonts w:cs="Times New Roman"/>
          <w:bCs/>
          <w:szCs w:val="24"/>
        </w:rPr>
        <w:t xml:space="preserve"> vairāk</w:t>
      </w:r>
      <w:r w:rsidRPr="00EC7ED2">
        <w:rPr>
          <w:rFonts w:cs="Times New Roman"/>
          <w:bCs/>
          <w:szCs w:val="24"/>
        </w:rPr>
        <w:t>. No tām 577</w:t>
      </w:r>
      <w:r w:rsidR="00685A28" w:rsidRPr="00EC7ED2">
        <w:rPr>
          <w:rFonts w:cs="Times New Roman"/>
          <w:bCs/>
          <w:szCs w:val="24"/>
        </w:rPr>
        <w:t> </w:t>
      </w:r>
      <w:r w:rsidRPr="00EC7ED2">
        <w:rPr>
          <w:rFonts w:cs="Times New Roman"/>
          <w:bCs/>
          <w:szCs w:val="24"/>
        </w:rPr>
        <w:t>lietās prokurors piedalījies saskaņā ar likumā noteikto obligāto piedalīšanos, 55</w:t>
      </w:r>
      <w:r w:rsidR="00685A28" w:rsidRPr="00EC7ED2">
        <w:rPr>
          <w:rFonts w:cs="Times New Roman"/>
          <w:bCs/>
          <w:szCs w:val="24"/>
        </w:rPr>
        <w:t> </w:t>
      </w:r>
      <w:r w:rsidRPr="00EC7ED2">
        <w:rPr>
          <w:rFonts w:cs="Times New Roman"/>
          <w:bCs/>
          <w:szCs w:val="24"/>
        </w:rPr>
        <w:t>lietās saistībā ar paša iesniegto pieteikumu, 7</w:t>
      </w:r>
      <w:r w:rsidR="00685A28" w:rsidRPr="00EC7ED2">
        <w:rPr>
          <w:rFonts w:cs="Times New Roman"/>
          <w:bCs/>
          <w:szCs w:val="24"/>
        </w:rPr>
        <w:t> </w:t>
      </w:r>
      <w:r w:rsidRPr="00EC7ED2">
        <w:rPr>
          <w:rFonts w:cs="Times New Roman"/>
          <w:bCs/>
          <w:szCs w:val="24"/>
        </w:rPr>
        <w:t xml:space="preserve">lietās saistībā ar to, ka prokurora piedalīšanās tiesā nepieciešamību atzinusi tiesa. </w:t>
      </w:r>
    </w:p>
    <w:p w14:paraId="53BA051E" w14:textId="5BC2242D" w:rsidR="00970D9A" w:rsidRPr="00EC7ED2" w:rsidRDefault="00EB45C7" w:rsidP="00265F89">
      <w:pPr>
        <w:spacing w:after="0" w:line="240" w:lineRule="auto"/>
        <w:ind w:firstLine="567"/>
        <w:jc w:val="both"/>
        <w:rPr>
          <w:rFonts w:cs="Times New Roman"/>
          <w:bCs/>
          <w:szCs w:val="24"/>
        </w:rPr>
      </w:pPr>
      <w:r w:rsidRPr="00EC7ED2">
        <w:rPr>
          <w:rFonts w:cs="Times New Roman"/>
          <w:bCs/>
          <w:szCs w:val="24"/>
        </w:rPr>
        <w:t>Apelācijas instances tiesā prokurori piedalījušies 13</w:t>
      </w:r>
      <w:r w:rsidR="00773CCA">
        <w:rPr>
          <w:rFonts w:cs="Times New Roman"/>
          <w:bCs/>
          <w:szCs w:val="24"/>
        </w:rPr>
        <w:t> </w:t>
      </w:r>
      <w:r w:rsidRPr="00EC7ED2">
        <w:rPr>
          <w:rFonts w:cs="Times New Roman"/>
          <w:bCs/>
          <w:szCs w:val="24"/>
        </w:rPr>
        <w:t>civillietu izskatīšanā, kas salīdzin</w:t>
      </w:r>
      <w:r w:rsidR="00970D9A" w:rsidRPr="00EC7ED2">
        <w:rPr>
          <w:rFonts w:cs="Times New Roman"/>
          <w:bCs/>
          <w:szCs w:val="24"/>
        </w:rPr>
        <w:t xml:space="preserve">ājumā </w:t>
      </w:r>
      <w:r w:rsidRPr="00EC7ED2">
        <w:rPr>
          <w:rFonts w:cs="Times New Roman"/>
          <w:bCs/>
          <w:szCs w:val="24"/>
        </w:rPr>
        <w:t>ar 2019.</w:t>
      </w:r>
      <w:r w:rsidR="00970D9A" w:rsidRPr="00EC7ED2">
        <w:rPr>
          <w:rFonts w:cs="Times New Roman"/>
          <w:bCs/>
          <w:szCs w:val="24"/>
        </w:rPr>
        <w:t> </w:t>
      </w:r>
      <w:r w:rsidRPr="00EC7ED2">
        <w:rPr>
          <w:rFonts w:cs="Times New Roman"/>
          <w:bCs/>
          <w:szCs w:val="24"/>
        </w:rPr>
        <w:t>gadā izskatītajām 14</w:t>
      </w:r>
      <w:r w:rsidR="00970D9A" w:rsidRPr="00EC7ED2">
        <w:rPr>
          <w:rFonts w:cs="Times New Roman"/>
          <w:bCs/>
          <w:szCs w:val="24"/>
        </w:rPr>
        <w:t> </w:t>
      </w:r>
      <w:r w:rsidRPr="00EC7ED2">
        <w:rPr>
          <w:rFonts w:cs="Times New Roman"/>
          <w:bCs/>
          <w:szCs w:val="24"/>
        </w:rPr>
        <w:t xml:space="preserve">civillietām ir par </w:t>
      </w:r>
      <w:r w:rsidR="000E24FB" w:rsidRPr="00EC7ED2">
        <w:rPr>
          <w:bCs/>
        </w:rPr>
        <w:t>1 </w:t>
      </w:r>
      <w:r w:rsidRPr="00EC7ED2">
        <w:rPr>
          <w:bCs/>
        </w:rPr>
        <w:t>lietu</w:t>
      </w:r>
      <w:r w:rsidR="00970D9A" w:rsidRPr="00EC7ED2">
        <w:rPr>
          <w:rFonts w:cs="Times New Roman"/>
          <w:bCs/>
          <w:szCs w:val="24"/>
        </w:rPr>
        <w:t xml:space="preserve"> </w:t>
      </w:r>
      <w:r w:rsidRPr="00EC7ED2">
        <w:rPr>
          <w:rFonts w:cs="Times New Roman"/>
          <w:bCs/>
          <w:szCs w:val="24"/>
        </w:rPr>
        <w:t>jeb 7,1</w:t>
      </w:r>
      <w:r w:rsidR="00970D9A" w:rsidRPr="00EC7ED2">
        <w:rPr>
          <w:rFonts w:cs="Times New Roman"/>
          <w:bCs/>
          <w:szCs w:val="24"/>
        </w:rPr>
        <w:t> </w:t>
      </w:r>
      <w:r w:rsidRPr="00EC7ED2">
        <w:rPr>
          <w:rFonts w:cs="Times New Roman"/>
          <w:bCs/>
          <w:szCs w:val="24"/>
        </w:rPr>
        <w:t>%</w:t>
      </w:r>
      <w:r w:rsidR="000E24FB" w:rsidRPr="00EC7ED2">
        <w:rPr>
          <w:rFonts w:cs="Times New Roman"/>
          <w:bCs/>
          <w:szCs w:val="24"/>
        </w:rPr>
        <w:t xml:space="preserve"> mazāk</w:t>
      </w:r>
      <w:r w:rsidRPr="00EC7ED2">
        <w:rPr>
          <w:rFonts w:cs="Times New Roman"/>
          <w:bCs/>
          <w:szCs w:val="24"/>
        </w:rPr>
        <w:t>.</w:t>
      </w:r>
    </w:p>
    <w:p w14:paraId="12543234" w14:textId="4FFBA540" w:rsidR="00EB45C7" w:rsidRPr="00EC7ED2" w:rsidRDefault="00EB45C7" w:rsidP="00265F89">
      <w:pPr>
        <w:spacing w:after="0" w:line="240" w:lineRule="auto"/>
        <w:ind w:firstLine="567"/>
        <w:jc w:val="both"/>
        <w:rPr>
          <w:rFonts w:cs="Times New Roman"/>
          <w:bCs/>
          <w:szCs w:val="24"/>
        </w:rPr>
      </w:pPr>
      <w:r w:rsidRPr="00EC7ED2">
        <w:rPr>
          <w:rFonts w:cs="Times New Roman"/>
          <w:bCs/>
          <w:szCs w:val="24"/>
        </w:rPr>
        <w:t>Kasācijas instances tiesā prokurori piedalījušies 33</w:t>
      </w:r>
      <w:r w:rsidR="00970D9A" w:rsidRPr="00EC7ED2">
        <w:rPr>
          <w:rFonts w:cs="Times New Roman"/>
          <w:bCs/>
          <w:szCs w:val="24"/>
        </w:rPr>
        <w:t> </w:t>
      </w:r>
      <w:r w:rsidRPr="00EC7ED2">
        <w:rPr>
          <w:rFonts w:cs="Times New Roman"/>
          <w:bCs/>
          <w:szCs w:val="24"/>
        </w:rPr>
        <w:t>lietu izskatīšanā, kas salīdzin</w:t>
      </w:r>
      <w:r w:rsidR="00970D9A" w:rsidRPr="00EC7ED2">
        <w:rPr>
          <w:rFonts w:cs="Times New Roman"/>
          <w:bCs/>
          <w:szCs w:val="24"/>
        </w:rPr>
        <w:t>ājumā</w:t>
      </w:r>
      <w:r w:rsidRPr="00EC7ED2">
        <w:rPr>
          <w:rFonts w:cs="Times New Roman"/>
          <w:bCs/>
          <w:szCs w:val="24"/>
        </w:rPr>
        <w:t xml:space="preserve"> ar 2019.</w:t>
      </w:r>
      <w:r w:rsidR="00970D9A" w:rsidRPr="00EC7ED2">
        <w:rPr>
          <w:rFonts w:cs="Times New Roman"/>
          <w:bCs/>
          <w:szCs w:val="24"/>
        </w:rPr>
        <w:t> </w:t>
      </w:r>
      <w:r w:rsidRPr="00EC7ED2">
        <w:rPr>
          <w:rFonts w:cs="Times New Roman"/>
          <w:bCs/>
          <w:szCs w:val="24"/>
        </w:rPr>
        <w:t xml:space="preserve">gadā izskatīto 31 lietu ir par </w:t>
      </w:r>
      <w:r w:rsidR="000E24FB" w:rsidRPr="00EC7ED2">
        <w:rPr>
          <w:rFonts w:cs="Times New Roman"/>
          <w:bCs/>
          <w:szCs w:val="24"/>
        </w:rPr>
        <w:t>2 </w:t>
      </w:r>
      <w:r w:rsidRPr="00EC7ED2">
        <w:rPr>
          <w:rFonts w:cs="Times New Roman"/>
          <w:bCs/>
          <w:szCs w:val="24"/>
        </w:rPr>
        <w:t>lietām</w:t>
      </w:r>
      <w:r w:rsidR="00265F89" w:rsidRPr="00EC7ED2">
        <w:rPr>
          <w:rFonts w:cs="Times New Roman"/>
          <w:bCs/>
          <w:szCs w:val="24"/>
        </w:rPr>
        <w:t xml:space="preserve"> </w:t>
      </w:r>
      <w:r w:rsidRPr="00EC7ED2">
        <w:rPr>
          <w:rFonts w:cs="Times New Roman"/>
          <w:bCs/>
          <w:szCs w:val="24"/>
        </w:rPr>
        <w:t>jeb 6,5</w:t>
      </w:r>
      <w:r w:rsidR="00265F89" w:rsidRPr="00EC7ED2">
        <w:rPr>
          <w:rFonts w:cs="Times New Roman"/>
          <w:bCs/>
          <w:szCs w:val="24"/>
        </w:rPr>
        <w:t> </w:t>
      </w:r>
      <w:r w:rsidRPr="00EC7ED2">
        <w:rPr>
          <w:rFonts w:cs="Times New Roman"/>
          <w:bCs/>
          <w:szCs w:val="24"/>
        </w:rPr>
        <w:t>%</w:t>
      </w:r>
      <w:r w:rsidR="000E24FB" w:rsidRPr="00EC7ED2">
        <w:rPr>
          <w:rFonts w:cs="Times New Roman"/>
          <w:bCs/>
          <w:szCs w:val="24"/>
        </w:rPr>
        <w:t xml:space="preserve"> mazāk</w:t>
      </w:r>
      <w:r w:rsidRPr="00EC7ED2">
        <w:rPr>
          <w:rFonts w:cs="Times New Roman"/>
          <w:bCs/>
          <w:szCs w:val="24"/>
        </w:rPr>
        <w:t>.</w:t>
      </w:r>
    </w:p>
    <w:p w14:paraId="1AB4CB8D" w14:textId="77777777" w:rsidR="00265F89" w:rsidRPr="00C57B98" w:rsidRDefault="00265F89" w:rsidP="00265F89">
      <w:pPr>
        <w:spacing w:after="0" w:line="240" w:lineRule="auto"/>
        <w:ind w:firstLine="567"/>
        <w:jc w:val="both"/>
        <w:rPr>
          <w:rFonts w:cs="Times New Roman"/>
          <w:szCs w:val="24"/>
        </w:rPr>
      </w:pPr>
    </w:p>
    <w:p w14:paraId="4316A140" w14:textId="0B11D008" w:rsidR="00EB45C7" w:rsidRPr="00EC7ED2" w:rsidRDefault="00EB45C7" w:rsidP="00265F89">
      <w:pPr>
        <w:spacing w:after="0" w:line="240" w:lineRule="auto"/>
        <w:ind w:firstLine="567"/>
        <w:jc w:val="both"/>
        <w:rPr>
          <w:rFonts w:cs="Times New Roman"/>
          <w:szCs w:val="24"/>
        </w:rPr>
      </w:pPr>
      <w:r w:rsidRPr="00EC7ED2">
        <w:rPr>
          <w:rFonts w:cs="Times New Roman"/>
          <w:szCs w:val="24"/>
        </w:rPr>
        <w:lastRenderedPageBreak/>
        <w:t>2020.</w:t>
      </w:r>
      <w:r w:rsidR="00265F89" w:rsidRPr="00EC7ED2">
        <w:rPr>
          <w:rFonts w:cs="Times New Roman"/>
          <w:szCs w:val="24"/>
        </w:rPr>
        <w:t> </w:t>
      </w:r>
      <w:r w:rsidRPr="00EC7ED2">
        <w:rPr>
          <w:rFonts w:cs="Times New Roman"/>
          <w:szCs w:val="24"/>
        </w:rPr>
        <w:t>gadā prokurori piedalījušies 18</w:t>
      </w:r>
      <w:r w:rsidR="00265F89" w:rsidRPr="00EC7ED2">
        <w:rPr>
          <w:rFonts w:cs="Times New Roman"/>
          <w:szCs w:val="24"/>
        </w:rPr>
        <w:t> </w:t>
      </w:r>
      <w:r w:rsidRPr="00EC7ED2">
        <w:rPr>
          <w:rFonts w:cs="Times New Roman"/>
          <w:szCs w:val="24"/>
        </w:rPr>
        <w:t xml:space="preserve">administratīvo </w:t>
      </w:r>
      <w:r w:rsidR="00265F89" w:rsidRPr="00EC7ED2">
        <w:rPr>
          <w:rFonts w:cs="Times New Roman"/>
          <w:szCs w:val="24"/>
        </w:rPr>
        <w:t xml:space="preserve">lietu </w:t>
      </w:r>
      <w:r w:rsidRPr="00EC7ED2">
        <w:rPr>
          <w:rFonts w:cs="Times New Roman"/>
          <w:szCs w:val="24"/>
        </w:rPr>
        <w:t>un administratīvo pārkāpumu lietu izskatīšanā pirmās instances tiesā, kas salīdzin</w:t>
      </w:r>
      <w:r w:rsidR="00265F89" w:rsidRPr="00EC7ED2">
        <w:rPr>
          <w:rFonts w:cs="Times New Roman"/>
          <w:szCs w:val="24"/>
        </w:rPr>
        <w:t>ājumā</w:t>
      </w:r>
      <w:r w:rsidRPr="00EC7ED2">
        <w:rPr>
          <w:rFonts w:cs="Times New Roman"/>
          <w:szCs w:val="24"/>
        </w:rPr>
        <w:t xml:space="preserve"> ar 2019.</w:t>
      </w:r>
      <w:r w:rsidR="00265F89" w:rsidRPr="00EC7ED2">
        <w:rPr>
          <w:rFonts w:cs="Times New Roman"/>
          <w:szCs w:val="24"/>
        </w:rPr>
        <w:t> </w:t>
      </w:r>
      <w:r w:rsidRPr="00EC7ED2">
        <w:rPr>
          <w:rFonts w:cs="Times New Roman"/>
          <w:szCs w:val="24"/>
        </w:rPr>
        <w:t>gadā izskatītajām 15</w:t>
      </w:r>
      <w:r w:rsidR="00265F89" w:rsidRPr="00EC7ED2">
        <w:rPr>
          <w:rFonts w:cs="Times New Roman"/>
          <w:szCs w:val="24"/>
        </w:rPr>
        <w:t> </w:t>
      </w:r>
      <w:r w:rsidRPr="00EC7ED2">
        <w:rPr>
          <w:rFonts w:cs="Times New Roman"/>
          <w:szCs w:val="24"/>
        </w:rPr>
        <w:t>lietām ir par 3</w:t>
      </w:r>
      <w:r w:rsidR="00265F89" w:rsidRPr="00EC7ED2">
        <w:rPr>
          <w:rFonts w:cs="Times New Roman"/>
          <w:szCs w:val="24"/>
        </w:rPr>
        <w:t xml:space="preserve"> </w:t>
      </w:r>
      <w:r w:rsidRPr="00EC7ED2">
        <w:rPr>
          <w:rFonts w:cs="Times New Roman"/>
          <w:szCs w:val="24"/>
        </w:rPr>
        <w:t>lietām jeb 20</w:t>
      </w:r>
      <w:r w:rsidR="00265F89" w:rsidRPr="00EC7ED2">
        <w:rPr>
          <w:rFonts w:cs="Times New Roman"/>
          <w:szCs w:val="24"/>
        </w:rPr>
        <w:t> </w:t>
      </w:r>
      <w:r w:rsidRPr="00EC7ED2">
        <w:rPr>
          <w:rFonts w:cs="Times New Roman"/>
          <w:szCs w:val="24"/>
        </w:rPr>
        <w:t>%</w:t>
      </w:r>
      <w:r w:rsidR="00EC346E" w:rsidRPr="00EC7ED2">
        <w:rPr>
          <w:rFonts w:cs="Times New Roman"/>
          <w:szCs w:val="24"/>
        </w:rPr>
        <w:t xml:space="preserve"> vairāk</w:t>
      </w:r>
      <w:r w:rsidRPr="00EC7ED2">
        <w:rPr>
          <w:rFonts w:cs="Times New Roman"/>
          <w:szCs w:val="24"/>
        </w:rPr>
        <w:t>.</w:t>
      </w:r>
    </w:p>
    <w:p w14:paraId="320A4C04" w14:textId="130BE251" w:rsidR="00731858" w:rsidRPr="00EC7ED2" w:rsidRDefault="00EB45C7" w:rsidP="00EA3809">
      <w:pPr>
        <w:spacing w:after="0" w:line="240" w:lineRule="auto"/>
        <w:ind w:firstLine="567"/>
        <w:jc w:val="both"/>
        <w:rPr>
          <w:rFonts w:cs="Times New Roman"/>
          <w:szCs w:val="24"/>
        </w:rPr>
      </w:pPr>
      <w:r w:rsidRPr="00EC7ED2">
        <w:rPr>
          <w:rFonts w:cs="Times New Roman"/>
          <w:szCs w:val="24"/>
        </w:rPr>
        <w:t>Apelācijas instances tiesā prokurori piedalījušies 20</w:t>
      </w:r>
      <w:r w:rsidR="00265F89" w:rsidRPr="00EC7ED2">
        <w:rPr>
          <w:rFonts w:cs="Times New Roman"/>
          <w:szCs w:val="24"/>
        </w:rPr>
        <w:t> </w:t>
      </w:r>
      <w:r w:rsidRPr="00EC7ED2">
        <w:rPr>
          <w:rFonts w:cs="Times New Roman"/>
          <w:szCs w:val="24"/>
        </w:rPr>
        <w:t xml:space="preserve">administratīvo </w:t>
      </w:r>
      <w:r w:rsidR="00265F89" w:rsidRPr="00EC7ED2">
        <w:rPr>
          <w:rFonts w:cs="Times New Roman"/>
          <w:szCs w:val="24"/>
        </w:rPr>
        <w:t xml:space="preserve">lietu </w:t>
      </w:r>
      <w:r w:rsidRPr="00EC7ED2">
        <w:rPr>
          <w:rFonts w:cs="Times New Roman"/>
          <w:szCs w:val="24"/>
        </w:rPr>
        <w:t xml:space="preserve">un administratīvo pārkāpumu lietu izskatīšanā un kasācijas instances tiesā </w:t>
      </w:r>
      <w:r w:rsidR="00731858" w:rsidRPr="00EC7ED2">
        <w:rPr>
          <w:rFonts w:cs="Times New Roman"/>
          <w:szCs w:val="24"/>
        </w:rPr>
        <w:t>– 1 </w:t>
      </w:r>
      <w:r w:rsidRPr="00EC7ED2">
        <w:rPr>
          <w:rFonts w:cs="Times New Roman"/>
          <w:szCs w:val="24"/>
        </w:rPr>
        <w:t>administratīvās lietas izskatīšanā.</w:t>
      </w:r>
    </w:p>
    <w:p w14:paraId="4D50322C" w14:textId="0075F022" w:rsidR="00EB45C7" w:rsidRPr="00EC7ED2" w:rsidRDefault="00EB45C7" w:rsidP="00EA3809">
      <w:pPr>
        <w:spacing w:before="120" w:after="0" w:line="240" w:lineRule="auto"/>
        <w:ind w:firstLine="567"/>
        <w:jc w:val="both"/>
        <w:rPr>
          <w:rFonts w:cs="Times New Roman"/>
          <w:szCs w:val="24"/>
        </w:rPr>
      </w:pPr>
      <w:r w:rsidRPr="00EC7ED2">
        <w:rPr>
          <w:rFonts w:cs="Times New Roman"/>
          <w:szCs w:val="24"/>
        </w:rPr>
        <w:t>Ārstniecības likuma 68.</w:t>
      </w:r>
      <w:r w:rsidR="00731858" w:rsidRPr="00EC7ED2">
        <w:rPr>
          <w:rFonts w:cs="Times New Roman"/>
          <w:szCs w:val="24"/>
        </w:rPr>
        <w:t> </w:t>
      </w:r>
      <w:r w:rsidRPr="00EC7ED2">
        <w:rPr>
          <w:rFonts w:cs="Times New Roman"/>
          <w:szCs w:val="24"/>
        </w:rPr>
        <w:t>panta kārtībā (psihiatriskās palīdzības sniegšana bez pacienta piekrišanas) prokurori 2020.</w:t>
      </w:r>
      <w:r w:rsidR="00731858" w:rsidRPr="00EC7ED2">
        <w:rPr>
          <w:rFonts w:cs="Times New Roman"/>
          <w:szCs w:val="24"/>
        </w:rPr>
        <w:t> </w:t>
      </w:r>
      <w:r w:rsidRPr="00EC7ED2">
        <w:rPr>
          <w:rFonts w:cs="Times New Roman"/>
          <w:szCs w:val="24"/>
        </w:rPr>
        <w:t xml:space="preserve">gadā tiesā lēmuma pieņemšanā piedalījušies 120 reizes. </w:t>
      </w:r>
    </w:p>
    <w:p w14:paraId="18A1A963" w14:textId="49B5EE08" w:rsidR="00EB45C7" w:rsidRPr="00EC7ED2" w:rsidRDefault="00EB45C7" w:rsidP="00EA3809">
      <w:pPr>
        <w:spacing w:before="120" w:after="0" w:line="240" w:lineRule="auto"/>
        <w:ind w:firstLine="567"/>
        <w:jc w:val="both"/>
        <w:rPr>
          <w:rFonts w:cs="Times New Roman"/>
          <w:szCs w:val="24"/>
        </w:rPr>
      </w:pPr>
      <w:r w:rsidRPr="00EC7ED2">
        <w:rPr>
          <w:rFonts w:cs="Times New Roman"/>
          <w:szCs w:val="24"/>
        </w:rPr>
        <w:t>Prokuratūrā 2020.</w:t>
      </w:r>
      <w:r w:rsidR="00731858" w:rsidRPr="00EC7ED2">
        <w:rPr>
          <w:rFonts w:cs="Times New Roman"/>
          <w:szCs w:val="24"/>
        </w:rPr>
        <w:t> </w:t>
      </w:r>
      <w:r w:rsidRPr="00EC7ED2">
        <w:rPr>
          <w:rFonts w:cs="Times New Roman"/>
          <w:szCs w:val="24"/>
        </w:rPr>
        <w:t>gadā izskatītas (pārbaudītas) 11</w:t>
      </w:r>
      <w:r w:rsidR="00731858" w:rsidRPr="00EC7ED2">
        <w:rPr>
          <w:rFonts w:cs="Times New Roman"/>
          <w:szCs w:val="24"/>
        </w:rPr>
        <w:t> </w:t>
      </w:r>
      <w:r w:rsidRPr="00EC7ED2">
        <w:rPr>
          <w:rFonts w:cs="Times New Roman"/>
          <w:szCs w:val="24"/>
        </w:rPr>
        <w:t>372</w:t>
      </w:r>
      <w:r w:rsidR="00731858" w:rsidRPr="00EC7ED2">
        <w:rPr>
          <w:rFonts w:cs="Times New Roman"/>
          <w:szCs w:val="24"/>
        </w:rPr>
        <w:t> </w:t>
      </w:r>
      <w:r w:rsidRPr="00EC7ED2">
        <w:rPr>
          <w:rFonts w:cs="Times New Roman"/>
          <w:szCs w:val="24"/>
        </w:rPr>
        <w:t>sūdzības un iesniegumi, kas salīdzin</w:t>
      </w:r>
      <w:r w:rsidR="00731858" w:rsidRPr="00EC7ED2">
        <w:rPr>
          <w:rFonts w:cs="Times New Roman"/>
          <w:szCs w:val="24"/>
        </w:rPr>
        <w:t>ājumā</w:t>
      </w:r>
      <w:r w:rsidRPr="00EC7ED2">
        <w:rPr>
          <w:rFonts w:cs="Times New Roman"/>
          <w:szCs w:val="24"/>
        </w:rPr>
        <w:t xml:space="preserve"> ar 2019.</w:t>
      </w:r>
      <w:r w:rsidR="00731858" w:rsidRPr="00EC7ED2">
        <w:rPr>
          <w:rFonts w:cs="Times New Roman"/>
          <w:szCs w:val="24"/>
        </w:rPr>
        <w:t> </w:t>
      </w:r>
      <w:r w:rsidRPr="00EC7ED2">
        <w:rPr>
          <w:rFonts w:cs="Times New Roman"/>
          <w:szCs w:val="24"/>
        </w:rPr>
        <w:t>gadā saņemtajām 10</w:t>
      </w:r>
      <w:r w:rsidR="00731858" w:rsidRPr="00EC7ED2">
        <w:rPr>
          <w:rFonts w:cs="Times New Roman"/>
          <w:szCs w:val="24"/>
        </w:rPr>
        <w:t xml:space="preserve"> </w:t>
      </w:r>
      <w:r w:rsidRPr="00EC7ED2">
        <w:rPr>
          <w:rFonts w:cs="Times New Roman"/>
          <w:szCs w:val="24"/>
        </w:rPr>
        <w:t>088</w:t>
      </w:r>
      <w:r w:rsidR="00731858" w:rsidRPr="00EC7ED2">
        <w:rPr>
          <w:rFonts w:cs="Times New Roman"/>
          <w:szCs w:val="24"/>
        </w:rPr>
        <w:t> </w:t>
      </w:r>
      <w:r w:rsidRPr="00EC7ED2">
        <w:rPr>
          <w:rFonts w:cs="Times New Roman"/>
          <w:szCs w:val="24"/>
        </w:rPr>
        <w:t>sūdzībām ir par 1284 sūdzībām jeb 12,7</w:t>
      </w:r>
      <w:r w:rsidR="00731858" w:rsidRPr="00EC7ED2">
        <w:rPr>
          <w:rFonts w:cs="Times New Roman"/>
          <w:szCs w:val="24"/>
        </w:rPr>
        <w:t> </w:t>
      </w:r>
      <w:r w:rsidRPr="00EC7ED2">
        <w:rPr>
          <w:rFonts w:cs="Times New Roman"/>
          <w:szCs w:val="24"/>
        </w:rPr>
        <w:t>%</w:t>
      </w:r>
      <w:r w:rsidR="00EC346E" w:rsidRPr="00EC7ED2">
        <w:rPr>
          <w:rFonts w:cs="Times New Roman"/>
          <w:szCs w:val="24"/>
        </w:rPr>
        <w:t xml:space="preserve"> vairāk</w:t>
      </w:r>
      <w:r w:rsidRPr="00EC7ED2">
        <w:rPr>
          <w:rFonts w:cs="Times New Roman"/>
          <w:szCs w:val="24"/>
        </w:rPr>
        <w:t>, tajā skaitā izskatītas 2069</w:t>
      </w:r>
      <w:r w:rsidR="00731858" w:rsidRPr="00EC7ED2">
        <w:rPr>
          <w:rFonts w:cs="Times New Roman"/>
          <w:szCs w:val="24"/>
        </w:rPr>
        <w:t> </w:t>
      </w:r>
      <w:r w:rsidRPr="00EC7ED2">
        <w:rPr>
          <w:rFonts w:cs="Times New Roman"/>
          <w:szCs w:val="24"/>
        </w:rPr>
        <w:t>sūdzības personu un valsts tiesību aizsardzības jomā un citos jautājumos, kas salīdzin</w:t>
      </w:r>
      <w:r w:rsidR="004E728E" w:rsidRPr="00EC7ED2">
        <w:rPr>
          <w:rFonts w:cs="Times New Roman"/>
          <w:szCs w:val="24"/>
        </w:rPr>
        <w:t>ājumā</w:t>
      </w:r>
      <w:r w:rsidRPr="00EC7ED2">
        <w:rPr>
          <w:rFonts w:cs="Times New Roman"/>
          <w:szCs w:val="24"/>
        </w:rPr>
        <w:t xml:space="preserve"> ar 2019.</w:t>
      </w:r>
      <w:r w:rsidR="004E728E" w:rsidRPr="00EC7ED2">
        <w:rPr>
          <w:rFonts w:cs="Times New Roman"/>
          <w:szCs w:val="24"/>
        </w:rPr>
        <w:t> </w:t>
      </w:r>
      <w:r w:rsidRPr="00EC7ED2">
        <w:rPr>
          <w:rFonts w:cs="Times New Roman"/>
          <w:szCs w:val="24"/>
        </w:rPr>
        <w:t>gadā saņemtajām 1969</w:t>
      </w:r>
      <w:r w:rsidR="004E728E" w:rsidRPr="00EC7ED2">
        <w:rPr>
          <w:rFonts w:cs="Times New Roman"/>
          <w:szCs w:val="24"/>
        </w:rPr>
        <w:t> </w:t>
      </w:r>
      <w:r w:rsidRPr="00EC7ED2">
        <w:rPr>
          <w:rFonts w:cs="Times New Roman"/>
          <w:szCs w:val="24"/>
        </w:rPr>
        <w:t>sūdzībām ir par 100</w:t>
      </w:r>
      <w:r w:rsidR="004E728E" w:rsidRPr="00EC7ED2">
        <w:rPr>
          <w:rFonts w:cs="Times New Roman"/>
          <w:szCs w:val="24"/>
        </w:rPr>
        <w:t> </w:t>
      </w:r>
      <w:r w:rsidRPr="00EC7ED2">
        <w:rPr>
          <w:rFonts w:cs="Times New Roman"/>
          <w:szCs w:val="24"/>
        </w:rPr>
        <w:t>sūdzībām jeb 5,1</w:t>
      </w:r>
      <w:r w:rsidR="004E728E" w:rsidRPr="00EC7ED2">
        <w:rPr>
          <w:rFonts w:cs="Times New Roman"/>
          <w:szCs w:val="24"/>
        </w:rPr>
        <w:t> </w:t>
      </w:r>
      <w:r w:rsidRPr="00EC7ED2">
        <w:rPr>
          <w:rFonts w:cs="Times New Roman"/>
          <w:szCs w:val="24"/>
        </w:rPr>
        <w:t>%</w:t>
      </w:r>
      <w:r w:rsidR="00EC346E" w:rsidRPr="00EC7ED2">
        <w:rPr>
          <w:rFonts w:cs="Times New Roman"/>
          <w:szCs w:val="24"/>
        </w:rPr>
        <w:t xml:space="preserve"> vairāk</w:t>
      </w:r>
      <w:r w:rsidRPr="00EC7ED2">
        <w:rPr>
          <w:rFonts w:cs="Times New Roman"/>
          <w:szCs w:val="24"/>
        </w:rPr>
        <w:t>. Statistikā netiek iekļautas sūdzības un iesniegumi, kuras saņemtas prokuratūrā un pēc pārbaudes atstātas bez izskatīšanas</w:t>
      </w:r>
      <w:r w:rsidR="004E728E" w:rsidRPr="00EC7ED2">
        <w:rPr>
          <w:rFonts w:cs="Times New Roman"/>
          <w:szCs w:val="24"/>
        </w:rPr>
        <w:t xml:space="preserve"> </w:t>
      </w:r>
      <w:r w:rsidRPr="00EC7ED2">
        <w:rPr>
          <w:rFonts w:cs="Times New Roman"/>
          <w:szCs w:val="24"/>
        </w:rPr>
        <w:t>vai nosūtītas izskatīšanai pēc piekritības citai institūcijai.</w:t>
      </w:r>
    </w:p>
    <w:p w14:paraId="03F9B70E" w14:textId="7EA45BC9" w:rsidR="005C1B76" w:rsidRPr="00EC7ED2" w:rsidRDefault="00EB45C7" w:rsidP="0052602E">
      <w:pPr>
        <w:spacing w:before="120" w:after="0" w:line="240" w:lineRule="auto"/>
        <w:ind w:firstLine="567"/>
        <w:jc w:val="both"/>
        <w:rPr>
          <w:rFonts w:cs="Times New Roman"/>
          <w:szCs w:val="24"/>
        </w:rPr>
      </w:pPr>
      <w:r w:rsidRPr="00EC7ED2">
        <w:rPr>
          <w:rFonts w:cs="Times New Roman"/>
          <w:szCs w:val="24"/>
        </w:rPr>
        <w:t>2020.</w:t>
      </w:r>
      <w:r w:rsidR="004E728E" w:rsidRPr="00EC7ED2">
        <w:rPr>
          <w:rFonts w:cs="Times New Roman"/>
          <w:szCs w:val="24"/>
        </w:rPr>
        <w:t> </w:t>
      </w:r>
      <w:r w:rsidRPr="00EC7ED2">
        <w:rPr>
          <w:rFonts w:cs="Times New Roman"/>
          <w:szCs w:val="24"/>
        </w:rPr>
        <w:t>gadā prokurori iesnieguši 30</w:t>
      </w:r>
      <w:r w:rsidR="004E728E" w:rsidRPr="00EC7ED2">
        <w:rPr>
          <w:rFonts w:cs="Times New Roman"/>
          <w:szCs w:val="24"/>
        </w:rPr>
        <w:t> </w:t>
      </w:r>
      <w:r w:rsidRPr="00EC7ED2">
        <w:rPr>
          <w:rFonts w:cs="Times New Roman"/>
          <w:szCs w:val="24"/>
        </w:rPr>
        <w:t>protestus administratīvo pārkāpumu lietās, kas salīdzin</w:t>
      </w:r>
      <w:r w:rsidR="005C1B76" w:rsidRPr="00EC7ED2">
        <w:rPr>
          <w:rFonts w:cs="Times New Roman"/>
          <w:szCs w:val="24"/>
        </w:rPr>
        <w:t>ājumā</w:t>
      </w:r>
      <w:r w:rsidRPr="00EC7ED2">
        <w:rPr>
          <w:rFonts w:cs="Times New Roman"/>
          <w:szCs w:val="24"/>
        </w:rPr>
        <w:t xml:space="preserve"> ar 2019.</w:t>
      </w:r>
      <w:r w:rsidR="005C1B76" w:rsidRPr="00EC7ED2">
        <w:rPr>
          <w:rFonts w:cs="Times New Roman"/>
          <w:szCs w:val="24"/>
        </w:rPr>
        <w:t> </w:t>
      </w:r>
      <w:r w:rsidRPr="00EC7ED2">
        <w:rPr>
          <w:rFonts w:cs="Times New Roman"/>
          <w:szCs w:val="24"/>
        </w:rPr>
        <w:t>gadā iesniegtajiem 25</w:t>
      </w:r>
      <w:r w:rsidR="005C1B76" w:rsidRPr="00EC7ED2">
        <w:rPr>
          <w:rFonts w:cs="Times New Roman"/>
          <w:szCs w:val="24"/>
        </w:rPr>
        <w:t> </w:t>
      </w:r>
      <w:r w:rsidRPr="00EC7ED2">
        <w:rPr>
          <w:rFonts w:cs="Times New Roman"/>
          <w:szCs w:val="24"/>
        </w:rPr>
        <w:t>protestiem ir par 5</w:t>
      </w:r>
      <w:r w:rsidR="005C1B76" w:rsidRPr="00EC7ED2">
        <w:rPr>
          <w:rFonts w:cs="Times New Roman"/>
          <w:szCs w:val="24"/>
        </w:rPr>
        <w:t> </w:t>
      </w:r>
      <w:r w:rsidRPr="00EC7ED2">
        <w:rPr>
          <w:rFonts w:cs="Times New Roman"/>
          <w:szCs w:val="24"/>
        </w:rPr>
        <w:t>protestiem jeb</w:t>
      </w:r>
      <w:r w:rsidR="005C1B76" w:rsidRPr="00EC7ED2">
        <w:rPr>
          <w:rFonts w:cs="Times New Roman"/>
          <w:szCs w:val="24"/>
        </w:rPr>
        <w:t> </w:t>
      </w:r>
      <w:r w:rsidRPr="00EC7ED2">
        <w:rPr>
          <w:rFonts w:cs="Times New Roman"/>
          <w:szCs w:val="24"/>
        </w:rPr>
        <w:t>20 %</w:t>
      </w:r>
      <w:r w:rsidR="00EC346E" w:rsidRPr="00EC7ED2">
        <w:rPr>
          <w:rFonts w:cs="Times New Roman"/>
          <w:szCs w:val="24"/>
        </w:rPr>
        <w:t xml:space="preserve"> vairāk</w:t>
      </w:r>
      <w:r w:rsidRPr="00EC7ED2">
        <w:rPr>
          <w:rFonts w:cs="Times New Roman"/>
          <w:szCs w:val="24"/>
        </w:rPr>
        <w:t>, kā arī tika iesniegti 4</w:t>
      </w:r>
      <w:r w:rsidR="005C1B76" w:rsidRPr="00EC7ED2">
        <w:rPr>
          <w:rFonts w:cs="Times New Roman"/>
          <w:szCs w:val="24"/>
        </w:rPr>
        <w:t> </w:t>
      </w:r>
      <w:r w:rsidRPr="00EC7ED2">
        <w:rPr>
          <w:rFonts w:cs="Times New Roman"/>
          <w:szCs w:val="24"/>
        </w:rPr>
        <w:t>apelācijas protesti un sniegti 19</w:t>
      </w:r>
      <w:r w:rsidR="005C1B76" w:rsidRPr="00EC7ED2">
        <w:rPr>
          <w:rFonts w:cs="Times New Roman"/>
          <w:szCs w:val="24"/>
        </w:rPr>
        <w:t> </w:t>
      </w:r>
      <w:r w:rsidRPr="00EC7ED2">
        <w:rPr>
          <w:rFonts w:cs="Times New Roman"/>
          <w:szCs w:val="24"/>
        </w:rPr>
        <w:t>paskaidrojumi.</w:t>
      </w:r>
    </w:p>
    <w:p w14:paraId="561D1E57" w14:textId="0900714C" w:rsidR="005C1B76" w:rsidRPr="00EC7ED2" w:rsidRDefault="00EB45C7" w:rsidP="0052602E">
      <w:pPr>
        <w:spacing w:before="120" w:after="0" w:line="240" w:lineRule="auto"/>
        <w:ind w:firstLine="567"/>
        <w:jc w:val="both"/>
        <w:rPr>
          <w:rFonts w:cs="Times New Roman"/>
          <w:szCs w:val="24"/>
        </w:rPr>
      </w:pPr>
      <w:r w:rsidRPr="00EC7ED2">
        <w:rPr>
          <w:rFonts w:cs="Times New Roman"/>
          <w:szCs w:val="24"/>
        </w:rPr>
        <w:t>Pēc prokuroru veiktajām pārbaudēm, konstatējot dažādu likumpārkāpumu izdarīšanas iespējamību</w:t>
      </w:r>
      <w:r w:rsidR="005C1B76" w:rsidRPr="00EC7ED2">
        <w:rPr>
          <w:rFonts w:cs="Times New Roman"/>
          <w:szCs w:val="24"/>
        </w:rPr>
        <w:t>,</w:t>
      </w:r>
      <w:r w:rsidRPr="00EC7ED2">
        <w:rPr>
          <w:rFonts w:cs="Times New Roman"/>
          <w:szCs w:val="24"/>
        </w:rPr>
        <w:t xml:space="preserve"> izteikti 14</w:t>
      </w:r>
      <w:r w:rsidR="005C1B76" w:rsidRPr="00EC7ED2">
        <w:rPr>
          <w:rFonts w:cs="Times New Roman"/>
          <w:szCs w:val="24"/>
        </w:rPr>
        <w:t> </w:t>
      </w:r>
      <w:r w:rsidRPr="00EC7ED2">
        <w:rPr>
          <w:rFonts w:cs="Times New Roman"/>
          <w:szCs w:val="24"/>
        </w:rPr>
        <w:t>prokuror</w:t>
      </w:r>
      <w:r w:rsidR="00356ABB" w:rsidRPr="00EC7ED2">
        <w:rPr>
          <w:rFonts w:cs="Times New Roman"/>
          <w:szCs w:val="24"/>
        </w:rPr>
        <w:t>a</w:t>
      </w:r>
      <w:r w:rsidRPr="00EC7ED2">
        <w:rPr>
          <w:rFonts w:cs="Times New Roman"/>
          <w:szCs w:val="24"/>
        </w:rPr>
        <w:t xml:space="preserve"> brīdinājumi, kas salīdzin</w:t>
      </w:r>
      <w:r w:rsidR="005C1B76" w:rsidRPr="00EC7ED2">
        <w:rPr>
          <w:rFonts w:cs="Times New Roman"/>
          <w:szCs w:val="24"/>
        </w:rPr>
        <w:t>ājumā</w:t>
      </w:r>
      <w:r w:rsidRPr="00EC7ED2">
        <w:rPr>
          <w:rFonts w:cs="Times New Roman"/>
          <w:szCs w:val="24"/>
        </w:rPr>
        <w:t xml:space="preserve"> ar 2019.</w:t>
      </w:r>
      <w:r w:rsidR="005C1B76" w:rsidRPr="00EC7ED2">
        <w:rPr>
          <w:rFonts w:cs="Times New Roman"/>
          <w:szCs w:val="24"/>
        </w:rPr>
        <w:t> </w:t>
      </w:r>
      <w:r w:rsidRPr="00EC7ED2">
        <w:rPr>
          <w:rFonts w:cs="Times New Roman"/>
          <w:szCs w:val="24"/>
        </w:rPr>
        <w:t>gadā izteiktajiem 15</w:t>
      </w:r>
      <w:r w:rsidR="005C1B76" w:rsidRPr="00EC7ED2">
        <w:rPr>
          <w:rFonts w:cs="Times New Roman"/>
          <w:szCs w:val="24"/>
        </w:rPr>
        <w:t> </w:t>
      </w:r>
      <w:r w:rsidRPr="00EC7ED2">
        <w:rPr>
          <w:rFonts w:cs="Times New Roman"/>
          <w:szCs w:val="24"/>
        </w:rPr>
        <w:t>brīdinājumiem ir par 1</w:t>
      </w:r>
      <w:r w:rsidR="005C1B76" w:rsidRPr="00EC7ED2">
        <w:rPr>
          <w:rFonts w:cs="Times New Roman"/>
          <w:szCs w:val="24"/>
        </w:rPr>
        <w:t> </w:t>
      </w:r>
      <w:r w:rsidRPr="00EC7ED2">
        <w:rPr>
          <w:rFonts w:cs="Times New Roman"/>
          <w:szCs w:val="24"/>
        </w:rPr>
        <w:t>brīdinājumu jeb 6,7</w:t>
      </w:r>
      <w:r w:rsidR="005C1B76" w:rsidRPr="00EC7ED2">
        <w:rPr>
          <w:rFonts w:cs="Times New Roman"/>
          <w:szCs w:val="24"/>
        </w:rPr>
        <w:t> </w:t>
      </w:r>
      <w:r w:rsidRPr="00EC7ED2">
        <w:rPr>
          <w:rFonts w:cs="Times New Roman"/>
          <w:szCs w:val="24"/>
        </w:rPr>
        <w:t>%</w:t>
      </w:r>
      <w:r w:rsidR="00EC346E" w:rsidRPr="00EC7ED2">
        <w:rPr>
          <w:rFonts w:cs="Times New Roman"/>
          <w:szCs w:val="24"/>
        </w:rPr>
        <w:t xml:space="preserve"> mazāk</w:t>
      </w:r>
      <w:r w:rsidRPr="00EC7ED2">
        <w:rPr>
          <w:rFonts w:cs="Times New Roman"/>
          <w:szCs w:val="24"/>
        </w:rPr>
        <w:t>.</w:t>
      </w:r>
    </w:p>
    <w:p w14:paraId="689449B9" w14:textId="462D3A9B" w:rsidR="00B1796B" w:rsidRPr="00EC7ED2" w:rsidRDefault="00EB45C7" w:rsidP="00B1796B">
      <w:pPr>
        <w:spacing w:after="0" w:line="240" w:lineRule="auto"/>
        <w:ind w:firstLine="567"/>
        <w:jc w:val="both"/>
        <w:rPr>
          <w:rFonts w:cs="Times New Roman"/>
          <w:szCs w:val="24"/>
        </w:rPr>
      </w:pPr>
      <w:r w:rsidRPr="00EC7ED2">
        <w:rPr>
          <w:rFonts w:cs="Times New Roman"/>
          <w:szCs w:val="24"/>
        </w:rPr>
        <w:t>Konstatējot likumpārkāpumus, iesniegti 88</w:t>
      </w:r>
      <w:r w:rsidR="005C1B76" w:rsidRPr="00EC7ED2">
        <w:rPr>
          <w:rFonts w:cs="Times New Roman"/>
          <w:szCs w:val="24"/>
        </w:rPr>
        <w:t> </w:t>
      </w:r>
      <w:r w:rsidRPr="00EC7ED2">
        <w:rPr>
          <w:rFonts w:cs="Times New Roman"/>
          <w:szCs w:val="24"/>
        </w:rPr>
        <w:t>prokurora iesniegumi, kas salīdzin</w:t>
      </w:r>
      <w:r w:rsidR="00966A84" w:rsidRPr="00EC7ED2">
        <w:rPr>
          <w:rFonts w:cs="Times New Roman"/>
          <w:szCs w:val="24"/>
        </w:rPr>
        <w:t>ājumā</w:t>
      </w:r>
      <w:r w:rsidRPr="00EC7ED2">
        <w:rPr>
          <w:rFonts w:cs="Times New Roman"/>
          <w:szCs w:val="24"/>
        </w:rPr>
        <w:t xml:space="preserve"> ar 2019.</w:t>
      </w:r>
      <w:r w:rsidR="00966A84" w:rsidRPr="00EC7ED2">
        <w:rPr>
          <w:rFonts w:cs="Times New Roman"/>
          <w:szCs w:val="24"/>
        </w:rPr>
        <w:t> </w:t>
      </w:r>
      <w:r w:rsidRPr="00EC7ED2">
        <w:rPr>
          <w:rFonts w:cs="Times New Roman"/>
          <w:szCs w:val="24"/>
        </w:rPr>
        <w:t>gadā iesniegtajiem 144</w:t>
      </w:r>
      <w:r w:rsidR="00966A84" w:rsidRPr="00EC7ED2">
        <w:rPr>
          <w:rFonts w:cs="Times New Roman"/>
          <w:szCs w:val="24"/>
        </w:rPr>
        <w:t> </w:t>
      </w:r>
      <w:r w:rsidRPr="00EC7ED2">
        <w:rPr>
          <w:rFonts w:cs="Times New Roman"/>
          <w:szCs w:val="24"/>
        </w:rPr>
        <w:t>iesniegumiem ir par 56</w:t>
      </w:r>
      <w:r w:rsidR="00966A84" w:rsidRPr="00EC7ED2">
        <w:rPr>
          <w:rFonts w:cs="Times New Roman"/>
          <w:szCs w:val="24"/>
        </w:rPr>
        <w:t> </w:t>
      </w:r>
      <w:r w:rsidRPr="00EC7ED2">
        <w:rPr>
          <w:rFonts w:cs="Times New Roman"/>
          <w:szCs w:val="24"/>
        </w:rPr>
        <w:t>iesniegumiem</w:t>
      </w:r>
      <w:r w:rsidR="00966A84" w:rsidRPr="00EC7ED2">
        <w:rPr>
          <w:rFonts w:cs="Times New Roman"/>
          <w:szCs w:val="24"/>
        </w:rPr>
        <w:t xml:space="preserve"> </w:t>
      </w:r>
      <w:r w:rsidRPr="00EC7ED2">
        <w:rPr>
          <w:rFonts w:cs="Times New Roman"/>
          <w:szCs w:val="24"/>
        </w:rPr>
        <w:t>jeb 38,9</w:t>
      </w:r>
      <w:r w:rsidR="00966A84" w:rsidRPr="00EC7ED2">
        <w:rPr>
          <w:rFonts w:cs="Times New Roman"/>
          <w:szCs w:val="24"/>
        </w:rPr>
        <w:t> </w:t>
      </w:r>
      <w:r w:rsidRPr="00EC7ED2">
        <w:rPr>
          <w:rFonts w:cs="Times New Roman"/>
          <w:szCs w:val="24"/>
        </w:rPr>
        <w:t>%</w:t>
      </w:r>
      <w:r w:rsidR="00EC346E" w:rsidRPr="00EC7ED2">
        <w:rPr>
          <w:rFonts w:cs="Times New Roman"/>
          <w:szCs w:val="24"/>
        </w:rPr>
        <w:t xml:space="preserve"> mazāk</w:t>
      </w:r>
      <w:r w:rsidRPr="00EC7ED2">
        <w:rPr>
          <w:rFonts w:cs="Times New Roman"/>
          <w:szCs w:val="24"/>
        </w:rPr>
        <w:t>.</w:t>
      </w:r>
    </w:p>
    <w:p w14:paraId="08869EDA" w14:textId="693880EE" w:rsidR="00B1796B" w:rsidRPr="00EC7ED2" w:rsidRDefault="00966A84" w:rsidP="0052602E">
      <w:pPr>
        <w:spacing w:after="0" w:line="240" w:lineRule="auto"/>
        <w:ind w:firstLine="567"/>
        <w:jc w:val="both"/>
        <w:rPr>
          <w:rFonts w:cs="Times New Roman"/>
          <w:szCs w:val="24"/>
        </w:rPr>
      </w:pPr>
      <w:r w:rsidRPr="00EC7ED2">
        <w:rPr>
          <w:rFonts w:cs="Times New Roman"/>
          <w:szCs w:val="24"/>
        </w:rPr>
        <w:t>2020. gadā</w:t>
      </w:r>
      <w:r w:rsidR="00EB45C7" w:rsidRPr="00EC7ED2">
        <w:rPr>
          <w:rFonts w:cs="Times New Roman"/>
          <w:szCs w:val="24"/>
        </w:rPr>
        <w:t xml:space="preserve">  iesniegts </w:t>
      </w:r>
      <w:r w:rsidRPr="00EC7ED2">
        <w:rPr>
          <w:rFonts w:cs="Times New Roman"/>
          <w:szCs w:val="24"/>
        </w:rPr>
        <w:t xml:space="preserve">arī </w:t>
      </w:r>
      <w:r w:rsidR="00EB45C7" w:rsidRPr="00EC7ED2">
        <w:rPr>
          <w:rFonts w:cs="Times New Roman"/>
          <w:szCs w:val="24"/>
        </w:rPr>
        <w:t>61</w:t>
      </w:r>
      <w:r w:rsidRPr="00EC7ED2">
        <w:rPr>
          <w:rFonts w:cs="Times New Roman"/>
          <w:szCs w:val="24"/>
        </w:rPr>
        <w:t> </w:t>
      </w:r>
      <w:r w:rsidR="00EB45C7" w:rsidRPr="00EC7ED2">
        <w:rPr>
          <w:rFonts w:cs="Times New Roman"/>
          <w:szCs w:val="24"/>
        </w:rPr>
        <w:t>protests, kas salīdzin</w:t>
      </w:r>
      <w:r w:rsidRPr="00EC7ED2">
        <w:rPr>
          <w:rFonts w:cs="Times New Roman"/>
          <w:szCs w:val="24"/>
        </w:rPr>
        <w:t>ājumā</w:t>
      </w:r>
      <w:r w:rsidR="00EB45C7" w:rsidRPr="00EC7ED2">
        <w:rPr>
          <w:rFonts w:cs="Times New Roman"/>
          <w:szCs w:val="24"/>
        </w:rPr>
        <w:t xml:space="preserve"> ar 2019.</w:t>
      </w:r>
      <w:r w:rsidRPr="00EC7ED2">
        <w:rPr>
          <w:rFonts w:cs="Times New Roman"/>
          <w:szCs w:val="24"/>
        </w:rPr>
        <w:t> </w:t>
      </w:r>
      <w:r w:rsidR="00EB45C7" w:rsidRPr="00EC7ED2">
        <w:rPr>
          <w:rFonts w:cs="Times New Roman"/>
          <w:szCs w:val="24"/>
        </w:rPr>
        <w:t>gadā iesniegtajiem 48</w:t>
      </w:r>
      <w:r w:rsidRPr="00EC7ED2">
        <w:rPr>
          <w:rFonts w:cs="Times New Roman"/>
          <w:szCs w:val="24"/>
        </w:rPr>
        <w:t> </w:t>
      </w:r>
      <w:r w:rsidR="00EB45C7" w:rsidRPr="00EC7ED2">
        <w:rPr>
          <w:rFonts w:cs="Times New Roman"/>
          <w:szCs w:val="24"/>
        </w:rPr>
        <w:t>protestiem ir par 13</w:t>
      </w:r>
      <w:r w:rsidRPr="00EC7ED2">
        <w:rPr>
          <w:rFonts w:cs="Times New Roman"/>
          <w:szCs w:val="24"/>
        </w:rPr>
        <w:t> </w:t>
      </w:r>
      <w:r w:rsidR="00EB45C7" w:rsidRPr="00EC7ED2">
        <w:rPr>
          <w:rFonts w:cs="Times New Roman"/>
          <w:szCs w:val="24"/>
        </w:rPr>
        <w:t>protestiem jeb 27,1</w:t>
      </w:r>
      <w:r w:rsidRPr="00EC7ED2">
        <w:rPr>
          <w:rFonts w:cs="Times New Roman"/>
          <w:szCs w:val="24"/>
        </w:rPr>
        <w:t> </w:t>
      </w:r>
      <w:r w:rsidR="00EB45C7" w:rsidRPr="00EC7ED2">
        <w:rPr>
          <w:rFonts w:cs="Times New Roman"/>
          <w:szCs w:val="24"/>
        </w:rPr>
        <w:t>%</w:t>
      </w:r>
      <w:r w:rsidR="00EC346E" w:rsidRPr="00EC7ED2">
        <w:rPr>
          <w:rFonts w:cs="Times New Roman"/>
          <w:szCs w:val="24"/>
        </w:rPr>
        <w:t xml:space="preserve"> vairāk</w:t>
      </w:r>
      <w:r w:rsidR="00EB45C7" w:rsidRPr="00EC7ED2">
        <w:rPr>
          <w:rFonts w:cs="Times New Roman"/>
          <w:szCs w:val="24"/>
        </w:rPr>
        <w:t xml:space="preserve">. </w:t>
      </w:r>
      <w:r w:rsidRPr="00EC7ED2">
        <w:rPr>
          <w:rFonts w:cs="Times New Roman"/>
          <w:szCs w:val="24"/>
        </w:rPr>
        <w:t>A</w:t>
      </w:r>
      <w:r w:rsidR="00EB45C7" w:rsidRPr="00EC7ED2">
        <w:rPr>
          <w:rFonts w:cs="Times New Roman"/>
          <w:szCs w:val="24"/>
        </w:rPr>
        <w:t>pmierināts 31</w:t>
      </w:r>
      <w:r w:rsidRPr="00EC7ED2">
        <w:rPr>
          <w:rFonts w:cs="Times New Roman"/>
          <w:szCs w:val="24"/>
        </w:rPr>
        <w:t> </w:t>
      </w:r>
      <w:r w:rsidR="00EB45C7" w:rsidRPr="00EC7ED2">
        <w:rPr>
          <w:rFonts w:cs="Times New Roman"/>
          <w:szCs w:val="24"/>
        </w:rPr>
        <w:t>protests, bet 3</w:t>
      </w:r>
      <w:r w:rsidRPr="00EC7ED2">
        <w:rPr>
          <w:rFonts w:cs="Times New Roman"/>
          <w:szCs w:val="24"/>
        </w:rPr>
        <w:t> </w:t>
      </w:r>
      <w:r w:rsidR="00EB45C7" w:rsidRPr="00EC7ED2">
        <w:rPr>
          <w:rFonts w:cs="Times New Roman"/>
          <w:szCs w:val="24"/>
        </w:rPr>
        <w:t>protesti noraidīti.</w:t>
      </w:r>
    </w:p>
    <w:p w14:paraId="061F796A" w14:textId="2EE72678" w:rsidR="00EB45C7" w:rsidRPr="00EC7ED2" w:rsidRDefault="00B1796B" w:rsidP="0052602E">
      <w:pPr>
        <w:spacing w:before="120" w:after="0" w:line="240" w:lineRule="auto"/>
        <w:ind w:firstLine="567"/>
        <w:jc w:val="both"/>
        <w:rPr>
          <w:rFonts w:cs="Times New Roman"/>
          <w:szCs w:val="24"/>
        </w:rPr>
      </w:pPr>
      <w:r w:rsidRPr="00EC7ED2">
        <w:rPr>
          <w:rFonts w:cs="Times New Roman"/>
          <w:szCs w:val="24"/>
        </w:rPr>
        <w:t>Prokurori tiesā ie</w:t>
      </w:r>
      <w:r w:rsidR="00EB45C7" w:rsidRPr="00EC7ED2">
        <w:rPr>
          <w:rFonts w:cs="Times New Roman"/>
          <w:szCs w:val="24"/>
        </w:rPr>
        <w:t>snieg</w:t>
      </w:r>
      <w:r w:rsidRPr="00EC7ED2">
        <w:rPr>
          <w:rFonts w:cs="Times New Roman"/>
          <w:szCs w:val="24"/>
        </w:rPr>
        <w:t>uši</w:t>
      </w:r>
      <w:r w:rsidR="00EB45C7" w:rsidRPr="00EC7ED2">
        <w:rPr>
          <w:rFonts w:cs="Times New Roman"/>
          <w:szCs w:val="24"/>
        </w:rPr>
        <w:t xml:space="preserve"> 54</w:t>
      </w:r>
      <w:r w:rsidRPr="00EC7ED2">
        <w:rPr>
          <w:rFonts w:cs="Times New Roman"/>
          <w:szCs w:val="24"/>
        </w:rPr>
        <w:t> </w:t>
      </w:r>
      <w:r w:rsidR="00EB45C7" w:rsidRPr="00EC7ED2">
        <w:rPr>
          <w:rFonts w:cs="Times New Roman"/>
          <w:szCs w:val="24"/>
        </w:rPr>
        <w:t>prasības pieteikum</w:t>
      </w:r>
      <w:r w:rsidRPr="00EC7ED2">
        <w:rPr>
          <w:rFonts w:cs="Times New Roman"/>
          <w:szCs w:val="24"/>
        </w:rPr>
        <w:t>us</w:t>
      </w:r>
      <w:r w:rsidR="00EB45C7" w:rsidRPr="00EC7ED2">
        <w:rPr>
          <w:rFonts w:cs="Times New Roman"/>
          <w:szCs w:val="24"/>
        </w:rPr>
        <w:t>, kas salīdzin</w:t>
      </w:r>
      <w:r w:rsidRPr="00EC7ED2">
        <w:rPr>
          <w:rFonts w:cs="Times New Roman"/>
          <w:szCs w:val="24"/>
        </w:rPr>
        <w:t>ājumā</w:t>
      </w:r>
      <w:r w:rsidR="00EB45C7" w:rsidRPr="00EC7ED2">
        <w:rPr>
          <w:rFonts w:cs="Times New Roman"/>
          <w:szCs w:val="24"/>
        </w:rPr>
        <w:t xml:space="preserve"> ar 2019.</w:t>
      </w:r>
      <w:r w:rsidR="00A716BE" w:rsidRPr="00EC7ED2">
        <w:rPr>
          <w:rFonts w:cs="Times New Roman"/>
          <w:szCs w:val="24"/>
        </w:rPr>
        <w:t> </w:t>
      </w:r>
      <w:r w:rsidR="00EB45C7" w:rsidRPr="00EC7ED2">
        <w:rPr>
          <w:rFonts w:cs="Times New Roman"/>
          <w:szCs w:val="24"/>
        </w:rPr>
        <w:t>gadā iesniegtajiem 110 prasības pieteikumiem ir par 56</w:t>
      </w:r>
      <w:r w:rsidR="00A716BE" w:rsidRPr="00EC7ED2">
        <w:rPr>
          <w:rFonts w:cs="Times New Roman"/>
          <w:szCs w:val="24"/>
        </w:rPr>
        <w:t> </w:t>
      </w:r>
      <w:r w:rsidR="00EB45C7" w:rsidRPr="00EC7ED2">
        <w:rPr>
          <w:rFonts w:cs="Times New Roman"/>
          <w:szCs w:val="24"/>
        </w:rPr>
        <w:t>prasības pieteikumiem jeb 50,9</w:t>
      </w:r>
      <w:r w:rsidR="00A716BE" w:rsidRPr="00EC7ED2">
        <w:rPr>
          <w:rFonts w:cs="Times New Roman"/>
          <w:szCs w:val="24"/>
        </w:rPr>
        <w:t> </w:t>
      </w:r>
      <w:r w:rsidR="00EB45C7" w:rsidRPr="00EC7ED2">
        <w:rPr>
          <w:rFonts w:cs="Times New Roman"/>
          <w:szCs w:val="24"/>
        </w:rPr>
        <w:t>%</w:t>
      </w:r>
      <w:r w:rsidR="00EC346E" w:rsidRPr="00EC7ED2">
        <w:rPr>
          <w:rFonts w:cs="Times New Roman"/>
          <w:szCs w:val="24"/>
        </w:rPr>
        <w:t xml:space="preserve"> mazāk</w:t>
      </w:r>
      <w:r w:rsidR="00EB45C7" w:rsidRPr="00EC7ED2">
        <w:rPr>
          <w:rFonts w:cs="Times New Roman"/>
          <w:szCs w:val="24"/>
        </w:rPr>
        <w:t>. 2020.</w:t>
      </w:r>
      <w:r w:rsidR="00A716BE" w:rsidRPr="00EC7ED2">
        <w:rPr>
          <w:rFonts w:cs="Times New Roman"/>
          <w:szCs w:val="24"/>
        </w:rPr>
        <w:t> </w:t>
      </w:r>
      <w:r w:rsidR="00EB45C7" w:rsidRPr="00EC7ED2">
        <w:rPr>
          <w:rFonts w:cs="Times New Roman"/>
          <w:szCs w:val="24"/>
        </w:rPr>
        <w:t>gadā tiesā izskatīti 10</w:t>
      </w:r>
      <w:r w:rsidR="00A716BE" w:rsidRPr="00EC7ED2">
        <w:rPr>
          <w:rFonts w:cs="Times New Roman"/>
          <w:szCs w:val="24"/>
        </w:rPr>
        <w:t> </w:t>
      </w:r>
      <w:r w:rsidR="00EB45C7" w:rsidRPr="00EC7ED2">
        <w:rPr>
          <w:rFonts w:cs="Times New Roman"/>
          <w:szCs w:val="24"/>
        </w:rPr>
        <w:t>prasības pieteikumi, no kuriem 9</w:t>
      </w:r>
      <w:r w:rsidR="00A716BE" w:rsidRPr="00EC7ED2">
        <w:rPr>
          <w:rFonts w:cs="Times New Roman"/>
          <w:szCs w:val="24"/>
        </w:rPr>
        <w:t> </w:t>
      </w:r>
      <w:r w:rsidR="00EB45C7" w:rsidRPr="00EC7ED2">
        <w:rPr>
          <w:rFonts w:cs="Times New Roman"/>
          <w:szCs w:val="24"/>
        </w:rPr>
        <w:t>apmierināti, bet 1</w:t>
      </w:r>
      <w:r w:rsidR="00A716BE" w:rsidRPr="00EC7ED2">
        <w:rPr>
          <w:rFonts w:cs="Times New Roman"/>
          <w:szCs w:val="24"/>
        </w:rPr>
        <w:t> </w:t>
      </w:r>
      <w:r w:rsidR="00EB45C7" w:rsidRPr="00EC7ED2">
        <w:rPr>
          <w:rFonts w:cs="Times New Roman"/>
          <w:szCs w:val="24"/>
        </w:rPr>
        <w:t xml:space="preserve">noraidīts. </w:t>
      </w:r>
    </w:p>
    <w:p w14:paraId="39242447" w14:textId="10627B88" w:rsidR="00A716BE" w:rsidRDefault="00A716BE" w:rsidP="00A716BE">
      <w:pPr>
        <w:spacing w:after="0" w:line="240" w:lineRule="auto"/>
        <w:ind w:firstLine="567"/>
        <w:jc w:val="both"/>
        <w:rPr>
          <w:rFonts w:cs="Times New Roman"/>
          <w:szCs w:val="24"/>
        </w:rPr>
      </w:pPr>
    </w:p>
    <w:p w14:paraId="352992F1" w14:textId="687A51C0" w:rsidR="009A5FF5" w:rsidRPr="00EB45C7" w:rsidRDefault="00D74CE4" w:rsidP="009A5FF5">
      <w:pPr>
        <w:spacing w:after="0" w:line="240" w:lineRule="auto"/>
        <w:jc w:val="center"/>
        <w:rPr>
          <w:rFonts w:cs="Times New Roman"/>
          <w:b/>
          <w:sz w:val="28"/>
          <w:szCs w:val="28"/>
        </w:rPr>
      </w:pPr>
      <w:r>
        <w:rPr>
          <w:rFonts w:cs="Times New Roman"/>
          <w:b/>
          <w:sz w:val="28"/>
          <w:szCs w:val="28"/>
        </w:rPr>
        <w:t>II. </w:t>
      </w:r>
      <w:r w:rsidR="009A5FF5">
        <w:rPr>
          <w:rFonts w:cs="Times New Roman"/>
          <w:b/>
          <w:sz w:val="28"/>
          <w:szCs w:val="28"/>
        </w:rPr>
        <w:t xml:space="preserve">Tiesās izskatāmo civillietu nodaļas darba rādītāji </w:t>
      </w:r>
      <w:r w:rsidR="009A5FF5" w:rsidRPr="00EB45C7">
        <w:rPr>
          <w:rFonts w:cs="Times New Roman"/>
          <w:b/>
          <w:sz w:val="28"/>
          <w:szCs w:val="28"/>
        </w:rPr>
        <w:t>2020.</w:t>
      </w:r>
      <w:r w:rsidR="009A5FF5">
        <w:rPr>
          <w:rFonts w:cs="Times New Roman"/>
          <w:b/>
          <w:sz w:val="28"/>
          <w:szCs w:val="28"/>
        </w:rPr>
        <w:t> </w:t>
      </w:r>
      <w:r w:rsidR="009A5FF5" w:rsidRPr="00EB45C7">
        <w:rPr>
          <w:rFonts w:cs="Times New Roman"/>
          <w:b/>
          <w:sz w:val="28"/>
          <w:szCs w:val="28"/>
        </w:rPr>
        <w:t>gadā</w:t>
      </w:r>
    </w:p>
    <w:p w14:paraId="2D29DCFC" w14:textId="77777777" w:rsidR="009A5FF5" w:rsidRPr="00C57B98" w:rsidRDefault="009A5FF5" w:rsidP="00A716BE">
      <w:pPr>
        <w:spacing w:after="0" w:line="240" w:lineRule="auto"/>
        <w:ind w:firstLine="567"/>
        <w:jc w:val="both"/>
        <w:rPr>
          <w:rFonts w:cs="Times New Roman"/>
          <w:szCs w:val="24"/>
        </w:rPr>
      </w:pPr>
    </w:p>
    <w:p w14:paraId="00818BD0" w14:textId="341E42C2" w:rsidR="00EB45C7" w:rsidRPr="00EC7ED2" w:rsidRDefault="00EB45C7" w:rsidP="00403366">
      <w:pPr>
        <w:spacing w:after="0" w:line="240" w:lineRule="auto"/>
        <w:ind w:firstLine="567"/>
        <w:jc w:val="both"/>
        <w:rPr>
          <w:rFonts w:cs="Times New Roman"/>
          <w:szCs w:val="24"/>
        </w:rPr>
      </w:pPr>
      <w:r w:rsidRPr="00EC7ED2">
        <w:rPr>
          <w:rFonts w:cs="Times New Roman"/>
          <w:szCs w:val="24"/>
        </w:rPr>
        <w:t>2020.</w:t>
      </w:r>
      <w:r w:rsidR="009A5FF5" w:rsidRPr="00EC7ED2">
        <w:rPr>
          <w:rFonts w:cs="Times New Roman"/>
          <w:szCs w:val="24"/>
        </w:rPr>
        <w:t> </w:t>
      </w:r>
      <w:r w:rsidRPr="00EC7ED2">
        <w:rPr>
          <w:rFonts w:cs="Times New Roman"/>
          <w:szCs w:val="24"/>
        </w:rPr>
        <w:t>gadā Ģenerālprokuratūras Personu un valsts tiesību aizsardzības departamenta virsprokurors Civilprocesa likuma 60.</w:t>
      </w:r>
      <w:r w:rsidR="009A5FF5" w:rsidRPr="00EC7ED2">
        <w:rPr>
          <w:rFonts w:cs="Times New Roman"/>
          <w:szCs w:val="24"/>
        </w:rPr>
        <w:t> </w:t>
      </w:r>
      <w:r w:rsidRPr="00EC7ED2">
        <w:rPr>
          <w:rFonts w:cs="Times New Roman"/>
          <w:szCs w:val="24"/>
        </w:rPr>
        <w:t>nodaļas kārtībā iesniedzis Senātā 35</w:t>
      </w:r>
      <w:r w:rsidR="009A5FF5" w:rsidRPr="00EC7ED2">
        <w:rPr>
          <w:rFonts w:cs="Times New Roman"/>
          <w:szCs w:val="24"/>
        </w:rPr>
        <w:t> </w:t>
      </w:r>
      <w:r w:rsidRPr="00EC7ED2">
        <w:rPr>
          <w:rFonts w:cs="Times New Roman"/>
          <w:szCs w:val="24"/>
        </w:rPr>
        <w:t>protestus</w:t>
      </w:r>
      <w:r w:rsidR="00403366" w:rsidRPr="00EC7ED2">
        <w:rPr>
          <w:rFonts w:cs="Times New Roman"/>
          <w:szCs w:val="24"/>
        </w:rPr>
        <w:t>,</w:t>
      </w:r>
      <w:r w:rsidRPr="00EC7ED2">
        <w:rPr>
          <w:rFonts w:cs="Times New Roman"/>
          <w:szCs w:val="24"/>
        </w:rPr>
        <w:t xml:space="preserve"> </w:t>
      </w:r>
      <w:r w:rsidR="00403366" w:rsidRPr="00EC7ED2">
        <w:rPr>
          <w:rFonts w:cs="Times New Roman"/>
          <w:szCs w:val="24"/>
        </w:rPr>
        <w:t xml:space="preserve">kuru projektus sagatavoja Tiesās izskatāmo civillietu nodaļas prokurori, </w:t>
      </w:r>
      <w:r w:rsidRPr="00EC7ED2">
        <w:rPr>
          <w:rFonts w:cs="Times New Roman"/>
          <w:szCs w:val="24"/>
        </w:rPr>
        <w:t>par likumīgā spēkā stājušiem pirmās instances tiesas spriedumiem civillietās, kas salīdzin</w:t>
      </w:r>
      <w:r w:rsidR="00634D3C" w:rsidRPr="00EC7ED2">
        <w:rPr>
          <w:rFonts w:cs="Times New Roman"/>
          <w:szCs w:val="24"/>
        </w:rPr>
        <w:t xml:space="preserve">ājumā </w:t>
      </w:r>
      <w:r w:rsidRPr="00EC7ED2">
        <w:rPr>
          <w:rFonts w:cs="Times New Roman"/>
          <w:szCs w:val="24"/>
        </w:rPr>
        <w:t>ar 2019.</w:t>
      </w:r>
      <w:r w:rsidR="00634D3C" w:rsidRPr="00EC7ED2">
        <w:rPr>
          <w:rFonts w:cs="Times New Roman"/>
          <w:szCs w:val="24"/>
        </w:rPr>
        <w:t> </w:t>
      </w:r>
      <w:r w:rsidRPr="00EC7ED2">
        <w:rPr>
          <w:rFonts w:cs="Times New Roman"/>
          <w:szCs w:val="24"/>
        </w:rPr>
        <w:t>gadā iesniegtajiem 23</w:t>
      </w:r>
      <w:r w:rsidR="00403366" w:rsidRPr="00EC7ED2">
        <w:rPr>
          <w:rFonts w:cs="Times New Roman"/>
          <w:szCs w:val="24"/>
        </w:rPr>
        <w:t> </w:t>
      </w:r>
      <w:r w:rsidRPr="00EC7ED2">
        <w:rPr>
          <w:rFonts w:cs="Times New Roman"/>
          <w:szCs w:val="24"/>
        </w:rPr>
        <w:t>protestiem ir par 12</w:t>
      </w:r>
      <w:r w:rsidR="00403366" w:rsidRPr="00EC7ED2">
        <w:rPr>
          <w:rFonts w:cs="Times New Roman"/>
          <w:szCs w:val="24"/>
        </w:rPr>
        <w:t> </w:t>
      </w:r>
      <w:r w:rsidRPr="00EC7ED2">
        <w:rPr>
          <w:rFonts w:cs="Times New Roman"/>
          <w:szCs w:val="24"/>
        </w:rPr>
        <w:t>protestiem jeb 52,2</w:t>
      </w:r>
      <w:r w:rsidR="00634D3C" w:rsidRPr="00EC7ED2">
        <w:rPr>
          <w:rFonts w:cs="Times New Roman"/>
          <w:szCs w:val="24"/>
        </w:rPr>
        <w:t> </w:t>
      </w:r>
      <w:r w:rsidRPr="00EC7ED2">
        <w:rPr>
          <w:rFonts w:cs="Times New Roman"/>
          <w:szCs w:val="24"/>
        </w:rPr>
        <w:t>%</w:t>
      </w:r>
      <w:r w:rsidR="00634D3C" w:rsidRPr="00EC7ED2">
        <w:rPr>
          <w:rFonts w:cs="Times New Roman"/>
          <w:szCs w:val="24"/>
        </w:rPr>
        <w:t xml:space="preserve"> vairāk</w:t>
      </w:r>
      <w:r w:rsidRPr="00EC7ED2">
        <w:rPr>
          <w:rFonts w:cs="Times New Roman"/>
          <w:szCs w:val="24"/>
        </w:rPr>
        <w:t>. No iepriekšējos gados un atskaites periodā iesniegtajiem protestiem</w:t>
      </w:r>
      <w:r w:rsidR="005F2AC9" w:rsidRPr="00EC7ED2">
        <w:rPr>
          <w:rFonts w:cs="Times New Roman"/>
          <w:szCs w:val="24"/>
        </w:rPr>
        <w:t xml:space="preserve"> </w:t>
      </w:r>
      <w:r w:rsidRPr="00EC7ED2">
        <w:rPr>
          <w:rFonts w:cs="Times New Roman"/>
          <w:szCs w:val="24"/>
        </w:rPr>
        <w:t>2020.</w:t>
      </w:r>
      <w:r w:rsidR="00634D3C" w:rsidRPr="00EC7ED2">
        <w:rPr>
          <w:rFonts w:cs="Times New Roman"/>
          <w:szCs w:val="24"/>
        </w:rPr>
        <w:t> </w:t>
      </w:r>
      <w:r w:rsidRPr="00EC7ED2">
        <w:rPr>
          <w:rFonts w:cs="Times New Roman"/>
          <w:szCs w:val="24"/>
        </w:rPr>
        <w:t xml:space="preserve">gadā </w:t>
      </w:r>
      <w:r w:rsidR="00634D3C" w:rsidRPr="00EC7ED2">
        <w:rPr>
          <w:rFonts w:cs="Times New Roman"/>
          <w:szCs w:val="24"/>
        </w:rPr>
        <w:t>1 </w:t>
      </w:r>
      <w:r w:rsidRPr="00EC7ED2">
        <w:rPr>
          <w:rFonts w:cs="Times New Roman"/>
          <w:szCs w:val="24"/>
        </w:rPr>
        <w:t>protests tika atsaukts saistībā ar lietas apstākļu maiņu, 22</w:t>
      </w:r>
      <w:r w:rsidR="00634D3C" w:rsidRPr="00EC7ED2">
        <w:rPr>
          <w:rFonts w:cs="Times New Roman"/>
          <w:szCs w:val="24"/>
        </w:rPr>
        <w:t> </w:t>
      </w:r>
      <w:r w:rsidRPr="00EC7ED2">
        <w:rPr>
          <w:rFonts w:cs="Times New Roman"/>
          <w:szCs w:val="24"/>
        </w:rPr>
        <w:t>protesti Senātā tika apmierināti un 3</w:t>
      </w:r>
      <w:r w:rsidR="00634D3C" w:rsidRPr="00EC7ED2">
        <w:rPr>
          <w:rFonts w:cs="Times New Roman"/>
          <w:szCs w:val="24"/>
        </w:rPr>
        <w:t> </w:t>
      </w:r>
      <w:r w:rsidRPr="00EC7ED2">
        <w:rPr>
          <w:rFonts w:cs="Times New Roman"/>
          <w:szCs w:val="24"/>
        </w:rPr>
        <w:t>protesti noraidīti.</w:t>
      </w:r>
    </w:p>
    <w:p w14:paraId="2FBE26CB" w14:textId="7F4BFA49" w:rsidR="005F2AC9" w:rsidRPr="00EC7ED2" w:rsidRDefault="00EB45C7" w:rsidP="00375172">
      <w:pPr>
        <w:spacing w:after="120" w:line="240" w:lineRule="auto"/>
        <w:ind w:firstLine="567"/>
        <w:jc w:val="both"/>
        <w:rPr>
          <w:rFonts w:cs="Times New Roman"/>
          <w:szCs w:val="24"/>
        </w:rPr>
      </w:pPr>
      <w:r w:rsidRPr="00EC7ED2">
        <w:rPr>
          <w:rFonts w:cs="Times New Roman"/>
          <w:szCs w:val="24"/>
        </w:rPr>
        <w:t>Personu un valsts tiesību aizsardzības departamenta Tiesās izskatāmo civillietu nodaļas prokurori, izskatot 342 iesniegumus un sūdzības ar lūgumu atcelt spēkā stājušos tiesas spriedumus</w:t>
      </w:r>
      <w:r w:rsidR="00403366" w:rsidRPr="00EC7ED2">
        <w:rPr>
          <w:rFonts w:cs="Times New Roman"/>
          <w:szCs w:val="24"/>
        </w:rPr>
        <w:t>,</w:t>
      </w:r>
      <w:r w:rsidRPr="00EC7ED2">
        <w:rPr>
          <w:rFonts w:cs="Times New Roman"/>
          <w:szCs w:val="24"/>
        </w:rPr>
        <w:t xml:space="preserve"> Civilprocesa likuma 484.</w:t>
      </w:r>
      <w:r w:rsidR="004A70C3" w:rsidRPr="00EC7ED2">
        <w:rPr>
          <w:rFonts w:cs="Times New Roman"/>
          <w:szCs w:val="24"/>
        </w:rPr>
        <w:t> </w:t>
      </w:r>
      <w:r w:rsidRPr="00EC7ED2">
        <w:rPr>
          <w:rFonts w:cs="Times New Roman"/>
          <w:szCs w:val="24"/>
        </w:rPr>
        <w:t>panta kārtībā sagatavoja protestus</w:t>
      </w:r>
      <w:r w:rsidR="00403366" w:rsidRPr="00EC7ED2">
        <w:rPr>
          <w:rFonts w:cs="Times New Roman"/>
          <w:szCs w:val="24"/>
        </w:rPr>
        <w:t xml:space="preserve"> Senātam</w:t>
      </w:r>
      <w:r w:rsidRPr="00EC7ED2">
        <w:rPr>
          <w:rFonts w:cs="Times New Roman"/>
          <w:szCs w:val="24"/>
        </w:rPr>
        <w:t xml:space="preserve"> saistībā ar</w:t>
      </w:r>
      <w:r w:rsidR="004A70C3" w:rsidRPr="00EC7ED2">
        <w:rPr>
          <w:rFonts w:cs="Times New Roman"/>
          <w:szCs w:val="24"/>
        </w:rPr>
        <w:t xml:space="preserve"> </w:t>
      </w:r>
      <w:r w:rsidR="007B3CF6" w:rsidRPr="00EC7ED2">
        <w:rPr>
          <w:rFonts w:cs="Times New Roman"/>
          <w:szCs w:val="24"/>
        </w:rPr>
        <w:t xml:space="preserve">turpmāk norādīto tiesu tiesnešu </w:t>
      </w:r>
      <w:r w:rsidRPr="00EC7ED2">
        <w:rPr>
          <w:rFonts w:cs="Times New Roman"/>
          <w:szCs w:val="24"/>
        </w:rPr>
        <w:t>likuma normu pārkāpumiem, izskatot civillietas:</w:t>
      </w:r>
    </w:p>
    <w:p w14:paraId="0F455041" w14:textId="35076C17" w:rsidR="00EB45C7" w:rsidRPr="007A4A20" w:rsidRDefault="007A4A20" w:rsidP="00375172">
      <w:pPr>
        <w:spacing w:after="120" w:line="240" w:lineRule="auto"/>
        <w:jc w:val="both"/>
        <w:rPr>
          <w:rFonts w:cs="Times New Roman"/>
          <w:b/>
          <w:bCs/>
          <w:szCs w:val="24"/>
        </w:rPr>
      </w:pPr>
      <w:r>
        <w:rPr>
          <w:rFonts w:cs="Times New Roman"/>
          <w:b/>
          <w:bCs/>
          <w:szCs w:val="24"/>
        </w:rPr>
        <w:t xml:space="preserve">[1] </w:t>
      </w:r>
      <w:r w:rsidR="00EB45C7" w:rsidRPr="007A4A20">
        <w:rPr>
          <w:rFonts w:cs="Times New Roman"/>
          <w:b/>
          <w:bCs/>
          <w:szCs w:val="24"/>
        </w:rPr>
        <w:t>13</w:t>
      </w:r>
      <w:r>
        <w:rPr>
          <w:rFonts w:cs="Times New Roman"/>
          <w:b/>
          <w:bCs/>
          <w:szCs w:val="24"/>
        </w:rPr>
        <w:t> </w:t>
      </w:r>
      <w:r w:rsidR="00EB45C7" w:rsidRPr="007A4A20">
        <w:rPr>
          <w:rFonts w:cs="Times New Roman"/>
          <w:b/>
          <w:bCs/>
          <w:szCs w:val="24"/>
        </w:rPr>
        <w:t>protesti iesniegti fiziskās personas maksātnespējas lietās.</w:t>
      </w:r>
      <w:r w:rsidR="00EB45C7" w:rsidRPr="00C57B98">
        <w:rPr>
          <w:rFonts w:cs="Times New Roman"/>
          <w:szCs w:val="24"/>
        </w:rPr>
        <w:t xml:space="preserve">  </w:t>
      </w:r>
    </w:p>
    <w:p w14:paraId="712479AB" w14:textId="6693DD95" w:rsidR="00EB45C7" w:rsidRPr="00597EB8" w:rsidRDefault="00EB45C7" w:rsidP="00E329FC">
      <w:pPr>
        <w:pStyle w:val="ListParagraph"/>
        <w:numPr>
          <w:ilvl w:val="0"/>
          <w:numId w:val="20"/>
        </w:numPr>
        <w:spacing w:after="0" w:line="240" w:lineRule="auto"/>
        <w:jc w:val="both"/>
        <w:rPr>
          <w:rFonts w:cs="Times New Roman"/>
          <w:b/>
          <w:bCs/>
          <w:szCs w:val="24"/>
          <w:u w:val="single"/>
        </w:rPr>
      </w:pPr>
      <w:r w:rsidRPr="00597EB8">
        <w:rPr>
          <w:rFonts w:cs="Times New Roman"/>
          <w:szCs w:val="24"/>
          <w:u w:val="single"/>
        </w:rPr>
        <w:t>Lieta Nr.</w:t>
      </w:r>
      <w:r w:rsidR="005437F3">
        <w:rPr>
          <w:rFonts w:cs="Times New Roman"/>
          <w:szCs w:val="24"/>
          <w:u w:val="single"/>
        </w:rPr>
        <w:t> </w:t>
      </w:r>
      <w:r w:rsidRPr="00597EB8">
        <w:rPr>
          <w:rFonts w:cs="Times New Roman"/>
          <w:szCs w:val="24"/>
          <w:u w:val="single"/>
        </w:rPr>
        <w:t>SPC-1/2020</w:t>
      </w:r>
    </w:p>
    <w:p w14:paraId="1F5C8DD5" w14:textId="77777777" w:rsidR="00EB45C7" w:rsidRPr="00C57B98" w:rsidRDefault="00EB45C7" w:rsidP="00597EB8">
      <w:pPr>
        <w:spacing w:after="0" w:line="240" w:lineRule="auto"/>
        <w:ind w:left="709" w:firstLine="720"/>
        <w:jc w:val="both"/>
        <w:rPr>
          <w:rFonts w:cs="Times New Roman"/>
          <w:szCs w:val="24"/>
        </w:rPr>
      </w:pPr>
      <w:r w:rsidRPr="00C57B98">
        <w:rPr>
          <w:rFonts w:cs="Times New Roman"/>
          <w:szCs w:val="24"/>
        </w:rPr>
        <w:t xml:space="preserve">Protests iesniegts par Kurzemes rajona tiesas lēmumu, ar kuru noraidīta sabiedrības ar ierobežotu atbildību sūdzība par maksātnespējas procesa administratores lēmumu neatzīt kreditora prasījumu fiziskās personas maksātnespējas procesā. </w:t>
      </w:r>
    </w:p>
    <w:p w14:paraId="71AD8F97" w14:textId="3B26637A" w:rsidR="00BB3AA4" w:rsidRDefault="00EB45C7" w:rsidP="0052602E">
      <w:pPr>
        <w:spacing w:after="120" w:line="240" w:lineRule="auto"/>
        <w:ind w:left="709" w:firstLine="720"/>
        <w:jc w:val="both"/>
        <w:rPr>
          <w:rFonts w:cs="Times New Roman"/>
          <w:szCs w:val="24"/>
        </w:rPr>
      </w:pPr>
      <w:r w:rsidRPr="00C57B98">
        <w:rPr>
          <w:rFonts w:cs="Times New Roman"/>
          <w:szCs w:val="24"/>
        </w:rPr>
        <w:lastRenderedPageBreak/>
        <w:t>Senāts, apmierinot protestu, atzina, ka tiesa, izskatot sūdzību, ir izdarījusi pretrunīgus secinājumus, proti, atzinusi, ka strīds starp parādnieci un kreditori par prasījuma tiesībām un tā apmēru nepastāv, vienlaikus atzīstot administratores lēmumu, ar kuru nav atzīts kreditores prasījums, par pamatotu, kas ir pretrunā Maksātnespējas likuma 26., 74. un 75.</w:t>
      </w:r>
      <w:r w:rsidR="00BB3AA4">
        <w:rPr>
          <w:rFonts w:cs="Times New Roman"/>
          <w:szCs w:val="24"/>
        </w:rPr>
        <w:t> </w:t>
      </w:r>
      <w:r w:rsidRPr="00C57B98">
        <w:rPr>
          <w:rFonts w:cs="Times New Roman"/>
          <w:szCs w:val="24"/>
        </w:rPr>
        <w:t>pantam</w:t>
      </w:r>
      <w:r w:rsidR="0052602E">
        <w:rPr>
          <w:rFonts w:cs="Times New Roman"/>
          <w:szCs w:val="24"/>
        </w:rPr>
        <w:t>.</w:t>
      </w:r>
    </w:p>
    <w:p w14:paraId="638513D5" w14:textId="4C3D4BDB" w:rsidR="00EB45C7" w:rsidRPr="00BB3AA4" w:rsidRDefault="00EB45C7" w:rsidP="00E329FC">
      <w:pPr>
        <w:pStyle w:val="ListParagraph"/>
        <w:numPr>
          <w:ilvl w:val="0"/>
          <w:numId w:val="20"/>
        </w:numPr>
        <w:spacing w:after="0" w:line="240" w:lineRule="auto"/>
        <w:jc w:val="both"/>
        <w:rPr>
          <w:rFonts w:cs="Times New Roman"/>
          <w:b/>
          <w:bCs/>
          <w:szCs w:val="24"/>
        </w:rPr>
      </w:pPr>
      <w:r w:rsidRPr="00BB3AA4">
        <w:rPr>
          <w:rFonts w:cs="Times New Roman"/>
          <w:szCs w:val="24"/>
          <w:u w:val="single"/>
        </w:rPr>
        <w:t>Lieta Nr.</w:t>
      </w:r>
      <w:r w:rsidR="005437F3">
        <w:rPr>
          <w:rFonts w:cs="Times New Roman"/>
          <w:szCs w:val="24"/>
          <w:u w:val="single"/>
        </w:rPr>
        <w:t> </w:t>
      </w:r>
      <w:r w:rsidRPr="00BB3AA4">
        <w:rPr>
          <w:rFonts w:cs="Times New Roman"/>
          <w:szCs w:val="24"/>
          <w:u w:val="single"/>
        </w:rPr>
        <w:t>SPC-2/2020</w:t>
      </w:r>
    </w:p>
    <w:p w14:paraId="0356CBC4" w14:textId="0A50AA01" w:rsidR="00EB45C7" w:rsidRPr="00C57B98" w:rsidRDefault="00EB45C7" w:rsidP="00BB3AA4">
      <w:pPr>
        <w:spacing w:after="0" w:line="240" w:lineRule="auto"/>
        <w:ind w:left="709" w:firstLine="720"/>
        <w:jc w:val="both"/>
        <w:rPr>
          <w:rFonts w:cs="Times New Roman"/>
          <w:szCs w:val="24"/>
        </w:rPr>
      </w:pPr>
      <w:r w:rsidRPr="00C57B98">
        <w:rPr>
          <w:rFonts w:cs="Times New Roman"/>
          <w:szCs w:val="24"/>
        </w:rPr>
        <w:t xml:space="preserve">Protests iesniegts, jo Vidzemes rajona tiesa nepamatoti secinājusi, ka parādniecei maksātnespējas procesa bankrota procedūras laikā bija jānovirza </w:t>
      </w:r>
      <w:r w:rsidR="001E5E4D">
        <w:rPr>
          <w:rFonts w:cs="Times New Roman"/>
          <w:szCs w:val="24"/>
        </w:rPr>
        <w:t>viena trešd</w:t>
      </w:r>
      <w:r w:rsidRPr="00C57B98">
        <w:rPr>
          <w:rFonts w:cs="Times New Roman"/>
          <w:szCs w:val="24"/>
        </w:rPr>
        <w:t>aļ</w:t>
      </w:r>
      <w:r w:rsidR="001E5E4D">
        <w:rPr>
          <w:rFonts w:cs="Times New Roman"/>
          <w:szCs w:val="24"/>
        </w:rPr>
        <w:t>a</w:t>
      </w:r>
      <w:r w:rsidRPr="00C57B98">
        <w:rPr>
          <w:rFonts w:cs="Times New Roman"/>
          <w:szCs w:val="24"/>
        </w:rPr>
        <w:t xml:space="preserve"> no saviem ienākumiem kreditoru prasījumu segšanai. </w:t>
      </w:r>
    </w:p>
    <w:p w14:paraId="4B1629A8" w14:textId="62D1C759" w:rsidR="005437F3" w:rsidRDefault="00EB45C7" w:rsidP="00375172">
      <w:pPr>
        <w:spacing w:after="120" w:line="240" w:lineRule="auto"/>
        <w:ind w:left="709" w:firstLine="720"/>
        <w:jc w:val="both"/>
        <w:rPr>
          <w:rFonts w:cs="Times New Roman"/>
          <w:szCs w:val="24"/>
        </w:rPr>
      </w:pPr>
      <w:r w:rsidRPr="00C57B98">
        <w:rPr>
          <w:rFonts w:cs="Times New Roman"/>
          <w:szCs w:val="24"/>
        </w:rPr>
        <w:t>Lai arī iepriekš Senāts bija lēmis, ka protestā norādītā Maksātnespējas likuma interpretācija neatbilst Maksātnespējas likuma mērķim, Senāts, apmierinot protestu, ņēma vērā, ka likumdevējs ir precizējis savu gribu un 2019.</w:t>
      </w:r>
      <w:r w:rsidR="00BB3AA4">
        <w:rPr>
          <w:rFonts w:cs="Times New Roman"/>
          <w:szCs w:val="24"/>
        </w:rPr>
        <w:t> </w:t>
      </w:r>
      <w:r w:rsidRPr="00C57B98">
        <w:rPr>
          <w:rFonts w:cs="Times New Roman"/>
          <w:szCs w:val="24"/>
        </w:rPr>
        <w:t>gada 11.</w:t>
      </w:r>
      <w:r w:rsidR="00BB3AA4">
        <w:rPr>
          <w:rFonts w:cs="Times New Roman"/>
          <w:szCs w:val="24"/>
        </w:rPr>
        <w:t> </w:t>
      </w:r>
      <w:r w:rsidRPr="00C57B98">
        <w:rPr>
          <w:rFonts w:cs="Times New Roman"/>
          <w:szCs w:val="24"/>
        </w:rPr>
        <w:t>decembrī ir stājušies spēkā grozījumi Maksātnespējas likumā, ar kuriem veikti redakcionāli precizējumi 139.</w:t>
      </w:r>
      <w:r w:rsidR="005437F3">
        <w:rPr>
          <w:rFonts w:cs="Times New Roman"/>
          <w:szCs w:val="24"/>
        </w:rPr>
        <w:t> </w:t>
      </w:r>
      <w:r w:rsidRPr="00C57B98">
        <w:rPr>
          <w:rFonts w:cs="Times New Roman"/>
          <w:szCs w:val="24"/>
        </w:rPr>
        <w:t>panta 1.</w:t>
      </w:r>
      <w:r w:rsidR="005437F3">
        <w:rPr>
          <w:rFonts w:cs="Times New Roman"/>
          <w:szCs w:val="24"/>
        </w:rPr>
        <w:t> </w:t>
      </w:r>
      <w:r w:rsidRPr="00C57B98">
        <w:rPr>
          <w:rFonts w:cs="Times New Roman"/>
          <w:szCs w:val="24"/>
        </w:rPr>
        <w:t>punktā, 140.</w:t>
      </w:r>
      <w:r w:rsidR="005437F3">
        <w:rPr>
          <w:rFonts w:cs="Times New Roman"/>
          <w:szCs w:val="24"/>
        </w:rPr>
        <w:t> </w:t>
      </w:r>
      <w:r w:rsidRPr="00C57B98">
        <w:rPr>
          <w:rFonts w:cs="Times New Roman"/>
          <w:szCs w:val="24"/>
        </w:rPr>
        <w:t>panta 1.</w:t>
      </w:r>
      <w:r w:rsidR="005437F3">
        <w:rPr>
          <w:rFonts w:cs="Times New Roman"/>
          <w:szCs w:val="24"/>
        </w:rPr>
        <w:t> </w:t>
      </w:r>
      <w:r w:rsidRPr="00C57B98">
        <w:rPr>
          <w:rFonts w:cs="Times New Roman"/>
          <w:szCs w:val="24"/>
        </w:rPr>
        <w:t>punktā. Grozījumu mērķis ir nodrošināt, lai turpmāk Maksātnespējas likuma normu piemērotājiem būtu nepārprotami skaidrs, ka parādniekam fiziskās personas maksātnespējas procesā bankrota procedūras ietvaros ne vienmēr jānovirza viena trešdaļa no tās ienākumiem kreditoru prasījumu apmierināšanai</w:t>
      </w:r>
      <w:r w:rsidR="00375172">
        <w:rPr>
          <w:rFonts w:cs="Times New Roman"/>
          <w:szCs w:val="24"/>
        </w:rPr>
        <w:t>.</w:t>
      </w:r>
    </w:p>
    <w:p w14:paraId="1C123E10" w14:textId="632637F3" w:rsidR="00EB45C7" w:rsidRPr="005437F3" w:rsidRDefault="00EB45C7" w:rsidP="00E329FC">
      <w:pPr>
        <w:pStyle w:val="ListParagraph"/>
        <w:numPr>
          <w:ilvl w:val="0"/>
          <w:numId w:val="20"/>
        </w:numPr>
        <w:spacing w:after="0" w:line="240" w:lineRule="auto"/>
        <w:jc w:val="both"/>
        <w:rPr>
          <w:rFonts w:cs="Times New Roman"/>
          <w:b/>
          <w:bCs/>
          <w:szCs w:val="24"/>
        </w:rPr>
      </w:pPr>
      <w:r w:rsidRPr="005437F3">
        <w:rPr>
          <w:rFonts w:cs="Times New Roman"/>
          <w:szCs w:val="24"/>
          <w:u w:val="single"/>
        </w:rPr>
        <w:t>Lieta Nr.</w:t>
      </w:r>
      <w:r w:rsidR="005437F3">
        <w:rPr>
          <w:rFonts w:cs="Times New Roman"/>
          <w:szCs w:val="24"/>
          <w:u w:val="single"/>
        </w:rPr>
        <w:t> </w:t>
      </w:r>
      <w:r w:rsidRPr="005437F3">
        <w:rPr>
          <w:rFonts w:cs="Times New Roman"/>
          <w:szCs w:val="24"/>
          <w:u w:val="single"/>
        </w:rPr>
        <w:t>SPC- 5/2020</w:t>
      </w:r>
    </w:p>
    <w:p w14:paraId="02E39EC5" w14:textId="79D3E59D" w:rsidR="00EB45C7" w:rsidRPr="00C57B98" w:rsidRDefault="00EB45C7" w:rsidP="005437F3">
      <w:pPr>
        <w:spacing w:after="0" w:line="240" w:lineRule="auto"/>
        <w:ind w:left="709" w:firstLine="720"/>
        <w:jc w:val="both"/>
        <w:rPr>
          <w:rFonts w:cs="Times New Roman"/>
          <w:szCs w:val="24"/>
        </w:rPr>
      </w:pPr>
      <w:r w:rsidRPr="00C57B98">
        <w:rPr>
          <w:rFonts w:cs="Times New Roman"/>
          <w:szCs w:val="24"/>
        </w:rPr>
        <w:t>Protests iesniegts par Vidzemes rajona tiesas lēmumu neatbrīvot parādnieci no atlikušajām parādsaistībām, lai gan parādniece kreditoru prasījumu segšanai saistību dzēšanas procedūras laikā katru mēnesi pārskaitījusi</w:t>
      </w:r>
      <w:r w:rsidR="001E5E4D">
        <w:rPr>
          <w:rFonts w:cs="Times New Roman"/>
          <w:szCs w:val="24"/>
        </w:rPr>
        <w:t xml:space="preserve"> vienu treš</w:t>
      </w:r>
      <w:r w:rsidRPr="00C57B98">
        <w:rPr>
          <w:rFonts w:cs="Times New Roman"/>
          <w:szCs w:val="24"/>
        </w:rPr>
        <w:t>daļu no saviem faktiskajiem ienākumiem un neprecizitātes maksājumos novērsusi pirms pieteikuma par saistību dzēšanas procedūras un maksātnespējas procesa pabeigšanu iesniegšanas.</w:t>
      </w:r>
    </w:p>
    <w:p w14:paraId="714E8C75" w14:textId="2C48ECEC" w:rsidR="00EB45C7" w:rsidRPr="00C57B98" w:rsidRDefault="00EB45C7" w:rsidP="005437F3">
      <w:pPr>
        <w:spacing w:after="0" w:line="240" w:lineRule="auto"/>
        <w:ind w:left="709" w:firstLine="720"/>
        <w:jc w:val="both"/>
        <w:rPr>
          <w:rFonts w:cs="Times New Roman"/>
          <w:szCs w:val="24"/>
        </w:rPr>
      </w:pPr>
      <w:r w:rsidRPr="00C57B98">
        <w:rPr>
          <w:rFonts w:cs="Times New Roman"/>
          <w:szCs w:val="24"/>
        </w:rPr>
        <w:t>Apmierinot protestu, Senāts norādīja, ka, lai piepildītos Maksātnespējas likuma 164.</w:t>
      </w:r>
      <w:r w:rsidR="005437F3">
        <w:rPr>
          <w:rFonts w:cs="Times New Roman"/>
          <w:szCs w:val="24"/>
        </w:rPr>
        <w:t> </w:t>
      </w:r>
      <w:r w:rsidRPr="00C57B98">
        <w:rPr>
          <w:rFonts w:cs="Times New Roman"/>
          <w:szCs w:val="24"/>
        </w:rPr>
        <w:t>panta otrās daļas sastāvs, parādnieka pārkāpumam ir jābūt būtiskam, t.i., tādam, kas radījis kreditoru interešu aizskārumu un būtiski ietekmē kreditora apstiprināta prasījuma apmierināšanas iespēju. Pārkāpuma būtiskuma jēdziens ir piepildāms katrā lietā individuāli, izvērtējot konkrētās lietas apstākļus.</w:t>
      </w:r>
    </w:p>
    <w:p w14:paraId="4B79B213" w14:textId="467A142F" w:rsidR="004854C3" w:rsidRDefault="00EB45C7" w:rsidP="00375172">
      <w:pPr>
        <w:spacing w:after="120" w:line="240" w:lineRule="auto"/>
        <w:ind w:left="709" w:firstLine="720"/>
        <w:jc w:val="both"/>
        <w:rPr>
          <w:rFonts w:cs="Times New Roman"/>
          <w:szCs w:val="24"/>
        </w:rPr>
      </w:pPr>
      <w:r w:rsidRPr="00C57B98">
        <w:rPr>
          <w:rFonts w:cs="Times New Roman"/>
          <w:szCs w:val="24"/>
        </w:rPr>
        <w:t>Tiesai, lemjot par fiziskās personas atbrīvošanu vai neatbrīvošanu no saistību dzēšanas plānā atlikušajām saistībām, rūpīgi jāizvērtē lietas faktiskie un tiesiskie apstākļi, kā arī samērīgums starp parādnieka un kreditoru interesēm, ievērojot fiziskās personas maksātnespējas procesa mērķi un iesaistīto personu labticību, kas konkrētajā gadījumā nav izdarīts.</w:t>
      </w:r>
    </w:p>
    <w:p w14:paraId="648F94C5" w14:textId="44894565" w:rsidR="00EB45C7" w:rsidRPr="00F37863" w:rsidRDefault="00EB45C7" w:rsidP="00E329FC">
      <w:pPr>
        <w:pStyle w:val="ListParagraph"/>
        <w:numPr>
          <w:ilvl w:val="0"/>
          <w:numId w:val="20"/>
        </w:numPr>
        <w:spacing w:after="0" w:line="240" w:lineRule="auto"/>
        <w:jc w:val="both"/>
        <w:rPr>
          <w:rFonts w:cs="Times New Roman"/>
          <w:b/>
          <w:bCs/>
          <w:szCs w:val="24"/>
        </w:rPr>
      </w:pPr>
      <w:r w:rsidRPr="00F37863">
        <w:rPr>
          <w:rFonts w:cs="Times New Roman"/>
          <w:szCs w:val="24"/>
          <w:u w:val="single"/>
        </w:rPr>
        <w:t>Lietas Nr.</w:t>
      </w:r>
      <w:r w:rsidR="00F37863">
        <w:rPr>
          <w:rFonts w:cs="Times New Roman"/>
          <w:szCs w:val="24"/>
          <w:u w:val="single"/>
        </w:rPr>
        <w:t> </w:t>
      </w:r>
      <w:r w:rsidRPr="00F37863">
        <w:rPr>
          <w:rFonts w:cs="Times New Roman"/>
          <w:szCs w:val="24"/>
          <w:u w:val="single"/>
        </w:rPr>
        <w:t>SPC-7/2020; Nr.</w:t>
      </w:r>
      <w:r w:rsidR="00F37863">
        <w:rPr>
          <w:rFonts w:cs="Times New Roman"/>
          <w:szCs w:val="24"/>
          <w:u w:val="single"/>
        </w:rPr>
        <w:t> </w:t>
      </w:r>
      <w:r w:rsidRPr="00F37863">
        <w:rPr>
          <w:rFonts w:cs="Times New Roman"/>
          <w:szCs w:val="24"/>
          <w:u w:val="single"/>
        </w:rPr>
        <w:t>SPC-8/2020; Nr.</w:t>
      </w:r>
      <w:r w:rsidR="00F37863">
        <w:rPr>
          <w:rFonts w:cs="Times New Roman"/>
          <w:szCs w:val="24"/>
          <w:u w:val="single"/>
        </w:rPr>
        <w:t> </w:t>
      </w:r>
      <w:r w:rsidRPr="00F37863">
        <w:rPr>
          <w:rFonts w:cs="Times New Roman"/>
          <w:szCs w:val="24"/>
          <w:u w:val="single"/>
        </w:rPr>
        <w:t>SPC-17/2020; Nr.</w:t>
      </w:r>
      <w:r w:rsidR="00F37863">
        <w:rPr>
          <w:rFonts w:cs="Times New Roman"/>
          <w:szCs w:val="24"/>
          <w:u w:val="single"/>
        </w:rPr>
        <w:t> </w:t>
      </w:r>
      <w:r w:rsidRPr="00F37863">
        <w:rPr>
          <w:rFonts w:cs="Times New Roman"/>
          <w:szCs w:val="24"/>
          <w:u w:val="single"/>
        </w:rPr>
        <w:t>SPC-25/2020</w:t>
      </w:r>
    </w:p>
    <w:p w14:paraId="734B365C" w14:textId="77777777" w:rsidR="00EB45C7" w:rsidRPr="00C57B98" w:rsidRDefault="00EB45C7" w:rsidP="00F37863">
      <w:pPr>
        <w:spacing w:after="0" w:line="240" w:lineRule="auto"/>
        <w:ind w:left="709" w:firstLine="720"/>
        <w:jc w:val="both"/>
        <w:rPr>
          <w:rFonts w:cs="Times New Roman"/>
          <w:szCs w:val="24"/>
        </w:rPr>
      </w:pPr>
      <w:r w:rsidRPr="00C57B98">
        <w:rPr>
          <w:rFonts w:cs="Times New Roman"/>
          <w:szCs w:val="24"/>
        </w:rPr>
        <w:t>Protesti šajās lietās iesniegti saistībā ar Rīgas pilsētas Vidzemes priekšpilsētas tiesas un Rīgas pilsētas Pārdaugavas tiesas lēmumiem atbrīvot parādnieku no saistību dzēšanas plānā atlikušajām saistībām, neizvērtējot kreditoru prasījumu rašanās pamatu.</w:t>
      </w:r>
    </w:p>
    <w:p w14:paraId="27715DBC" w14:textId="6138025D" w:rsidR="00EB45C7" w:rsidRPr="00C57B98" w:rsidRDefault="00EB45C7" w:rsidP="00F37863">
      <w:pPr>
        <w:spacing w:after="0" w:line="240" w:lineRule="auto"/>
        <w:ind w:left="709" w:firstLine="720"/>
        <w:jc w:val="both"/>
        <w:rPr>
          <w:rFonts w:cs="Times New Roman"/>
          <w:szCs w:val="24"/>
        </w:rPr>
      </w:pPr>
      <w:r w:rsidRPr="00C57B98">
        <w:rPr>
          <w:rFonts w:cs="Times New Roman"/>
          <w:szCs w:val="24"/>
        </w:rPr>
        <w:t>Maksātnespējas likuma 164.</w:t>
      </w:r>
      <w:r w:rsidR="00F37863">
        <w:rPr>
          <w:rFonts w:cs="Times New Roman"/>
          <w:szCs w:val="24"/>
        </w:rPr>
        <w:t> </w:t>
      </w:r>
      <w:r w:rsidRPr="00C57B98">
        <w:rPr>
          <w:rFonts w:cs="Times New Roman"/>
          <w:szCs w:val="24"/>
        </w:rPr>
        <w:t>panta ceturtajā daļā nostiprināts vispārējs princips, atbilstoši kuram fiziskā persona maksātnespējas procesā nekādos apstākļos nevar tikt atbrīvota no saistībām, kuru pamatā ir neatļauta darbība.</w:t>
      </w:r>
    </w:p>
    <w:p w14:paraId="4325C7F1" w14:textId="77777777" w:rsidR="00EB45C7" w:rsidRPr="00C57B98" w:rsidRDefault="00EB45C7" w:rsidP="00F37863">
      <w:pPr>
        <w:spacing w:after="0" w:line="240" w:lineRule="auto"/>
        <w:ind w:left="709" w:firstLine="720"/>
        <w:jc w:val="both"/>
        <w:rPr>
          <w:rFonts w:cs="Times New Roman"/>
          <w:szCs w:val="24"/>
        </w:rPr>
      </w:pPr>
      <w:r w:rsidRPr="00C57B98">
        <w:rPr>
          <w:rFonts w:cs="Times New Roman"/>
          <w:szCs w:val="24"/>
        </w:rPr>
        <w:t>Senāts vairākkārtīgi ir norādījis, ka neatļauta darbība ir formulēta kā atklāts juridisks jēdziens, kas piepildāms ar saturu katru reizi no jauna.</w:t>
      </w:r>
    </w:p>
    <w:p w14:paraId="1B744FCE" w14:textId="2285110C" w:rsidR="00EB45C7" w:rsidRPr="00C57B98" w:rsidRDefault="00EB45C7" w:rsidP="00F37863">
      <w:pPr>
        <w:spacing w:after="0" w:line="240" w:lineRule="auto"/>
        <w:ind w:left="709" w:firstLine="720"/>
        <w:jc w:val="both"/>
        <w:rPr>
          <w:rFonts w:cs="Times New Roman"/>
          <w:szCs w:val="24"/>
        </w:rPr>
      </w:pPr>
      <w:r w:rsidRPr="00C57B98">
        <w:rPr>
          <w:rFonts w:cs="Times New Roman"/>
          <w:szCs w:val="24"/>
        </w:rPr>
        <w:t>Lietās Nr.</w:t>
      </w:r>
      <w:r w:rsidR="00F37863">
        <w:rPr>
          <w:rFonts w:cs="Times New Roman"/>
          <w:szCs w:val="24"/>
        </w:rPr>
        <w:t> </w:t>
      </w:r>
      <w:r w:rsidRPr="00C57B98">
        <w:rPr>
          <w:rFonts w:cs="Times New Roman"/>
          <w:szCs w:val="24"/>
        </w:rPr>
        <w:t>SPC-7/2020; Nr.</w:t>
      </w:r>
      <w:r w:rsidR="00F37863">
        <w:rPr>
          <w:rFonts w:cs="Times New Roman"/>
          <w:szCs w:val="24"/>
        </w:rPr>
        <w:t>  </w:t>
      </w:r>
      <w:r w:rsidRPr="00C57B98">
        <w:rPr>
          <w:rFonts w:cs="Times New Roman"/>
          <w:szCs w:val="24"/>
        </w:rPr>
        <w:t xml:space="preserve">SPC-8/2020; Nr.SPC-17/2020 iesniegtie protesti apmierināti, jo tiesa, lemjot par parādnieka atbrīvošanu no atlikušajām parādsaistībām, nav izvērtējusi kreditora prasījumus, kuru pamatā ir apdrošinātāju regresa kārtībā pieteikts prasījums par ceļu satiksmes negadījumā trešajai personai nodarīto zaudējumu atlīdzināšanu. </w:t>
      </w:r>
    </w:p>
    <w:p w14:paraId="4506B6E9" w14:textId="4C6CD5FA" w:rsidR="004854C3" w:rsidRDefault="00EB45C7" w:rsidP="00F37863">
      <w:pPr>
        <w:spacing w:after="0" w:line="240" w:lineRule="auto"/>
        <w:ind w:left="709" w:firstLine="720"/>
        <w:jc w:val="both"/>
        <w:rPr>
          <w:rFonts w:cs="Times New Roman"/>
          <w:szCs w:val="24"/>
        </w:rPr>
      </w:pPr>
      <w:r w:rsidRPr="00C57B98">
        <w:rPr>
          <w:rFonts w:cs="Times New Roman"/>
          <w:szCs w:val="24"/>
        </w:rPr>
        <w:t>Lietā Nr.</w:t>
      </w:r>
      <w:r w:rsidR="00F37863">
        <w:rPr>
          <w:rFonts w:cs="Times New Roman"/>
          <w:szCs w:val="24"/>
        </w:rPr>
        <w:t> </w:t>
      </w:r>
      <w:r w:rsidRPr="00C57B98">
        <w:rPr>
          <w:rFonts w:cs="Times New Roman"/>
          <w:szCs w:val="24"/>
        </w:rPr>
        <w:t>SPC-25/2020 Rīgas pilsētas Pārdaugavas tiesa nav izvērtējusi Valsts ieņēmumu dienesta prasījuma pamatu – Latgales apgabaltiesas Civillietu tiesas kolēģijas 2012.</w:t>
      </w:r>
      <w:r w:rsidR="004854C3">
        <w:rPr>
          <w:rFonts w:cs="Times New Roman"/>
          <w:szCs w:val="24"/>
        </w:rPr>
        <w:t> </w:t>
      </w:r>
      <w:r w:rsidRPr="00C57B98">
        <w:rPr>
          <w:rFonts w:cs="Times New Roman"/>
          <w:szCs w:val="24"/>
        </w:rPr>
        <w:t>gada 8.</w:t>
      </w:r>
      <w:r w:rsidR="004854C3">
        <w:rPr>
          <w:rFonts w:cs="Times New Roman"/>
          <w:szCs w:val="24"/>
        </w:rPr>
        <w:t> </w:t>
      </w:r>
      <w:r w:rsidRPr="00C57B98">
        <w:rPr>
          <w:rFonts w:cs="Times New Roman"/>
          <w:szCs w:val="24"/>
        </w:rPr>
        <w:t>maija spriedumu</w:t>
      </w:r>
      <w:r w:rsidR="004854C3">
        <w:rPr>
          <w:rFonts w:cs="Times New Roman"/>
          <w:szCs w:val="24"/>
        </w:rPr>
        <w:t xml:space="preserve"> –</w:t>
      </w:r>
      <w:r w:rsidRPr="00C57B98">
        <w:rPr>
          <w:rFonts w:cs="Times New Roman"/>
          <w:szCs w:val="24"/>
        </w:rPr>
        <w:t xml:space="preserve">, ar kuru apmierināta Dienvidlatgales </w:t>
      </w:r>
      <w:r w:rsidRPr="00C57B98">
        <w:rPr>
          <w:rFonts w:cs="Times New Roman"/>
          <w:szCs w:val="24"/>
        </w:rPr>
        <w:lastRenderedPageBreak/>
        <w:t>virsmežniecības prasība pret privātpersonu par zaudējumu, kas radušies administratīvā pārkāpuma rezultātā, veicot patvaļīgu meža zemes transformāciju, piedziņu.</w:t>
      </w:r>
    </w:p>
    <w:p w14:paraId="0659BDA7" w14:textId="3BCD5D60" w:rsidR="00375172" w:rsidRDefault="00375172" w:rsidP="00F37863">
      <w:pPr>
        <w:spacing w:after="0" w:line="240" w:lineRule="auto"/>
        <w:ind w:left="709" w:firstLine="720"/>
        <w:jc w:val="both"/>
        <w:rPr>
          <w:rFonts w:cs="Times New Roman"/>
          <w:szCs w:val="24"/>
        </w:rPr>
      </w:pPr>
    </w:p>
    <w:p w14:paraId="5083FE12" w14:textId="77777777" w:rsidR="00375172" w:rsidRPr="00C57B98" w:rsidRDefault="00375172" w:rsidP="00F37863">
      <w:pPr>
        <w:spacing w:after="0" w:line="240" w:lineRule="auto"/>
        <w:ind w:left="709" w:firstLine="720"/>
        <w:jc w:val="both"/>
        <w:rPr>
          <w:rFonts w:cs="Times New Roman"/>
          <w:szCs w:val="24"/>
        </w:rPr>
      </w:pPr>
    </w:p>
    <w:p w14:paraId="6A18BBD9" w14:textId="7C5F171C" w:rsidR="00EB45C7" w:rsidRPr="004854C3" w:rsidRDefault="00EB45C7" w:rsidP="00E329FC">
      <w:pPr>
        <w:pStyle w:val="ListParagraph"/>
        <w:numPr>
          <w:ilvl w:val="0"/>
          <w:numId w:val="20"/>
        </w:numPr>
        <w:spacing w:after="0" w:line="240" w:lineRule="auto"/>
        <w:rPr>
          <w:rFonts w:cs="Times New Roman"/>
          <w:b/>
          <w:bCs/>
          <w:szCs w:val="24"/>
        </w:rPr>
      </w:pPr>
      <w:r w:rsidRPr="004854C3">
        <w:rPr>
          <w:rFonts w:cs="Times New Roman"/>
          <w:szCs w:val="24"/>
          <w:u w:val="single"/>
        </w:rPr>
        <w:t>Lietas Nr.</w:t>
      </w:r>
      <w:r w:rsidR="001D5D61">
        <w:rPr>
          <w:rFonts w:cs="Times New Roman"/>
          <w:szCs w:val="24"/>
          <w:u w:val="single"/>
        </w:rPr>
        <w:t> </w:t>
      </w:r>
      <w:r w:rsidRPr="004854C3">
        <w:rPr>
          <w:rFonts w:cs="Times New Roman"/>
          <w:szCs w:val="24"/>
          <w:u w:val="single"/>
        </w:rPr>
        <w:t>SPC-10/2020; Nr.</w:t>
      </w:r>
      <w:r w:rsidR="001D5D61">
        <w:rPr>
          <w:rFonts w:cs="Times New Roman"/>
          <w:szCs w:val="24"/>
          <w:u w:val="single"/>
        </w:rPr>
        <w:t> </w:t>
      </w:r>
      <w:r w:rsidRPr="004854C3">
        <w:rPr>
          <w:rFonts w:cs="Times New Roman"/>
          <w:szCs w:val="24"/>
          <w:u w:val="single"/>
        </w:rPr>
        <w:t>SPC-11/2020; Nr.</w:t>
      </w:r>
      <w:r w:rsidR="001D5D61">
        <w:rPr>
          <w:rFonts w:cs="Times New Roman"/>
          <w:szCs w:val="24"/>
          <w:u w:val="single"/>
        </w:rPr>
        <w:t> </w:t>
      </w:r>
      <w:r w:rsidRPr="004854C3">
        <w:rPr>
          <w:rFonts w:cs="Times New Roman"/>
          <w:szCs w:val="24"/>
          <w:u w:val="single"/>
        </w:rPr>
        <w:t>SPC-30/2020</w:t>
      </w:r>
    </w:p>
    <w:p w14:paraId="51EB5563" w14:textId="43FF49E5" w:rsidR="00EB45C7" w:rsidRPr="00C57B98" w:rsidRDefault="00EB45C7" w:rsidP="004854C3">
      <w:pPr>
        <w:spacing w:after="0" w:line="240" w:lineRule="auto"/>
        <w:ind w:left="709" w:firstLine="720"/>
        <w:jc w:val="both"/>
        <w:rPr>
          <w:rFonts w:cs="Times New Roman"/>
          <w:szCs w:val="24"/>
        </w:rPr>
      </w:pPr>
      <w:r w:rsidRPr="00C57B98">
        <w:rPr>
          <w:rFonts w:cs="Times New Roman"/>
          <w:szCs w:val="24"/>
        </w:rPr>
        <w:t>Lietās Nr.</w:t>
      </w:r>
      <w:r w:rsidR="001D5D61">
        <w:rPr>
          <w:rFonts w:cs="Times New Roman"/>
          <w:szCs w:val="24"/>
        </w:rPr>
        <w:t> </w:t>
      </w:r>
      <w:r w:rsidRPr="00C57B98">
        <w:rPr>
          <w:rFonts w:cs="Times New Roman"/>
          <w:szCs w:val="24"/>
        </w:rPr>
        <w:t>SPC-10/2020 un Nr.</w:t>
      </w:r>
      <w:r w:rsidR="001D5D61">
        <w:rPr>
          <w:rFonts w:cs="Times New Roman"/>
          <w:szCs w:val="24"/>
        </w:rPr>
        <w:t> </w:t>
      </w:r>
      <w:r w:rsidRPr="00C57B98">
        <w:rPr>
          <w:rFonts w:cs="Times New Roman"/>
          <w:szCs w:val="24"/>
        </w:rPr>
        <w:t>SPC-11/2020 protesti iesniegti par Rīgas pilsētas Pārdaugavas tiesas un</w:t>
      </w:r>
      <w:r w:rsidR="00F91F5A">
        <w:rPr>
          <w:rFonts w:cs="Times New Roman"/>
          <w:szCs w:val="24"/>
        </w:rPr>
        <w:t xml:space="preserve"> </w:t>
      </w:r>
      <w:r w:rsidRPr="00C57B98">
        <w:rPr>
          <w:rFonts w:cs="Times New Roman"/>
          <w:szCs w:val="24"/>
        </w:rPr>
        <w:t>Kurzemes rajona tiesas lēmumiem saistībā ar Maksātnespējas</w:t>
      </w:r>
      <w:r w:rsidR="001D5D61">
        <w:rPr>
          <w:rFonts w:cs="Times New Roman"/>
          <w:szCs w:val="24"/>
        </w:rPr>
        <w:t xml:space="preserve"> likuma </w:t>
      </w:r>
      <w:r w:rsidRPr="00C57B98">
        <w:rPr>
          <w:rFonts w:cs="Times New Roman"/>
          <w:szCs w:val="24"/>
        </w:rPr>
        <w:t>155.</w:t>
      </w:r>
      <w:r w:rsidR="001D5D61">
        <w:rPr>
          <w:rFonts w:cs="Times New Roman"/>
          <w:szCs w:val="24"/>
        </w:rPr>
        <w:t> </w:t>
      </w:r>
      <w:r w:rsidRPr="00C57B98">
        <w:rPr>
          <w:rFonts w:cs="Times New Roman"/>
          <w:szCs w:val="24"/>
        </w:rPr>
        <w:t>panta piemērošanu un pareizu saistību dzēšanas plāna termiņa noteikšanu. Minētajos gadījumos tiesa nepareizi novērtējusi lietā konstatētos apstākļus un uz tiem attiecinājusi Maksātnespējas likuma 155.</w:t>
      </w:r>
      <w:r w:rsidR="001D5D61">
        <w:rPr>
          <w:rFonts w:cs="Times New Roman"/>
          <w:szCs w:val="24"/>
        </w:rPr>
        <w:t> </w:t>
      </w:r>
      <w:r w:rsidRPr="00C57B98">
        <w:rPr>
          <w:rFonts w:cs="Times New Roman"/>
          <w:szCs w:val="24"/>
        </w:rPr>
        <w:t>panta ceturtās daļas 1.</w:t>
      </w:r>
      <w:r w:rsidR="001D5D61">
        <w:rPr>
          <w:rFonts w:cs="Times New Roman"/>
          <w:szCs w:val="24"/>
        </w:rPr>
        <w:t> </w:t>
      </w:r>
      <w:r w:rsidRPr="00C57B98">
        <w:rPr>
          <w:rFonts w:cs="Times New Roman"/>
          <w:szCs w:val="24"/>
        </w:rPr>
        <w:t xml:space="preserve">punktu, nepamatoti saīsinot saistību dzēšanas procedūras termiņu. </w:t>
      </w:r>
    </w:p>
    <w:p w14:paraId="4C37A3D6" w14:textId="194063FF" w:rsidR="00EB45C7" w:rsidRPr="00C57B98" w:rsidRDefault="00EB45C7" w:rsidP="004854C3">
      <w:pPr>
        <w:spacing w:after="0" w:line="240" w:lineRule="auto"/>
        <w:ind w:left="709" w:firstLine="720"/>
        <w:jc w:val="both"/>
        <w:rPr>
          <w:rFonts w:cs="Times New Roman"/>
          <w:szCs w:val="24"/>
        </w:rPr>
      </w:pPr>
      <w:r w:rsidRPr="00C57B98">
        <w:rPr>
          <w:rFonts w:cs="Times New Roman"/>
          <w:szCs w:val="24"/>
        </w:rPr>
        <w:t>Senāts lēmumos norādīja, ka tiesai, lemjot par saistību dzēšanas plāna apstiprināšanu, vajadzēja pārliecināties, vai konkrētajā gadījumā, ņemot vērā pēc bankrota procedūras atlikušo saistību apmēru un parādnieka plānotos ienākumus, nepastāv Maksātnespējas likuma 155.</w:t>
      </w:r>
      <w:r w:rsidR="001D5D61">
        <w:rPr>
          <w:rFonts w:cs="Times New Roman"/>
          <w:szCs w:val="24"/>
        </w:rPr>
        <w:t> </w:t>
      </w:r>
      <w:r w:rsidRPr="00C57B98">
        <w:rPr>
          <w:rFonts w:cs="Times New Roman"/>
          <w:szCs w:val="24"/>
        </w:rPr>
        <w:t>panta trešās daļas 2.</w:t>
      </w:r>
      <w:r w:rsidR="001D5D61">
        <w:rPr>
          <w:rFonts w:cs="Times New Roman"/>
          <w:szCs w:val="24"/>
        </w:rPr>
        <w:t> </w:t>
      </w:r>
      <w:r w:rsidRPr="00C57B98">
        <w:rPr>
          <w:rFonts w:cs="Times New Roman"/>
          <w:szCs w:val="24"/>
        </w:rPr>
        <w:t>punktā norādītie apstākļi, proti, parādnieka ienākumi viena gada un sešu mēnešu laikā ļauj viņam segt vismaz 20</w:t>
      </w:r>
      <w:r w:rsidR="001D5D61">
        <w:rPr>
          <w:rFonts w:cs="Times New Roman"/>
          <w:szCs w:val="24"/>
        </w:rPr>
        <w:t> </w:t>
      </w:r>
      <w:r w:rsidRPr="00C57B98">
        <w:rPr>
          <w:rFonts w:cs="Times New Roman"/>
          <w:szCs w:val="24"/>
        </w:rPr>
        <w:t>procentus no kopējām saistībām.</w:t>
      </w:r>
    </w:p>
    <w:p w14:paraId="0D951FAA" w14:textId="62735ACF" w:rsidR="00EB45C7" w:rsidRPr="00C57B98" w:rsidRDefault="00EB45C7" w:rsidP="004854C3">
      <w:pPr>
        <w:spacing w:after="0" w:line="240" w:lineRule="auto"/>
        <w:ind w:left="709" w:firstLine="720"/>
        <w:jc w:val="both"/>
        <w:rPr>
          <w:rFonts w:cs="Times New Roman"/>
          <w:szCs w:val="24"/>
        </w:rPr>
      </w:pPr>
      <w:r w:rsidRPr="00C57B98">
        <w:rPr>
          <w:rFonts w:cs="Times New Roman"/>
          <w:szCs w:val="24"/>
        </w:rPr>
        <w:t>Protesti apmierināti, jo tiesa minētos apstākļus nav vērtējusi un nepareizi piemērojusi Maksātnespējas likuma 155.</w:t>
      </w:r>
      <w:r w:rsidR="001D5D61">
        <w:rPr>
          <w:rFonts w:cs="Times New Roman"/>
          <w:szCs w:val="24"/>
        </w:rPr>
        <w:t> </w:t>
      </w:r>
      <w:r w:rsidRPr="00C57B98">
        <w:rPr>
          <w:rFonts w:cs="Times New Roman"/>
          <w:szCs w:val="24"/>
        </w:rPr>
        <w:t>panta ceturtās daļas 1.</w:t>
      </w:r>
      <w:r w:rsidR="001D5D61">
        <w:rPr>
          <w:rFonts w:cs="Times New Roman"/>
          <w:szCs w:val="24"/>
        </w:rPr>
        <w:t> </w:t>
      </w:r>
      <w:r w:rsidRPr="00C57B98">
        <w:rPr>
          <w:rFonts w:cs="Times New Roman"/>
          <w:szCs w:val="24"/>
        </w:rPr>
        <w:t>punktu, tādejādi pārkāpjot Civilprocesa likuma 363.</w:t>
      </w:r>
      <w:r w:rsidRPr="00C57B98">
        <w:rPr>
          <w:rFonts w:cs="Times New Roman"/>
          <w:szCs w:val="24"/>
          <w:vertAlign w:val="superscript"/>
        </w:rPr>
        <w:t>31</w:t>
      </w:r>
      <w:r w:rsidR="001D5D61">
        <w:rPr>
          <w:rFonts w:cs="Times New Roman"/>
          <w:szCs w:val="24"/>
          <w:vertAlign w:val="superscript"/>
        </w:rPr>
        <w:t> </w:t>
      </w:r>
      <w:r w:rsidRPr="00C57B98">
        <w:rPr>
          <w:rFonts w:cs="Times New Roman"/>
          <w:szCs w:val="24"/>
        </w:rPr>
        <w:t>panta trešās daļas normas.</w:t>
      </w:r>
    </w:p>
    <w:p w14:paraId="2CEC64D9" w14:textId="2AC68D41" w:rsidR="00EB45C7" w:rsidRPr="00C57B98" w:rsidRDefault="00EB45C7" w:rsidP="004854C3">
      <w:pPr>
        <w:spacing w:after="0" w:line="240" w:lineRule="auto"/>
        <w:ind w:left="709" w:firstLine="720"/>
        <w:jc w:val="both"/>
        <w:rPr>
          <w:rFonts w:cs="Times New Roman"/>
          <w:szCs w:val="24"/>
        </w:rPr>
      </w:pPr>
      <w:r w:rsidRPr="00C57B98">
        <w:rPr>
          <w:rFonts w:cs="Times New Roman"/>
          <w:szCs w:val="24"/>
        </w:rPr>
        <w:t>Lietā Nr.</w:t>
      </w:r>
      <w:r w:rsidR="00F87814">
        <w:rPr>
          <w:rFonts w:cs="Times New Roman"/>
          <w:szCs w:val="24"/>
        </w:rPr>
        <w:t> </w:t>
      </w:r>
      <w:r w:rsidRPr="00C57B98">
        <w:rPr>
          <w:rFonts w:cs="Times New Roman"/>
          <w:szCs w:val="24"/>
        </w:rPr>
        <w:t>SPC</w:t>
      </w:r>
      <w:r w:rsidR="00F87814">
        <w:rPr>
          <w:rFonts w:cs="Times New Roman"/>
          <w:szCs w:val="24"/>
        </w:rPr>
        <w:t>-</w:t>
      </w:r>
      <w:r w:rsidRPr="00C57B98">
        <w:rPr>
          <w:rFonts w:cs="Times New Roman"/>
          <w:szCs w:val="24"/>
        </w:rPr>
        <w:t>30/2020 Senāts papildus augstāk minētajiem argumentiem par saistību dzēšanas plāna termiņa pareizu noteikšanu, vērtēja jautājumu par Maksātnespējas likuma 160.</w:t>
      </w:r>
      <w:r w:rsidR="00F87814">
        <w:rPr>
          <w:rFonts w:cs="Times New Roman"/>
          <w:szCs w:val="24"/>
        </w:rPr>
        <w:t> </w:t>
      </w:r>
      <w:r w:rsidRPr="00C57B98">
        <w:rPr>
          <w:rFonts w:cs="Times New Roman"/>
          <w:szCs w:val="24"/>
        </w:rPr>
        <w:t>panta 2.</w:t>
      </w:r>
      <w:r w:rsidR="00F87814">
        <w:rPr>
          <w:rFonts w:cs="Times New Roman"/>
          <w:szCs w:val="24"/>
        </w:rPr>
        <w:t> </w:t>
      </w:r>
      <w:r w:rsidRPr="00C57B98">
        <w:rPr>
          <w:rFonts w:cs="Times New Roman"/>
          <w:szCs w:val="24"/>
        </w:rPr>
        <w:t>punktā paredzētā  ienākumu gūšanas pienākuma izpildi.</w:t>
      </w:r>
    </w:p>
    <w:p w14:paraId="03E59321" w14:textId="77777777" w:rsidR="00EB45C7" w:rsidRPr="00C57B98" w:rsidRDefault="00EB45C7" w:rsidP="004854C3">
      <w:pPr>
        <w:spacing w:after="0" w:line="240" w:lineRule="auto"/>
        <w:ind w:left="709" w:firstLine="720"/>
        <w:jc w:val="both"/>
        <w:rPr>
          <w:rFonts w:cs="Times New Roman"/>
          <w:szCs w:val="24"/>
        </w:rPr>
      </w:pPr>
      <w:r w:rsidRPr="00C57B98">
        <w:rPr>
          <w:rFonts w:cs="Times New Roman"/>
          <w:szCs w:val="24"/>
        </w:rPr>
        <w:t xml:space="preserve">Senāts atzina, ka Daugavpils tiesa, apstiprinot parādnieces saistību dzēšanas plānu un pasludinot saistību dzēšanas procedūru, nav ņēmusi vērā būtiskus apstākļus, kas varētu liecināt par parādnieces vēlmi negodprātīgi izmantot maksātnespējas procesa regulējumu un atbrīvoties no saistību lielākās daļas, nepildot likumā noteiktos pienākumus. </w:t>
      </w:r>
    </w:p>
    <w:p w14:paraId="365C52BC" w14:textId="77777777" w:rsidR="001D5D61" w:rsidRDefault="00EB45C7" w:rsidP="004854C3">
      <w:pPr>
        <w:spacing w:after="0" w:line="240" w:lineRule="auto"/>
        <w:ind w:left="709" w:firstLine="720"/>
        <w:jc w:val="both"/>
        <w:rPr>
          <w:rFonts w:cs="Times New Roman"/>
          <w:szCs w:val="24"/>
        </w:rPr>
      </w:pPr>
      <w:r w:rsidRPr="00C57B98">
        <w:rPr>
          <w:rFonts w:cs="Times New Roman"/>
          <w:szCs w:val="24"/>
        </w:rPr>
        <w:t>Pirmkārt, no lietas materiāliem izriet, ka parādniece vispār neplāno gūt ienākumus, bet ar parādnieces kreditoriem faktiski norēķināsies viņas laulātais.</w:t>
      </w:r>
    </w:p>
    <w:p w14:paraId="4A9EADF4" w14:textId="1080C042" w:rsidR="00EB45C7" w:rsidRPr="00C57B98" w:rsidRDefault="00EB45C7" w:rsidP="004854C3">
      <w:pPr>
        <w:spacing w:after="0" w:line="240" w:lineRule="auto"/>
        <w:ind w:left="709" w:firstLine="720"/>
        <w:jc w:val="both"/>
        <w:rPr>
          <w:rFonts w:cs="Times New Roman"/>
          <w:szCs w:val="24"/>
        </w:rPr>
      </w:pPr>
      <w:r w:rsidRPr="00C57B98">
        <w:rPr>
          <w:rFonts w:cs="Times New Roman"/>
          <w:szCs w:val="24"/>
        </w:rPr>
        <w:tab/>
        <w:t>Otrkārt, no lietas materiāliem redzams, ka parādniece pirms grūtniecības iestāšanās ilgstoši (vismaz pusgadu) neguva nekādus ienākumus un, lai gan pieteikuma iesniegšanas brīdī zināja par savu grūtniecību, neplānoja gūt ienākumus maksātnespējas procesa laikā. Ja parādniece pirms maksātnespējas procesa pasludināšanas būtu guvusi ienākumus, par kuriem maksāti nodokļi, tad grūtniecības iestāšanās nebūtu šķērslis, lai kreditoru prasījumu segšanai novirzītu līdzekļus no parādniecei piešķirtā maternitātes pabalsta.</w:t>
      </w:r>
    </w:p>
    <w:p w14:paraId="2982B518" w14:textId="72B6DC57" w:rsidR="00F87814" w:rsidRPr="00C57B98" w:rsidRDefault="00EB45C7" w:rsidP="00375172">
      <w:pPr>
        <w:spacing w:after="120" w:line="240" w:lineRule="auto"/>
        <w:ind w:left="709" w:firstLine="720"/>
        <w:jc w:val="both"/>
        <w:rPr>
          <w:rFonts w:cs="Times New Roman"/>
          <w:szCs w:val="24"/>
        </w:rPr>
      </w:pPr>
      <w:r w:rsidRPr="00C57B98">
        <w:rPr>
          <w:rFonts w:cs="Times New Roman"/>
          <w:szCs w:val="24"/>
        </w:rPr>
        <w:t>Senāta ieskatā, nedodot novērtējumu minētajiem apstākļiem, nav iespējams izdarīt pamatotu secinājumu, vai konkrētajā gadījumā pastāv Maksātnespējas likuma 153.</w:t>
      </w:r>
      <w:r w:rsidR="00F87814">
        <w:rPr>
          <w:rFonts w:cs="Times New Roman"/>
          <w:szCs w:val="24"/>
        </w:rPr>
        <w:t> </w:t>
      </w:r>
      <w:r w:rsidRPr="00C57B98">
        <w:rPr>
          <w:rFonts w:cs="Times New Roman"/>
          <w:szCs w:val="24"/>
        </w:rPr>
        <w:t xml:space="preserve">pantā noteiktie ierobežojumi saistību dzēšanas procedūras piemērošanai. </w:t>
      </w:r>
    </w:p>
    <w:p w14:paraId="34F4A6A1" w14:textId="142B0E92" w:rsidR="00EB45C7" w:rsidRPr="00F87814" w:rsidRDefault="00EB45C7" w:rsidP="00E329FC">
      <w:pPr>
        <w:pStyle w:val="ListParagraph"/>
        <w:numPr>
          <w:ilvl w:val="0"/>
          <w:numId w:val="20"/>
        </w:numPr>
        <w:spacing w:after="0" w:line="240" w:lineRule="auto"/>
        <w:rPr>
          <w:rFonts w:cs="Times New Roman"/>
          <w:b/>
          <w:bCs/>
          <w:szCs w:val="24"/>
        </w:rPr>
      </w:pPr>
      <w:r w:rsidRPr="00F87814">
        <w:rPr>
          <w:rFonts w:cs="Times New Roman"/>
          <w:szCs w:val="24"/>
          <w:u w:val="single"/>
        </w:rPr>
        <w:t>Lietas Nr.</w:t>
      </w:r>
      <w:r w:rsidR="00466EFE">
        <w:rPr>
          <w:rFonts w:cs="Times New Roman"/>
          <w:szCs w:val="24"/>
          <w:u w:val="single"/>
        </w:rPr>
        <w:t> </w:t>
      </w:r>
      <w:r w:rsidRPr="00F87814">
        <w:rPr>
          <w:rFonts w:cs="Times New Roman"/>
          <w:szCs w:val="24"/>
          <w:u w:val="single"/>
        </w:rPr>
        <w:t>SPC-14/2020; Nr.</w:t>
      </w:r>
      <w:r w:rsidR="00466EFE">
        <w:rPr>
          <w:rFonts w:cs="Times New Roman"/>
          <w:szCs w:val="24"/>
          <w:u w:val="single"/>
        </w:rPr>
        <w:t> </w:t>
      </w:r>
      <w:r w:rsidRPr="00F87814">
        <w:rPr>
          <w:rFonts w:cs="Times New Roman"/>
          <w:szCs w:val="24"/>
          <w:u w:val="single"/>
        </w:rPr>
        <w:t>SPC-23/2020; Nr.</w:t>
      </w:r>
      <w:r w:rsidR="00466EFE">
        <w:rPr>
          <w:rFonts w:cs="Times New Roman"/>
          <w:szCs w:val="24"/>
          <w:u w:val="single"/>
        </w:rPr>
        <w:t> </w:t>
      </w:r>
      <w:r w:rsidRPr="00F87814">
        <w:rPr>
          <w:rFonts w:cs="Times New Roman"/>
          <w:szCs w:val="24"/>
          <w:u w:val="single"/>
        </w:rPr>
        <w:t>SPC-13/2020</w:t>
      </w:r>
    </w:p>
    <w:p w14:paraId="28A93A05" w14:textId="52DAA21F" w:rsidR="00EB45C7" w:rsidRPr="00C57B98" w:rsidRDefault="00EB45C7" w:rsidP="00F87814">
      <w:pPr>
        <w:spacing w:after="0" w:line="240" w:lineRule="auto"/>
        <w:ind w:left="709" w:firstLine="720"/>
        <w:jc w:val="both"/>
        <w:rPr>
          <w:rFonts w:cs="Times New Roman"/>
          <w:szCs w:val="24"/>
        </w:rPr>
      </w:pPr>
      <w:r w:rsidRPr="00C57B98">
        <w:rPr>
          <w:rFonts w:cs="Times New Roman"/>
          <w:szCs w:val="24"/>
        </w:rPr>
        <w:t>Protesti iesniegti par Maksātnespējas likuma 155.</w:t>
      </w:r>
      <w:r w:rsidR="00466EFE">
        <w:rPr>
          <w:rFonts w:cs="Times New Roman"/>
          <w:szCs w:val="24"/>
        </w:rPr>
        <w:t> </w:t>
      </w:r>
      <w:r w:rsidRPr="00C57B98">
        <w:rPr>
          <w:rFonts w:cs="Times New Roman"/>
          <w:szCs w:val="24"/>
        </w:rPr>
        <w:t>panta piemērošanu saistībā ar kreditoriem novirzāmā minimālā ienākumu apmēra noteikšanu.</w:t>
      </w:r>
    </w:p>
    <w:p w14:paraId="7F2388E3" w14:textId="3A8CBBDC" w:rsidR="00EB45C7" w:rsidRPr="00C57B98" w:rsidRDefault="00EB45C7" w:rsidP="00F87814">
      <w:pPr>
        <w:spacing w:after="0" w:line="240" w:lineRule="auto"/>
        <w:ind w:left="709" w:firstLine="720"/>
        <w:jc w:val="both"/>
        <w:rPr>
          <w:rFonts w:cs="Times New Roman"/>
          <w:szCs w:val="24"/>
        </w:rPr>
      </w:pPr>
      <w:r w:rsidRPr="00C57B98">
        <w:rPr>
          <w:rFonts w:cs="Times New Roman"/>
          <w:szCs w:val="24"/>
        </w:rPr>
        <w:t>2020.</w:t>
      </w:r>
      <w:r w:rsidR="00466EFE">
        <w:rPr>
          <w:rFonts w:cs="Times New Roman"/>
          <w:szCs w:val="24"/>
        </w:rPr>
        <w:t xml:space="preserve"> </w:t>
      </w:r>
      <w:r w:rsidRPr="00C57B98">
        <w:rPr>
          <w:rFonts w:cs="Times New Roman"/>
          <w:szCs w:val="24"/>
        </w:rPr>
        <w:t>gada 2.</w:t>
      </w:r>
      <w:r w:rsidR="00466EFE">
        <w:rPr>
          <w:rFonts w:cs="Times New Roman"/>
          <w:szCs w:val="24"/>
        </w:rPr>
        <w:t> </w:t>
      </w:r>
      <w:r w:rsidRPr="00C57B98">
        <w:rPr>
          <w:rFonts w:cs="Times New Roman"/>
          <w:szCs w:val="24"/>
        </w:rPr>
        <w:t>jūlijā lietā Nr.</w:t>
      </w:r>
      <w:r w:rsidR="00466EFE">
        <w:rPr>
          <w:rFonts w:cs="Times New Roman"/>
          <w:szCs w:val="24"/>
        </w:rPr>
        <w:t> </w:t>
      </w:r>
      <w:r w:rsidRPr="00C57B98">
        <w:rPr>
          <w:rFonts w:cs="Times New Roman"/>
          <w:szCs w:val="24"/>
        </w:rPr>
        <w:t>SPC-14/2020, apmierinot iesniegto protestu, Senāts atzina, ka</w:t>
      </w:r>
      <w:r w:rsidR="00466EFE">
        <w:rPr>
          <w:rFonts w:cs="Times New Roman"/>
          <w:szCs w:val="24"/>
        </w:rPr>
        <w:t>,</w:t>
      </w:r>
      <w:r w:rsidRPr="00C57B98">
        <w:rPr>
          <w:rFonts w:cs="Times New Roman"/>
          <w:szCs w:val="24"/>
        </w:rPr>
        <w:t xml:space="preserve"> sistēmiski skatot Maksātnespējas likuma 155.</w:t>
      </w:r>
      <w:r w:rsidR="00466EFE">
        <w:rPr>
          <w:rFonts w:cs="Times New Roman"/>
          <w:szCs w:val="24"/>
        </w:rPr>
        <w:t> </w:t>
      </w:r>
      <w:r w:rsidRPr="00C57B98">
        <w:rPr>
          <w:rFonts w:cs="Times New Roman"/>
          <w:szCs w:val="24"/>
        </w:rPr>
        <w:t>panta trešās daļas 2.</w:t>
      </w:r>
      <w:r w:rsidR="00466EFE">
        <w:rPr>
          <w:rFonts w:cs="Times New Roman"/>
          <w:szCs w:val="24"/>
        </w:rPr>
        <w:t> </w:t>
      </w:r>
      <w:r w:rsidRPr="00C57B98">
        <w:rPr>
          <w:rFonts w:cs="Times New Roman"/>
          <w:szCs w:val="24"/>
        </w:rPr>
        <w:t>punktu un ceturto daļu, fiziskajai personai saistību dzēšanas procedūras laikā kreditoru prasījumu segšanai mēnesī jānovirza</w:t>
      </w:r>
      <w:r w:rsidR="001E5E4D">
        <w:rPr>
          <w:rFonts w:cs="Times New Roman"/>
          <w:szCs w:val="24"/>
        </w:rPr>
        <w:t xml:space="preserve"> viena trešdaļa</w:t>
      </w:r>
      <w:r w:rsidRPr="00C57B98">
        <w:rPr>
          <w:rFonts w:cs="Times New Roman"/>
          <w:szCs w:val="24"/>
        </w:rPr>
        <w:t xml:space="preserve"> no faktiskajiem ienākumiem. Vienlaikus jāņem vērā, ka kreditoru prasījumu segšanai novirzāmo ienākumu apmērs jebkurā gadījumā nedrīkst būt mazāks par </w:t>
      </w:r>
      <w:r w:rsidR="001E5E4D">
        <w:rPr>
          <w:rFonts w:cs="Times New Roman"/>
          <w:szCs w:val="24"/>
        </w:rPr>
        <w:t>vienu trešdaļu</w:t>
      </w:r>
      <w:r w:rsidRPr="00C57B98">
        <w:rPr>
          <w:rFonts w:cs="Times New Roman"/>
          <w:szCs w:val="24"/>
        </w:rPr>
        <w:t xml:space="preserve"> no valstī noteiktās minimālās mēnešalgas. </w:t>
      </w:r>
    </w:p>
    <w:p w14:paraId="79496EA9" w14:textId="3A26C538" w:rsidR="00EB45C7" w:rsidRPr="00C57B98" w:rsidRDefault="00EB45C7" w:rsidP="00E23205">
      <w:pPr>
        <w:spacing w:after="0" w:line="240" w:lineRule="auto"/>
        <w:ind w:left="709" w:firstLine="720"/>
        <w:jc w:val="both"/>
        <w:rPr>
          <w:rFonts w:cs="Times New Roman"/>
          <w:szCs w:val="24"/>
        </w:rPr>
      </w:pPr>
      <w:r w:rsidRPr="00C57B98">
        <w:rPr>
          <w:rFonts w:cs="Times New Roman"/>
          <w:szCs w:val="24"/>
        </w:rPr>
        <w:lastRenderedPageBreak/>
        <w:t>Pretēju lēmumu Senāts pieņēma 2020.</w:t>
      </w:r>
      <w:r w:rsidR="00E23205">
        <w:rPr>
          <w:rFonts w:cs="Times New Roman"/>
          <w:szCs w:val="24"/>
        </w:rPr>
        <w:t> </w:t>
      </w:r>
      <w:r w:rsidRPr="00C57B98">
        <w:rPr>
          <w:rFonts w:cs="Times New Roman"/>
          <w:szCs w:val="24"/>
        </w:rPr>
        <w:t>gada 9.</w:t>
      </w:r>
      <w:r w:rsidR="00E23205">
        <w:rPr>
          <w:rFonts w:cs="Times New Roman"/>
          <w:szCs w:val="24"/>
        </w:rPr>
        <w:t> </w:t>
      </w:r>
      <w:r w:rsidRPr="00C57B98">
        <w:rPr>
          <w:rFonts w:cs="Times New Roman"/>
          <w:szCs w:val="24"/>
        </w:rPr>
        <w:t>oktobrī lietā Nr.</w:t>
      </w:r>
      <w:r w:rsidR="00E23205">
        <w:rPr>
          <w:rFonts w:cs="Times New Roman"/>
          <w:szCs w:val="24"/>
        </w:rPr>
        <w:t> </w:t>
      </w:r>
      <w:r w:rsidRPr="00C57B98">
        <w:rPr>
          <w:rFonts w:cs="Times New Roman"/>
          <w:szCs w:val="24"/>
        </w:rPr>
        <w:t>SPC</w:t>
      </w:r>
      <w:r w:rsidR="00E23205">
        <w:rPr>
          <w:rFonts w:cs="Times New Roman"/>
          <w:szCs w:val="24"/>
        </w:rPr>
        <w:t>-</w:t>
      </w:r>
      <w:r w:rsidRPr="00C57B98">
        <w:rPr>
          <w:rFonts w:cs="Times New Roman"/>
          <w:szCs w:val="24"/>
        </w:rPr>
        <w:t>23/2020, kad iesniegtais protests tika noraidīts.</w:t>
      </w:r>
      <w:r w:rsidR="00E23205">
        <w:rPr>
          <w:rFonts w:cs="Times New Roman"/>
          <w:szCs w:val="24"/>
        </w:rPr>
        <w:t xml:space="preserve"> </w:t>
      </w:r>
      <w:r w:rsidRPr="00C57B98">
        <w:rPr>
          <w:rFonts w:cs="Times New Roman"/>
          <w:szCs w:val="24"/>
        </w:rPr>
        <w:t>Lēmumā norādīts, ka atbilstoši sistēmiskai tiesību normas iztulkošanas metodei ir pamats secinājumam, ka Maksātnespējas likuma 155.</w:t>
      </w:r>
      <w:r w:rsidR="00E23205">
        <w:rPr>
          <w:rFonts w:cs="Times New Roman"/>
          <w:szCs w:val="24"/>
        </w:rPr>
        <w:t> </w:t>
      </w:r>
      <w:r w:rsidRPr="00C57B98">
        <w:rPr>
          <w:rFonts w:cs="Times New Roman"/>
          <w:szCs w:val="24"/>
        </w:rPr>
        <w:t>panta otrā, trešā un ceturtā daļa ir piemērojama secīgi un Maksātnespējas likuma 155.</w:t>
      </w:r>
      <w:r w:rsidR="00E23205">
        <w:rPr>
          <w:rFonts w:cs="Times New Roman"/>
          <w:szCs w:val="24"/>
        </w:rPr>
        <w:t> </w:t>
      </w:r>
      <w:r w:rsidRPr="00C57B98">
        <w:rPr>
          <w:rFonts w:cs="Times New Roman"/>
          <w:szCs w:val="24"/>
        </w:rPr>
        <w:t>panta ceturtās daļas noteikumi iestājas gadījumā, ja no parādnieka gribas neatkarīgu iemeslu dēļ nav iespējams segt Maksātnespējas likuma 155.</w:t>
      </w:r>
      <w:r w:rsidR="00E23205">
        <w:rPr>
          <w:rFonts w:cs="Times New Roman"/>
          <w:szCs w:val="24"/>
        </w:rPr>
        <w:t> </w:t>
      </w:r>
      <w:r w:rsidRPr="00C57B98">
        <w:rPr>
          <w:rFonts w:cs="Times New Roman"/>
          <w:szCs w:val="24"/>
        </w:rPr>
        <w:t>panta otrajā un trešajā daļā noteikto saistību apmēru.</w:t>
      </w:r>
    </w:p>
    <w:p w14:paraId="1127378B" w14:textId="6ACE6E06" w:rsidR="00EB45C7" w:rsidRPr="00C57B98" w:rsidRDefault="00EB45C7" w:rsidP="00F87814">
      <w:pPr>
        <w:spacing w:after="0" w:line="240" w:lineRule="auto"/>
        <w:ind w:left="709" w:firstLine="720"/>
        <w:jc w:val="both"/>
        <w:rPr>
          <w:rFonts w:cs="Times New Roman"/>
          <w:szCs w:val="24"/>
        </w:rPr>
      </w:pPr>
      <w:r w:rsidRPr="00C57B98">
        <w:rPr>
          <w:rFonts w:cs="Times New Roman"/>
          <w:szCs w:val="24"/>
        </w:rPr>
        <w:t>Savukārt 2020.</w:t>
      </w:r>
      <w:r w:rsidR="00E23205">
        <w:rPr>
          <w:rFonts w:cs="Times New Roman"/>
          <w:szCs w:val="24"/>
        </w:rPr>
        <w:t> </w:t>
      </w:r>
      <w:r w:rsidRPr="00C57B98">
        <w:rPr>
          <w:rFonts w:cs="Times New Roman"/>
          <w:szCs w:val="24"/>
        </w:rPr>
        <w:t>gada 14.</w:t>
      </w:r>
      <w:r w:rsidR="00E23205">
        <w:rPr>
          <w:rFonts w:cs="Times New Roman"/>
          <w:szCs w:val="24"/>
        </w:rPr>
        <w:t> </w:t>
      </w:r>
      <w:r w:rsidRPr="00C57B98">
        <w:rPr>
          <w:rFonts w:cs="Times New Roman"/>
          <w:szCs w:val="24"/>
        </w:rPr>
        <w:t>oktobrī lietā Nr. SPC</w:t>
      </w:r>
      <w:r w:rsidR="00E23205">
        <w:rPr>
          <w:rFonts w:cs="Times New Roman"/>
          <w:szCs w:val="24"/>
        </w:rPr>
        <w:t>-</w:t>
      </w:r>
      <w:r w:rsidRPr="00C57B98">
        <w:rPr>
          <w:rFonts w:cs="Times New Roman"/>
          <w:szCs w:val="24"/>
        </w:rPr>
        <w:t>13/2020</w:t>
      </w:r>
      <w:r w:rsidR="00E23205">
        <w:rPr>
          <w:rFonts w:cs="Times New Roman"/>
          <w:szCs w:val="24"/>
        </w:rPr>
        <w:t xml:space="preserve"> </w:t>
      </w:r>
      <w:r w:rsidRPr="00C57B98">
        <w:rPr>
          <w:rFonts w:cs="Times New Roman"/>
          <w:szCs w:val="24"/>
        </w:rPr>
        <w:t>Senāts atkal par pareizu atzina lietā Nr.</w:t>
      </w:r>
      <w:r w:rsidR="00E23205">
        <w:rPr>
          <w:rFonts w:cs="Times New Roman"/>
          <w:szCs w:val="24"/>
        </w:rPr>
        <w:t> </w:t>
      </w:r>
      <w:r w:rsidRPr="00C57B98">
        <w:rPr>
          <w:rFonts w:cs="Times New Roman"/>
          <w:szCs w:val="24"/>
        </w:rPr>
        <w:t>SPC-14/2020 pausto nostāju un protestu apmierināja. Lēmumā norādīts, ka Maksātnespējas likuma 155.</w:t>
      </w:r>
      <w:r w:rsidR="00E23205">
        <w:rPr>
          <w:rFonts w:cs="Times New Roman"/>
          <w:szCs w:val="24"/>
        </w:rPr>
        <w:t> </w:t>
      </w:r>
      <w:r w:rsidRPr="00C57B98">
        <w:rPr>
          <w:rFonts w:cs="Times New Roman"/>
          <w:szCs w:val="24"/>
        </w:rPr>
        <w:t>panta ceturtajā daļā noteiktais līdzekļu apmērs ir ikmēneša minimālā summa (minimālais slieksnis) kreditoru prasījumu segšanai, ko likumdevējs pieļāvis saistību dzēšanas procedūrā, neatkarīgi no tā, kurš no Maksātnespējas likuma 155.</w:t>
      </w:r>
      <w:r w:rsidR="00E23205">
        <w:rPr>
          <w:rFonts w:cs="Times New Roman"/>
          <w:szCs w:val="24"/>
        </w:rPr>
        <w:t> </w:t>
      </w:r>
      <w:r w:rsidRPr="00C57B98">
        <w:rPr>
          <w:rFonts w:cs="Times New Roman"/>
          <w:szCs w:val="24"/>
        </w:rPr>
        <w:t xml:space="preserve">pantā minētajiem fiziskās personas saistību dzēšanas plāna termiņiem tiek izraudzīts. </w:t>
      </w:r>
    </w:p>
    <w:p w14:paraId="55939765" w14:textId="35874F6A" w:rsidR="00197CDA" w:rsidRPr="00C57B98" w:rsidRDefault="00EB45C7" w:rsidP="00375172">
      <w:pPr>
        <w:spacing w:after="120" w:line="240" w:lineRule="auto"/>
        <w:ind w:left="709" w:firstLine="720"/>
        <w:jc w:val="both"/>
        <w:rPr>
          <w:rFonts w:cs="Times New Roman"/>
          <w:szCs w:val="24"/>
        </w:rPr>
      </w:pPr>
      <w:r w:rsidRPr="00C57B98">
        <w:rPr>
          <w:rFonts w:cs="Times New Roman"/>
          <w:szCs w:val="24"/>
        </w:rPr>
        <w:t>Tāpat Senāts norādīja, ka kreditoru prasījumu apmierināšanas standarts, izvēloties segt saistības atbilstoši Maksātnespējas likuma 155.</w:t>
      </w:r>
      <w:r w:rsidR="00E23205">
        <w:rPr>
          <w:rFonts w:cs="Times New Roman"/>
          <w:szCs w:val="24"/>
        </w:rPr>
        <w:t> </w:t>
      </w:r>
      <w:r w:rsidRPr="00C57B98">
        <w:rPr>
          <w:rFonts w:cs="Times New Roman"/>
          <w:szCs w:val="24"/>
        </w:rPr>
        <w:t>panta trešajai daļai, nevar būt zemāks par šā panta ceturtajā daļā noteikto minimālo summu, t.i.</w:t>
      </w:r>
      <w:r w:rsidR="00E23205">
        <w:rPr>
          <w:rFonts w:cs="Times New Roman"/>
          <w:szCs w:val="24"/>
        </w:rPr>
        <w:t xml:space="preserve">, </w:t>
      </w:r>
      <w:r w:rsidRPr="00C57B98">
        <w:rPr>
          <w:rFonts w:cs="Times New Roman"/>
          <w:szCs w:val="24"/>
        </w:rPr>
        <w:t xml:space="preserve">par </w:t>
      </w:r>
      <w:r w:rsidR="00197CDA">
        <w:rPr>
          <w:rFonts w:cs="Times New Roman"/>
          <w:szCs w:val="24"/>
        </w:rPr>
        <w:t xml:space="preserve">vienu trešdaļu </w:t>
      </w:r>
      <w:r w:rsidRPr="00C57B98">
        <w:rPr>
          <w:rFonts w:cs="Times New Roman"/>
          <w:szCs w:val="24"/>
        </w:rPr>
        <w:t>no parādnieka ienākumiem pēc nodokļu nomaksas, bet ne mazāk kā</w:t>
      </w:r>
      <w:r w:rsidR="00197CDA">
        <w:rPr>
          <w:rFonts w:cs="Times New Roman"/>
          <w:szCs w:val="24"/>
        </w:rPr>
        <w:t xml:space="preserve"> viena trešdaļa</w:t>
      </w:r>
      <w:r w:rsidRPr="00C57B98">
        <w:rPr>
          <w:rFonts w:cs="Times New Roman"/>
          <w:szCs w:val="24"/>
        </w:rPr>
        <w:t xml:space="preserve"> no vienas minimālās mēnešalgas mēnesī pirms nodokļu nomaksas</w:t>
      </w:r>
      <w:r w:rsidR="001E5E4D">
        <w:rPr>
          <w:rFonts w:cs="Times New Roman"/>
          <w:szCs w:val="24"/>
        </w:rPr>
        <w:t>.</w:t>
      </w:r>
    </w:p>
    <w:p w14:paraId="6CA8A739" w14:textId="3CC3928F" w:rsidR="00197CDA" w:rsidRPr="00375172" w:rsidRDefault="00197CDA" w:rsidP="00375172">
      <w:pPr>
        <w:spacing w:after="120" w:line="240" w:lineRule="auto"/>
        <w:rPr>
          <w:rFonts w:cs="Times New Roman"/>
          <w:b/>
          <w:bCs/>
          <w:szCs w:val="24"/>
        </w:rPr>
      </w:pPr>
      <w:r>
        <w:rPr>
          <w:rFonts w:cs="Times New Roman"/>
          <w:b/>
          <w:bCs/>
          <w:szCs w:val="24"/>
        </w:rPr>
        <w:t xml:space="preserve">[2] </w:t>
      </w:r>
      <w:r w:rsidR="00EB45C7" w:rsidRPr="00197CDA">
        <w:rPr>
          <w:rFonts w:cs="Times New Roman"/>
          <w:b/>
          <w:bCs/>
          <w:szCs w:val="24"/>
        </w:rPr>
        <w:t>2 protesti  i</w:t>
      </w:r>
      <w:r w:rsidR="00D32635">
        <w:rPr>
          <w:rFonts w:cs="Times New Roman"/>
          <w:b/>
          <w:bCs/>
          <w:szCs w:val="24"/>
        </w:rPr>
        <w:t>esniegti</w:t>
      </w:r>
      <w:r w:rsidR="00EB45C7" w:rsidRPr="00197CDA">
        <w:rPr>
          <w:rFonts w:cs="Times New Roman"/>
          <w:b/>
          <w:bCs/>
          <w:szCs w:val="24"/>
        </w:rPr>
        <w:t xml:space="preserve"> juridiskās personas maksātnespējas procesos.</w:t>
      </w:r>
    </w:p>
    <w:p w14:paraId="10D1D417" w14:textId="5085CAA9" w:rsidR="00EB45C7" w:rsidRPr="00197CDA" w:rsidRDefault="00EB45C7" w:rsidP="00E329FC">
      <w:pPr>
        <w:pStyle w:val="ListParagraph"/>
        <w:numPr>
          <w:ilvl w:val="0"/>
          <w:numId w:val="21"/>
        </w:numPr>
        <w:spacing w:after="0" w:line="240" w:lineRule="auto"/>
        <w:jc w:val="both"/>
        <w:rPr>
          <w:rFonts w:cs="Times New Roman"/>
          <w:szCs w:val="24"/>
        </w:rPr>
      </w:pPr>
      <w:r w:rsidRPr="00197CDA">
        <w:rPr>
          <w:rFonts w:cs="Times New Roman"/>
          <w:szCs w:val="24"/>
          <w:u w:val="single"/>
        </w:rPr>
        <w:t>Lieta Nr.</w:t>
      </w:r>
      <w:r w:rsidR="00CE21AB">
        <w:rPr>
          <w:rFonts w:cs="Times New Roman"/>
          <w:szCs w:val="24"/>
          <w:u w:val="single"/>
        </w:rPr>
        <w:t> </w:t>
      </w:r>
      <w:r w:rsidRPr="00197CDA">
        <w:rPr>
          <w:rFonts w:cs="Times New Roman"/>
          <w:szCs w:val="24"/>
          <w:u w:val="single"/>
        </w:rPr>
        <w:t>SPC-20/2020</w:t>
      </w:r>
      <w:r w:rsidRPr="00197CDA">
        <w:rPr>
          <w:rFonts w:cs="Times New Roman"/>
          <w:szCs w:val="24"/>
        </w:rPr>
        <w:t xml:space="preserve"> </w:t>
      </w:r>
    </w:p>
    <w:p w14:paraId="5CC225EF" w14:textId="77777777" w:rsidR="00EB45C7" w:rsidRPr="00C57B98" w:rsidRDefault="00EB45C7" w:rsidP="00197CDA">
      <w:pPr>
        <w:autoSpaceDE w:val="0"/>
        <w:autoSpaceDN w:val="0"/>
        <w:adjustRightInd w:val="0"/>
        <w:spacing w:after="0" w:line="240" w:lineRule="auto"/>
        <w:ind w:left="709" w:firstLine="720"/>
        <w:jc w:val="both"/>
        <w:rPr>
          <w:rFonts w:cs="Times New Roman"/>
          <w:szCs w:val="24"/>
        </w:rPr>
      </w:pPr>
      <w:r w:rsidRPr="00C57B98">
        <w:rPr>
          <w:rFonts w:cs="Times New Roman"/>
          <w:szCs w:val="24"/>
        </w:rPr>
        <w:t>Pamatojoties uz kreditora pieteikumu, ar Rīgas pilsētas Latgales priekšpilsētas tiesas spriedumu tika pasludināts juridiskās personas maksātnespējas process. Ģenerālprokuratūrā ar lūgumu iesniegt protestu par minēto tiesas spriedumu vērsās juridiskās personas maksātnespējas procesa administrators.</w:t>
      </w:r>
    </w:p>
    <w:p w14:paraId="1F3628C7" w14:textId="77777777" w:rsidR="00EB45C7" w:rsidRPr="00C57B98" w:rsidRDefault="00EB45C7" w:rsidP="00197CDA">
      <w:pPr>
        <w:autoSpaceDE w:val="0"/>
        <w:autoSpaceDN w:val="0"/>
        <w:adjustRightInd w:val="0"/>
        <w:spacing w:after="0" w:line="240" w:lineRule="auto"/>
        <w:ind w:left="709" w:firstLine="720"/>
        <w:jc w:val="both"/>
        <w:rPr>
          <w:rFonts w:cs="Times New Roman"/>
          <w:szCs w:val="24"/>
        </w:rPr>
      </w:pPr>
      <w:r w:rsidRPr="00C57B98">
        <w:rPr>
          <w:rFonts w:cs="Times New Roman"/>
          <w:szCs w:val="24"/>
        </w:rPr>
        <w:t>Iesnieguma izskatīšanas gaitā tika secināts, ka juridiskās personas maksātnespējas process ticis pasludināts nepamatoti (parādnieks ir bijis maksātspējīgs), tādēļ tika iesniegts protests, kurā norādīts:</w:t>
      </w:r>
    </w:p>
    <w:p w14:paraId="7BC723CB" w14:textId="2E166334" w:rsidR="00EB45C7" w:rsidRPr="00582903" w:rsidRDefault="00EB45C7" w:rsidP="00E329FC">
      <w:pPr>
        <w:pStyle w:val="ListParagraph"/>
        <w:numPr>
          <w:ilvl w:val="0"/>
          <w:numId w:val="22"/>
        </w:numPr>
        <w:autoSpaceDE w:val="0"/>
        <w:autoSpaceDN w:val="0"/>
        <w:adjustRightInd w:val="0"/>
        <w:spacing w:after="0" w:line="240" w:lineRule="auto"/>
        <w:jc w:val="both"/>
        <w:rPr>
          <w:rFonts w:cs="Times New Roman"/>
          <w:szCs w:val="24"/>
        </w:rPr>
      </w:pPr>
      <w:r w:rsidRPr="00582903">
        <w:rPr>
          <w:rFonts w:cs="Times New Roman"/>
          <w:szCs w:val="24"/>
        </w:rPr>
        <w:t>lai gan formāli konstatējama Maksātnespējas likuma 57.</w:t>
      </w:r>
      <w:r w:rsidR="00582903" w:rsidRPr="00582903">
        <w:rPr>
          <w:rFonts w:cs="Times New Roman"/>
          <w:szCs w:val="24"/>
        </w:rPr>
        <w:t> </w:t>
      </w:r>
      <w:r w:rsidRPr="00582903">
        <w:rPr>
          <w:rFonts w:cs="Times New Roman"/>
          <w:szCs w:val="24"/>
        </w:rPr>
        <w:t>panta 2.</w:t>
      </w:r>
      <w:r w:rsidR="00582903" w:rsidRPr="00582903">
        <w:rPr>
          <w:rFonts w:cs="Times New Roman"/>
          <w:szCs w:val="24"/>
        </w:rPr>
        <w:t> </w:t>
      </w:r>
      <w:r w:rsidRPr="00582903">
        <w:rPr>
          <w:rFonts w:cs="Times New Roman"/>
          <w:szCs w:val="24"/>
        </w:rPr>
        <w:t>punktā norādītā maksātnespējas procesa pazīme, tiesa nebija ņēmusi vērā un pārbaudījusi citus apstākļus, kuriem protesta iesniedzēja ieskatā būtu bijis jārada šaubas par parādnieka maksātnespēju un maksātnespējas procesa pieteikuma iesniegšanas mērķi;</w:t>
      </w:r>
    </w:p>
    <w:p w14:paraId="591503B8" w14:textId="77777777" w:rsidR="00227EE6" w:rsidRDefault="00EB45C7" w:rsidP="00E329FC">
      <w:pPr>
        <w:pStyle w:val="ListParagraph"/>
        <w:numPr>
          <w:ilvl w:val="0"/>
          <w:numId w:val="22"/>
        </w:numPr>
        <w:autoSpaceDE w:val="0"/>
        <w:autoSpaceDN w:val="0"/>
        <w:adjustRightInd w:val="0"/>
        <w:spacing w:after="0" w:line="240" w:lineRule="auto"/>
        <w:jc w:val="both"/>
        <w:rPr>
          <w:rFonts w:cs="Times New Roman"/>
          <w:szCs w:val="24"/>
        </w:rPr>
      </w:pPr>
      <w:r w:rsidRPr="00582903">
        <w:rPr>
          <w:rFonts w:cs="Times New Roman"/>
          <w:szCs w:val="24"/>
        </w:rPr>
        <w:t>aplūkojot Civilprocesa likuma 363.</w:t>
      </w:r>
      <w:r w:rsidRPr="00582903">
        <w:rPr>
          <w:rFonts w:cs="Times New Roman"/>
          <w:szCs w:val="24"/>
          <w:vertAlign w:val="superscript"/>
        </w:rPr>
        <w:t>20</w:t>
      </w:r>
      <w:r w:rsidR="00582903">
        <w:rPr>
          <w:rFonts w:cs="Times New Roman"/>
          <w:szCs w:val="24"/>
          <w:vertAlign w:val="superscript"/>
        </w:rPr>
        <w:t> </w:t>
      </w:r>
      <w:r w:rsidRPr="00582903">
        <w:rPr>
          <w:rFonts w:cs="Times New Roman"/>
          <w:szCs w:val="24"/>
          <w:vertAlign w:val="superscript"/>
        </w:rPr>
        <w:t xml:space="preserve"> </w:t>
      </w:r>
      <w:r w:rsidRPr="00582903">
        <w:rPr>
          <w:rFonts w:cs="Times New Roman"/>
          <w:szCs w:val="24"/>
        </w:rPr>
        <w:t>panta otro daļu, kas noteic gadījumus, kad tiesa pieņem lēmumu par juridiskās personas maksātnespējas procesa izbeigšanu, kopsakarā ar Maksātnespējas likuma 120.</w:t>
      </w:r>
      <w:r w:rsidR="00582903">
        <w:rPr>
          <w:rFonts w:cs="Times New Roman"/>
          <w:szCs w:val="24"/>
        </w:rPr>
        <w:t> </w:t>
      </w:r>
      <w:r w:rsidRPr="00582903">
        <w:rPr>
          <w:rFonts w:cs="Times New Roman"/>
          <w:szCs w:val="24"/>
        </w:rPr>
        <w:t>pantu (juridiskās personas maksātnespējas procesa izbeigšanas sekas), secināms, ka juridiskās personas maksātnespējas process var tikt izbeigts tikai vai nu</w:t>
      </w:r>
      <w:r w:rsidR="00582903">
        <w:rPr>
          <w:rFonts w:cs="Times New Roman"/>
          <w:szCs w:val="24"/>
        </w:rPr>
        <w:t xml:space="preserve">, </w:t>
      </w:r>
      <w:r w:rsidRPr="00582903">
        <w:rPr>
          <w:rFonts w:cs="Times New Roman"/>
          <w:szCs w:val="24"/>
        </w:rPr>
        <w:t>pārejot uz tiesiskās aizsardzības procesu, kas vērsts uz parādnieka maksātspējas atjaunošanu, vai arī, pabeidzot juridiskās personas maksātnespējas procesu, kas nozīmē parādnieka izslēgšanu no attiecīgā publiskā reģistra. Šādu viedokli ir paudis arī Maksātnespējas kontroles dienests, kas ir iestāde, kas īsteno valsts politiku maksātnespējas procesa jautājumos (Maksātnespējas administrācijas skaidrojumi un atziņas 2018.01.-2018.06., 174.-175.</w:t>
      </w:r>
      <w:r w:rsidR="00227EE6">
        <w:rPr>
          <w:rFonts w:cs="Times New Roman"/>
          <w:szCs w:val="24"/>
        </w:rPr>
        <w:t> </w:t>
      </w:r>
      <w:r w:rsidRPr="00582903">
        <w:rPr>
          <w:rFonts w:cs="Times New Roman"/>
          <w:szCs w:val="24"/>
        </w:rPr>
        <w:t>lpp.,</w:t>
      </w:r>
      <w:r w:rsidR="00227EE6">
        <w:rPr>
          <w:rFonts w:cs="Times New Roman"/>
          <w:szCs w:val="24"/>
        </w:rPr>
        <w:t xml:space="preserve"> </w:t>
      </w:r>
      <w:r w:rsidRPr="00582903">
        <w:rPr>
          <w:rFonts w:cs="Times New Roman"/>
          <w:szCs w:val="24"/>
        </w:rPr>
        <w:t>218.</w:t>
      </w:r>
      <w:r w:rsidR="00227EE6">
        <w:rPr>
          <w:rFonts w:cs="Times New Roman"/>
          <w:szCs w:val="24"/>
        </w:rPr>
        <w:t> </w:t>
      </w:r>
      <w:r w:rsidRPr="00582903">
        <w:rPr>
          <w:rFonts w:cs="Times New Roman"/>
          <w:szCs w:val="24"/>
        </w:rPr>
        <w:t>lpp.,). Ievērojot minēto, tiesas sprieduma, ar kuru pasludināts juridiskās personas maksātnespējas process, atcelšana ir vienīgais veids, kā var tikt novērsta pieļautā kļūda</w:t>
      </w:r>
      <w:r w:rsidR="00227EE6">
        <w:rPr>
          <w:rFonts w:cs="Times New Roman"/>
          <w:szCs w:val="24"/>
        </w:rPr>
        <w:t>;</w:t>
      </w:r>
    </w:p>
    <w:p w14:paraId="21B52A38" w14:textId="732121A7" w:rsidR="00EB45C7" w:rsidRPr="00582903" w:rsidRDefault="00EB45C7" w:rsidP="00E329FC">
      <w:pPr>
        <w:pStyle w:val="ListParagraph"/>
        <w:numPr>
          <w:ilvl w:val="0"/>
          <w:numId w:val="22"/>
        </w:numPr>
        <w:autoSpaceDE w:val="0"/>
        <w:autoSpaceDN w:val="0"/>
        <w:adjustRightInd w:val="0"/>
        <w:spacing w:after="0" w:line="240" w:lineRule="auto"/>
        <w:jc w:val="both"/>
        <w:rPr>
          <w:rFonts w:cs="Times New Roman"/>
          <w:szCs w:val="24"/>
        </w:rPr>
      </w:pPr>
      <w:r w:rsidRPr="00582903">
        <w:rPr>
          <w:rFonts w:cs="Times New Roman"/>
          <w:szCs w:val="24"/>
        </w:rPr>
        <w:t>nepamatoti pasludināts juridiskās personas maksātnespējas process.</w:t>
      </w:r>
    </w:p>
    <w:p w14:paraId="3E216968" w14:textId="2D07460E" w:rsidR="00EB45C7" w:rsidRPr="00C57B98" w:rsidRDefault="00EB45C7" w:rsidP="00CE21AB">
      <w:pPr>
        <w:autoSpaceDE w:val="0"/>
        <w:autoSpaceDN w:val="0"/>
        <w:adjustRightInd w:val="0"/>
        <w:spacing w:after="0" w:line="240" w:lineRule="auto"/>
        <w:ind w:left="709" w:firstLine="720"/>
        <w:jc w:val="both"/>
        <w:rPr>
          <w:rFonts w:cs="Times New Roman"/>
          <w:szCs w:val="24"/>
        </w:rPr>
      </w:pPr>
      <w:r w:rsidRPr="00C57B98">
        <w:rPr>
          <w:rFonts w:cs="Times New Roman"/>
          <w:szCs w:val="24"/>
        </w:rPr>
        <w:t>Senāts protestu noraidīja, pirmās instances tiesas nolēmumu atstājot negrozītu, un norādīja, ka juridiskās personas maksātnespējas process pasludināts, nodibinot apstākļus, kas deva pamatu Maksātnespējas likuma 57.</w:t>
      </w:r>
      <w:r w:rsidR="00227EE6">
        <w:rPr>
          <w:rFonts w:cs="Times New Roman"/>
          <w:szCs w:val="24"/>
        </w:rPr>
        <w:t> </w:t>
      </w:r>
      <w:r w:rsidRPr="00C57B98">
        <w:rPr>
          <w:rFonts w:cs="Times New Roman"/>
          <w:szCs w:val="24"/>
        </w:rPr>
        <w:t>panta 2.</w:t>
      </w:r>
      <w:r w:rsidR="00227EE6">
        <w:rPr>
          <w:rFonts w:cs="Times New Roman"/>
          <w:szCs w:val="24"/>
        </w:rPr>
        <w:t> </w:t>
      </w:r>
      <w:r w:rsidRPr="00C57B98">
        <w:rPr>
          <w:rFonts w:cs="Times New Roman"/>
          <w:szCs w:val="24"/>
        </w:rPr>
        <w:t xml:space="preserve">punktā norādītās pazīmes konstatēšanai. Senāta ieskatā  protesta iesniedzēja atšķirīgs redzējums par lietā </w:t>
      </w:r>
      <w:r w:rsidRPr="00C57B98">
        <w:rPr>
          <w:rFonts w:cs="Times New Roman"/>
          <w:szCs w:val="24"/>
        </w:rPr>
        <w:lastRenderedPageBreak/>
        <w:t>noskaidrojamiem apstākļiem un pierādījumu pietiekamību nevar būt pamats sprieduma atcelšanai.</w:t>
      </w:r>
    </w:p>
    <w:p w14:paraId="74382603" w14:textId="03D2823E" w:rsidR="00EB45C7" w:rsidRDefault="00EB45C7" w:rsidP="00375172">
      <w:pPr>
        <w:autoSpaceDE w:val="0"/>
        <w:autoSpaceDN w:val="0"/>
        <w:adjustRightInd w:val="0"/>
        <w:spacing w:after="120" w:line="240" w:lineRule="auto"/>
        <w:ind w:left="709" w:firstLine="720"/>
        <w:jc w:val="both"/>
        <w:rPr>
          <w:rFonts w:cs="Times New Roman"/>
          <w:b/>
          <w:bCs/>
          <w:szCs w:val="24"/>
        </w:rPr>
      </w:pPr>
      <w:r w:rsidRPr="00C57B98">
        <w:rPr>
          <w:rFonts w:cs="Times New Roman"/>
          <w:szCs w:val="24"/>
        </w:rPr>
        <w:t>Administratoram ir pienākums nodrošināt maksātnespējas procesa likumīgu un efektīvu norisi. Līdz ar to, ja maksātnespējas administratora rīcībā nonākusī informācija ļauj secināt, ka minētā procesa turpināšanai nav tiesiska pamata, tad viņam nepastāv šķēršļi ar attiecīgu pieteikumu vērsties tiesā Civilprocesa likuma 363.</w:t>
      </w:r>
      <w:r w:rsidRPr="00C57B98">
        <w:rPr>
          <w:rFonts w:cs="Times New Roman"/>
          <w:szCs w:val="24"/>
          <w:vertAlign w:val="superscript"/>
        </w:rPr>
        <w:t>20</w:t>
      </w:r>
      <w:r w:rsidRPr="00C57B98">
        <w:rPr>
          <w:rFonts w:cs="Times New Roman"/>
          <w:szCs w:val="24"/>
        </w:rPr>
        <w:t xml:space="preserve"> pantā noteiktajā kārtībā.</w:t>
      </w:r>
    </w:p>
    <w:p w14:paraId="291736E1" w14:textId="6FEC5484" w:rsidR="00EB45C7" w:rsidRPr="00710C6B" w:rsidRDefault="00EB45C7" w:rsidP="00E329FC">
      <w:pPr>
        <w:pStyle w:val="ListParagraph"/>
        <w:numPr>
          <w:ilvl w:val="0"/>
          <w:numId w:val="21"/>
        </w:numPr>
        <w:spacing w:after="0" w:line="240" w:lineRule="auto"/>
        <w:rPr>
          <w:rFonts w:cs="Times New Roman"/>
          <w:b/>
          <w:bCs/>
          <w:szCs w:val="24"/>
        </w:rPr>
      </w:pPr>
      <w:r w:rsidRPr="00710C6B">
        <w:rPr>
          <w:rFonts w:cs="Times New Roman"/>
          <w:szCs w:val="24"/>
          <w:u w:val="single"/>
        </w:rPr>
        <w:t>Lieta Nr.</w:t>
      </w:r>
      <w:r w:rsidR="00710C6B">
        <w:rPr>
          <w:rFonts w:cs="Times New Roman"/>
          <w:szCs w:val="24"/>
          <w:u w:val="single"/>
        </w:rPr>
        <w:t> </w:t>
      </w:r>
      <w:r w:rsidRPr="00710C6B">
        <w:rPr>
          <w:rFonts w:cs="Times New Roman"/>
          <w:szCs w:val="24"/>
          <w:u w:val="single"/>
        </w:rPr>
        <w:t>SPC-29/2020</w:t>
      </w:r>
    </w:p>
    <w:p w14:paraId="7AA11DE4" w14:textId="235A709D" w:rsidR="00EB45C7" w:rsidRPr="00C57B98" w:rsidRDefault="00EB45C7" w:rsidP="00710C6B">
      <w:pPr>
        <w:spacing w:after="0" w:line="240" w:lineRule="auto"/>
        <w:ind w:left="709" w:firstLine="720"/>
        <w:jc w:val="both"/>
        <w:rPr>
          <w:rFonts w:cs="Times New Roman"/>
          <w:szCs w:val="24"/>
        </w:rPr>
      </w:pPr>
      <w:r w:rsidRPr="00C57B98">
        <w:rPr>
          <w:rFonts w:eastAsia="Calibri" w:cs="Times New Roman"/>
          <w:szCs w:val="24"/>
        </w:rPr>
        <w:t xml:space="preserve">Protests iesniegts saistībā ar valsts akciju sabiedrības “Valsts nekustamie īpašumi” iesniegumu. Ar Rīgas pilsētas Vidzemes priekšpilsētas tiesas spriedumu no sabiedrības ar ierobežotu atbildību </w:t>
      </w:r>
      <w:r w:rsidRPr="00C57B98">
        <w:rPr>
          <w:rFonts w:cs="Times New Roman"/>
          <w:szCs w:val="24"/>
        </w:rPr>
        <w:t>par labu valsts akciju sabiedrībai “Valsts nekustamie īpašumi” piedzīti zaudējumi</w:t>
      </w:r>
      <w:r w:rsidRPr="00C57B98">
        <w:rPr>
          <w:rFonts w:eastAsia="Calibri" w:cs="Times New Roman"/>
          <w:szCs w:val="24"/>
        </w:rPr>
        <w:t>. Nolūkā izvairīties no sprieduma izpildes un apturēt izpildu lietvedību, sabiedrība ar ierobežotu atbildību iesniedza pieteikumu tiesiskās aizsardzības procesa (</w:t>
      </w:r>
      <w:r w:rsidR="00710C6B">
        <w:rPr>
          <w:rFonts w:eastAsia="Calibri" w:cs="Times New Roman"/>
          <w:szCs w:val="24"/>
        </w:rPr>
        <w:t xml:space="preserve">turpmāk – </w:t>
      </w:r>
      <w:r w:rsidRPr="00C57B98">
        <w:rPr>
          <w:rFonts w:eastAsia="Calibri" w:cs="Times New Roman"/>
          <w:szCs w:val="24"/>
        </w:rPr>
        <w:t xml:space="preserve">TAP) pasludināšanai. Ar tiesas  spriedumu TAP pasludināts un apstiprināts TAP pasākumu plāns, pieļaujot virkni materiālo un procesuālo tiesību normu pārkāpumu, tajā skaitā apstākli, ka TAP pasākumu plāns nav saskaņots ar valsts akciju sabiedrību “Valsts nekustamie īpašumi” un Valsts ieņēmumu dienestu. </w:t>
      </w:r>
    </w:p>
    <w:p w14:paraId="59058E07" w14:textId="60E906E5" w:rsidR="00EB45C7" w:rsidRPr="00C57B98" w:rsidRDefault="00EB45C7" w:rsidP="00375172">
      <w:pPr>
        <w:spacing w:after="120" w:line="240" w:lineRule="auto"/>
        <w:ind w:left="709" w:firstLine="720"/>
        <w:jc w:val="both"/>
        <w:rPr>
          <w:rFonts w:cs="Times New Roman"/>
          <w:szCs w:val="24"/>
        </w:rPr>
      </w:pPr>
      <w:r w:rsidRPr="00C57B98">
        <w:rPr>
          <w:rFonts w:eastAsia="Calibri" w:cs="Times New Roman"/>
          <w:szCs w:val="24"/>
        </w:rPr>
        <w:t xml:space="preserve">Laikā, kad lieta saistībā ar protestu atradās </w:t>
      </w:r>
      <w:r w:rsidR="00197B6B">
        <w:rPr>
          <w:rFonts w:eastAsia="Calibri" w:cs="Times New Roman"/>
          <w:szCs w:val="24"/>
        </w:rPr>
        <w:t>Senātā</w:t>
      </w:r>
      <w:r w:rsidRPr="00C57B98">
        <w:rPr>
          <w:rFonts w:eastAsia="Calibri" w:cs="Times New Roman"/>
          <w:szCs w:val="24"/>
        </w:rPr>
        <w:t xml:space="preserve">, </w:t>
      </w:r>
      <w:r w:rsidR="00197B6B">
        <w:rPr>
          <w:rFonts w:eastAsia="Calibri" w:cs="Times New Roman"/>
          <w:szCs w:val="24"/>
        </w:rPr>
        <w:t xml:space="preserve">Rīgas pilsētas </w:t>
      </w:r>
      <w:r w:rsidRPr="00C57B98">
        <w:rPr>
          <w:rFonts w:eastAsia="Calibri" w:cs="Times New Roman"/>
          <w:szCs w:val="24"/>
        </w:rPr>
        <w:t xml:space="preserve">Vidzemes priekšpilsētas tiesā </w:t>
      </w:r>
      <w:r w:rsidR="00197B6B">
        <w:rPr>
          <w:rFonts w:eastAsia="Calibri" w:cs="Times New Roman"/>
          <w:szCs w:val="24"/>
        </w:rPr>
        <w:t xml:space="preserve">tika </w:t>
      </w:r>
      <w:r w:rsidRPr="00C57B98">
        <w:rPr>
          <w:rFonts w:eastAsia="Calibri" w:cs="Times New Roman"/>
          <w:szCs w:val="24"/>
        </w:rPr>
        <w:t>saņemts Maksātnespējas kontroles dienesta pieteikums par TAP uzraugošās personas atcelšanu</w:t>
      </w:r>
      <w:r w:rsidR="00197B6B">
        <w:rPr>
          <w:rFonts w:eastAsia="Calibri" w:cs="Times New Roman"/>
          <w:szCs w:val="24"/>
        </w:rPr>
        <w:t>. Senāts</w:t>
      </w:r>
      <w:r w:rsidRPr="00C57B98">
        <w:rPr>
          <w:rFonts w:eastAsia="Calibri" w:cs="Times New Roman"/>
          <w:szCs w:val="24"/>
        </w:rPr>
        <w:t xml:space="preserve"> liet</w:t>
      </w:r>
      <w:r w:rsidR="00087257">
        <w:rPr>
          <w:rFonts w:eastAsia="Calibri" w:cs="Times New Roman"/>
          <w:szCs w:val="24"/>
        </w:rPr>
        <w:t>u</w:t>
      </w:r>
      <w:r w:rsidRPr="00C57B98">
        <w:rPr>
          <w:rFonts w:eastAsia="Calibri" w:cs="Times New Roman"/>
          <w:szCs w:val="24"/>
        </w:rPr>
        <w:t xml:space="preserve"> nosūtī</w:t>
      </w:r>
      <w:r w:rsidR="00087257">
        <w:rPr>
          <w:rFonts w:eastAsia="Calibri" w:cs="Times New Roman"/>
          <w:szCs w:val="24"/>
        </w:rPr>
        <w:t>ja</w:t>
      </w:r>
      <w:r w:rsidRPr="00C57B98">
        <w:rPr>
          <w:rFonts w:eastAsia="Calibri" w:cs="Times New Roman"/>
          <w:szCs w:val="24"/>
        </w:rPr>
        <w:t xml:space="preserve"> pieteikuma izskatīšanai pirmās instances tiesai. Valsts ieņēmumu dienests lietā izteica viedokli, ka TAP ir izbeidzams. Pirmās instances tiesa atcēla uzraugošo personu un TAP izbeidza. Lēmums daļā par TAP izbeigšanu nav pārsūdzams un ir stājies spēkā, līdz ar to  protestā izvirzītais mērķis ir sasniegts, tāpēc protests tika atsaukts</w:t>
      </w:r>
      <w:r w:rsidR="00375172">
        <w:rPr>
          <w:rFonts w:eastAsia="Calibri" w:cs="Times New Roman"/>
          <w:szCs w:val="24"/>
        </w:rPr>
        <w:t>.</w:t>
      </w:r>
    </w:p>
    <w:p w14:paraId="2904F1D1" w14:textId="3D7763AA" w:rsidR="00087257" w:rsidRDefault="00087257" w:rsidP="00525C57">
      <w:pPr>
        <w:spacing w:after="120" w:line="240" w:lineRule="auto"/>
        <w:jc w:val="both"/>
        <w:rPr>
          <w:rFonts w:cs="Times New Roman"/>
          <w:b/>
          <w:bCs/>
          <w:szCs w:val="24"/>
        </w:rPr>
      </w:pPr>
      <w:r>
        <w:rPr>
          <w:rFonts w:cs="Times New Roman"/>
          <w:b/>
          <w:bCs/>
          <w:szCs w:val="24"/>
        </w:rPr>
        <w:t xml:space="preserve">[3] </w:t>
      </w:r>
      <w:r w:rsidR="00EB45C7" w:rsidRPr="00087257">
        <w:rPr>
          <w:rFonts w:cs="Times New Roman"/>
          <w:b/>
          <w:bCs/>
          <w:szCs w:val="24"/>
        </w:rPr>
        <w:t>3 protesti i</w:t>
      </w:r>
      <w:r w:rsidR="00D32635">
        <w:rPr>
          <w:rFonts w:cs="Times New Roman"/>
          <w:b/>
          <w:bCs/>
          <w:szCs w:val="24"/>
        </w:rPr>
        <w:t>esniegti</w:t>
      </w:r>
      <w:r w:rsidR="00EB45C7" w:rsidRPr="00087257">
        <w:rPr>
          <w:rFonts w:cs="Times New Roman"/>
          <w:b/>
          <w:bCs/>
          <w:szCs w:val="24"/>
        </w:rPr>
        <w:t xml:space="preserve"> lietās par izpildu raksta izsniegšanu šķīrējtiesas sprieduma piespiedu izpildei.</w:t>
      </w:r>
    </w:p>
    <w:p w14:paraId="74D6FB39" w14:textId="049BF001" w:rsidR="00EB45C7" w:rsidRPr="00087257" w:rsidRDefault="00EB45C7" w:rsidP="00E329FC">
      <w:pPr>
        <w:pStyle w:val="ListParagraph"/>
        <w:numPr>
          <w:ilvl w:val="0"/>
          <w:numId w:val="23"/>
        </w:numPr>
        <w:spacing w:after="0" w:line="240" w:lineRule="auto"/>
        <w:jc w:val="both"/>
        <w:rPr>
          <w:rFonts w:cs="Times New Roman"/>
          <w:b/>
          <w:bCs/>
          <w:szCs w:val="24"/>
        </w:rPr>
      </w:pPr>
      <w:r w:rsidRPr="00087257">
        <w:rPr>
          <w:rFonts w:cs="Times New Roman"/>
          <w:szCs w:val="24"/>
          <w:u w:val="single"/>
        </w:rPr>
        <w:t>Lieta Nr.</w:t>
      </w:r>
      <w:r w:rsidR="00087257">
        <w:rPr>
          <w:rFonts w:cs="Times New Roman"/>
          <w:szCs w:val="24"/>
          <w:u w:val="single"/>
        </w:rPr>
        <w:t> </w:t>
      </w:r>
      <w:r w:rsidRPr="00087257">
        <w:rPr>
          <w:rFonts w:cs="Times New Roman"/>
          <w:szCs w:val="24"/>
          <w:u w:val="single"/>
        </w:rPr>
        <w:t>SPC – 12/2020</w:t>
      </w:r>
    </w:p>
    <w:p w14:paraId="7670A381" w14:textId="7379576A" w:rsidR="00EB45C7" w:rsidRPr="00C57B98" w:rsidRDefault="00EB45C7" w:rsidP="00087257">
      <w:pPr>
        <w:spacing w:after="0" w:line="240" w:lineRule="auto"/>
        <w:ind w:left="709" w:firstLine="720"/>
        <w:jc w:val="both"/>
        <w:rPr>
          <w:rFonts w:cs="Times New Roman"/>
          <w:szCs w:val="24"/>
        </w:rPr>
      </w:pPr>
      <w:r w:rsidRPr="00C57B98">
        <w:rPr>
          <w:rFonts w:cs="Times New Roman"/>
          <w:szCs w:val="24"/>
        </w:rPr>
        <w:t>Protests par Rīgas pilsētas Latgales priekšpilsētas tiesas 2017.</w:t>
      </w:r>
      <w:r w:rsidR="00181691">
        <w:rPr>
          <w:rFonts w:cs="Times New Roman"/>
          <w:szCs w:val="24"/>
        </w:rPr>
        <w:t> </w:t>
      </w:r>
      <w:r w:rsidRPr="00C57B98">
        <w:rPr>
          <w:rFonts w:cs="Times New Roman"/>
          <w:szCs w:val="24"/>
        </w:rPr>
        <w:t>gada 25.</w:t>
      </w:r>
      <w:r w:rsidR="00181691">
        <w:rPr>
          <w:rFonts w:cs="Times New Roman"/>
          <w:szCs w:val="24"/>
        </w:rPr>
        <w:t> </w:t>
      </w:r>
      <w:r w:rsidRPr="00C57B98">
        <w:rPr>
          <w:rFonts w:cs="Times New Roman"/>
          <w:szCs w:val="24"/>
        </w:rPr>
        <w:t>maija lēmumu iesniegts, jo konkrētajā gadījumā nepastāvēja citi personas tiesību aizsardzības līdzekļi. Protestā norādīts, ka pie apstākļiem, kad aizdevuma līgums un tā pielikums, kā arī tajos ietvertā šķīrējtiesas klauzula ar 2019.</w:t>
      </w:r>
      <w:r w:rsidR="00181691">
        <w:rPr>
          <w:rFonts w:cs="Times New Roman"/>
          <w:szCs w:val="24"/>
        </w:rPr>
        <w:t> </w:t>
      </w:r>
      <w:r w:rsidRPr="00C57B98">
        <w:rPr>
          <w:rFonts w:cs="Times New Roman"/>
          <w:szCs w:val="24"/>
        </w:rPr>
        <w:t>gada 9.</w:t>
      </w:r>
      <w:r w:rsidR="00181691">
        <w:rPr>
          <w:rFonts w:cs="Times New Roman"/>
          <w:szCs w:val="24"/>
        </w:rPr>
        <w:t> </w:t>
      </w:r>
      <w:r w:rsidRPr="00C57B98">
        <w:rPr>
          <w:rFonts w:cs="Times New Roman"/>
          <w:szCs w:val="24"/>
        </w:rPr>
        <w:t>jūlijā likumīgā spēkā stājušos tiesas spriedumu atzīta par spēkā neesošu no noslēgšanas brīža, pastāv Civilprocesa likuma 536.</w:t>
      </w:r>
      <w:r w:rsidR="00181691">
        <w:rPr>
          <w:rFonts w:cs="Times New Roman"/>
          <w:szCs w:val="24"/>
        </w:rPr>
        <w:t> </w:t>
      </w:r>
      <w:r w:rsidRPr="00C57B98">
        <w:rPr>
          <w:rFonts w:cs="Times New Roman"/>
          <w:szCs w:val="24"/>
        </w:rPr>
        <w:t>panta pirmās daļas 3.</w:t>
      </w:r>
      <w:r w:rsidR="00181691">
        <w:rPr>
          <w:rFonts w:cs="Times New Roman"/>
          <w:szCs w:val="24"/>
        </w:rPr>
        <w:t> </w:t>
      </w:r>
      <w:r w:rsidRPr="00C57B98">
        <w:rPr>
          <w:rFonts w:cs="Times New Roman"/>
          <w:szCs w:val="24"/>
        </w:rPr>
        <w:t>punktā norādītais pamats atteikumam izsniegt izpildu rakstu.</w:t>
      </w:r>
    </w:p>
    <w:p w14:paraId="68220FD3" w14:textId="29DD47F6" w:rsidR="00181691" w:rsidRDefault="00EB45C7" w:rsidP="00525C57">
      <w:pPr>
        <w:spacing w:after="120" w:line="240" w:lineRule="auto"/>
        <w:ind w:left="709" w:firstLine="720"/>
        <w:jc w:val="both"/>
        <w:rPr>
          <w:rFonts w:cs="Times New Roman"/>
          <w:szCs w:val="24"/>
        </w:rPr>
      </w:pPr>
      <w:r w:rsidRPr="00C57B98">
        <w:rPr>
          <w:rFonts w:cs="Times New Roman"/>
          <w:szCs w:val="24"/>
        </w:rPr>
        <w:t>Senāts protestu apmierināja un norādīja, ka ne 2017.</w:t>
      </w:r>
      <w:r w:rsidR="00181691">
        <w:rPr>
          <w:rFonts w:cs="Times New Roman"/>
          <w:szCs w:val="24"/>
        </w:rPr>
        <w:t> </w:t>
      </w:r>
      <w:r w:rsidRPr="00C57B98">
        <w:rPr>
          <w:rFonts w:cs="Times New Roman"/>
          <w:szCs w:val="24"/>
        </w:rPr>
        <w:t>gada 28.</w:t>
      </w:r>
      <w:r w:rsidR="00181691">
        <w:rPr>
          <w:rFonts w:cs="Times New Roman"/>
          <w:szCs w:val="24"/>
        </w:rPr>
        <w:t> </w:t>
      </w:r>
      <w:r w:rsidRPr="00C57B98">
        <w:rPr>
          <w:rFonts w:cs="Times New Roman"/>
          <w:szCs w:val="24"/>
        </w:rPr>
        <w:t>februārī, kad Zemgales šķīrējtiesa taisīja spriedumu, ne 2017.</w:t>
      </w:r>
      <w:r w:rsidR="00181691">
        <w:rPr>
          <w:rFonts w:cs="Times New Roman"/>
          <w:szCs w:val="24"/>
        </w:rPr>
        <w:t> </w:t>
      </w:r>
      <w:r w:rsidRPr="00C57B98">
        <w:rPr>
          <w:rFonts w:cs="Times New Roman"/>
          <w:szCs w:val="24"/>
        </w:rPr>
        <w:t>gada 25.</w:t>
      </w:r>
      <w:r w:rsidR="00181691">
        <w:rPr>
          <w:rFonts w:cs="Times New Roman"/>
          <w:szCs w:val="24"/>
        </w:rPr>
        <w:t> </w:t>
      </w:r>
      <w:r w:rsidRPr="00C57B98">
        <w:rPr>
          <w:rFonts w:cs="Times New Roman"/>
          <w:szCs w:val="24"/>
        </w:rPr>
        <w:t>maijā, kad Rīgas pilsētas Latgales priekšpilsētas tiesas tiesnesis pieņēma lēmumu par izpildu raksta izdošanu, starp pusēm nepastāvēja spēkā esošs šķīrējtiesas līgums, proti, puses nebija vienojušās par strīda nodošanu izskatīšanai šķīrējtiesā. Līdz ar to civiltiesiskais strīds starp šīm  pusēm nebija izskatāms Zemgales šķīrējtiesā un izpildu raksta izsniegšanai šķīrējtiesas sprieduma izpildei nebija tiesiska pamata.</w:t>
      </w:r>
    </w:p>
    <w:p w14:paraId="2D383702" w14:textId="172A4BFE" w:rsidR="0011286B" w:rsidRPr="0011286B" w:rsidRDefault="00EB45C7" w:rsidP="00E329FC">
      <w:pPr>
        <w:pStyle w:val="ListParagraph"/>
        <w:numPr>
          <w:ilvl w:val="0"/>
          <w:numId w:val="23"/>
        </w:numPr>
        <w:spacing w:after="0" w:line="240" w:lineRule="auto"/>
        <w:jc w:val="both"/>
        <w:rPr>
          <w:rFonts w:cs="Times New Roman"/>
          <w:b/>
          <w:bCs/>
          <w:szCs w:val="24"/>
        </w:rPr>
      </w:pPr>
      <w:r w:rsidRPr="00181691">
        <w:rPr>
          <w:rFonts w:cs="Times New Roman"/>
          <w:szCs w:val="24"/>
          <w:u w:val="single"/>
        </w:rPr>
        <w:t>Lieta Nr.</w:t>
      </w:r>
      <w:r w:rsidR="00FB7258">
        <w:rPr>
          <w:rFonts w:cs="Times New Roman"/>
          <w:szCs w:val="24"/>
          <w:u w:val="single"/>
        </w:rPr>
        <w:t> </w:t>
      </w:r>
      <w:r w:rsidRPr="00181691">
        <w:rPr>
          <w:rFonts w:cs="Times New Roman"/>
          <w:szCs w:val="24"/>
          <w:u w:val="single"/>
        </w:rPr>
        <w:t>SPC-15/2020</w:t>
      </w:r>
    </w:p>
    <w:p w14:paraId="6733B37B" w14:textId="3E7F1AE9" w:rsidR="00EB45C7" w:rsidRPr="0011286B" w:rsidRDefault="00EB45C7" w:rsidP="0011286B">
      <w:pPr>
        <w:pStyle w:val="ListParagraph"/>
        <w:spacing w:after="0" w:line="240" w:lineRule="auto"/>
        <w:ind w:firstLine="709"/>
        <w:jc w:val="both"/>
        <w:rPr>
          <w:rFonts w:cs="Times New Roman"/>
          <w:b/>
          <w:bCs/>
          <w:szCs w:val="24"/>
        </w:rPr>
      </w:pPr>
      <w:r w:rsidRPr="0011286B">
        <w:rPr>
          <w:rFonts w:cs="Times New Roman"/>
          <w:szCs w:val="24"/>
        </w:rPr>
        <w:t>Protests iesniegts par Rīgas pilsētas Pārdaugavas tiesas tiesneša lēmumu, ar kuru apmierināts pieteikums par izpildu raksta izsniegšanu Liepājas pastāvīgās šķīrējtiesas sprieduma piespiedu izpildei, ar kuru pieteicēja labā nodibināta reālnasta uz privātpersonai piederošu dzīvokli, kā arī piedzīts parāds.</w:t>
      </w:r>
    </w:p>
    <w:p w14:paraId="45796FE2" w14:textId="37DF4569" w:rsidR="00EB45C7" w:rsidRPr="00C57B98" w:rsidRDefault="00EB45C7" w:rsidP="00181691">
      <w:pPr>
        <w:spacing w:after="0" w:line="240" w:lineRule="auto"/>
        <w:ind w:left="709" w:firstLine="720"/>
        <w:jc w:val="both"/>
        <w:rPr>
          <w:rFonts w:cs="Times New Roman"/>
          <w:szCs w:val="24"/>
        </w:rPr>
      </w:pPr>
      <w:r w:rsidRPr="00C57B98">
        <w:rPr>
          <w:rFonts w:cs="Times New Roman"/>
          <w:szCs w:val="24"/>
        </w:rPr>
        <w:t>Vēršoties tiesā ar pieteikumu par izpildu raksta izsniegšanu pastāvīgās šķīrējtiesas sprieduma par reālnastas nodibināšanu piespiedu izpildei, pušu mērķis bija piešķirt reālnastai saistošu spēku pret trešajām personām (Civillikuma 1270.</w:t>
      </w:r>
      <w:r w:rsidR="0011286B">
        <w:t> </w:t>
      </w:r>
      <w:r w:rsidRPr="00C57B98">
        <w:rPr>
          <w:rFonts w:cs="Times New Roman"/>
          <w:szCs w:val="24"/>
        </w:rPr>
        <w:t>panta otr</w:t>
      </w:r>
      <w:r w:rsidR="0011286B">
        <w:rPr>
          <w:rFonts w:cs="Times New Roman"/>
          <w:szCs w:val="24"/>
        </w:rPr>
        <w:t>ā</w:t>
      </w:r>
      <w:r w:rsidRPr="00C57B98">
        <w:rPr>
          <w:rFonts w:cs="Times New Roman"/>
          <w:szCs w:val="24"/>
        </w:rPr>
        <w:t xml:space="preserve"> </w:t>
      </w:r>
      <w:r w:rsidRPr="00C57B98">
        <w:rPr>
          <w:rFonts w:cs="Times New Roman"/>
          <w:szCs w:val="24"/>
        </w:rPr>
        <w:lastRenderedPageBreak/>
        <w:t>daļ</w:t>
      </w:r>
      <w:r w:rsidR="0011286B">
        <w:rPr>
          <w:rFonts w:cs="Times New Roman"/>
          <w:szCs w:val="24"/>
        </w:rPr>
        <w:t>a</w:t>
      </w:r>
      <w:r w:rsidRPr="00C57B98">
        <w:rPr>
          <w:rFonts w:cs="Times New Roman"/>
          <w:szCs w:val="24"/>
        </w:rPr>
        <w:t>) un panākt, ka prasījums par reālnastu iegūst prioritāti (Civilprocesa likuma 628.</w:t>
      </w:r>
      <w:r w:rsidR="0011286B">
        <w:rPr>
          <w:rFonts w:cs="Times New Roman"/>
          <w:szCs w:val="24"/>
        </w:rPr>
        <w:t> </w:t>
      </w:r>
      <w:r w:rsidRPr="00C57B98">
        <w:rPr>
          <w:rFonts w:cs="Times New Roman"/>
          <w:szCs w:val="24"/>
        </w:rPr>
        <w:t>panta pirmās daļas 3.</w:t>
      </w:r>
      <w:r w:rsidR="0011286B">
        <w:rPr>
          <w:rFonts w:cs="Times New Roman"/>
          <w:szCs w:val="24"/>
        </w:rPr>
        <w:t> </w:t>
      </w:r>
      <w:r w:rsidRPr="00C57B98">
        <w:rPr>
          <w:rFonts w:cs="Times New Roman"/>
          <w:szCs w:val="24"/>
        </w:rPr>
        <w:t>punkt</w:t>
      </w:r>
      <w:r w:rsidR="0011286B">
        <w:rPr>
          <w:rFonts w:cs="Times New Roman"/>
          <w:szCs w:val="24"/>
        </w:rPr>
        <w:t>s</w:t>
      </w:r>
      <w:r w:rsidRPr="00C57B98">
        <w:rPr>
          <w:rFonts w:cs="Times New Roman"/>
          <w:szCs w:val="24"/>
        </w:rPr>
        <w:t>) attiecībā pret pārējo privātpersonas kreditoru prasījumiem, kuru nodrošināšanai atsavināšanas aizliegumi bija ierakstīti Nekustamā īpašuma valsts kadastra informācijas sistēmā.</w:t>
      </w:r>
    </w:p>
    <w:p w14:paraId="5EC60578" w14:textId="340EE2BB" w:rsidR="00EB45C7" w:rsidRPr="00C57B98" w:rsidRDefault="00EB45C7" w:rsidP="00181691">
      <w:pPr>
        <w:spacing w:after="0" w:line="240" w:lineRule="auto"/>
        <w:ind w:left="709" w:firstLine="720"/>
        <w:jc w:val="both"/>
        <w:rPr>
          <w:rFonts w:cs="Times New Roman"/>
          <w:szCs w:val="24"/>
        </w:rPr>
      </w:pPr>
      <w:r w:rsidRPr="00C57B98">
        <w:rPr>
          <w:rFonts w:cs="Times New Roman"/>
          <w:szCs w:val="24"/>
        </w:rPr>
        <w:t>Apmierinot protestu, Senāts lēmumā norādīja uz Liepājas pastāvīgās šķīrējtiesas  spriedumā atspoguļotiem lietas apstākļiem, ka starp prāvniekiem strīds par reālnastas nodibināšanu nepastāvēja, jo tā nodibināta ar starp pusēm noslēgtu līgumu. Šāds liettiesisks strīds par līgumiskas reālnastas nodibināšanu atbilstoši Civillikuma 1270.</w:t>
      </w:r>
      <w:r w:rsidR="00AE5EE8">
        <w:rPr>
          <w:rFonts w:cs="Times New Roman"/>
          <w:szCs w:val="24"/>
        </w:rPr>
        <w:t> </w:t>
      </w:r>
      <w:r w:rsidRPr="00C57B98">
        <w:rPr>
          <w:rFonts w:cs="Times New Roman"/>
          <w:szCs w:val="24"/>
        </w:rPr>
        <w:t>panta pirmajai daļai nemaz nevar pastāvēt, tāpēc jautājums par reālnastas nodibināšanu nav un nevar būt pakļauts izskatīšanai Liepājas pastāvīgajā šķīrējtiesā.</w:t>
      </w:r>
    </w:p>
    <w:p w14:paraId="6221DF14" w14:textId="291E6DAD" w:rsidR="00EB45C7" w:rsidRDefault="00EB45C7" w:rsidP="00525C57">
      <w:pPr>
        <w:spacing w:after="120" w:line="240" w:lineRule="auto"/>
        <w:ind w:left="709" w:firstLine="720"/>
        <w:jc w:val="both"/>
        <w:rPr>
          <w:rFonts w:cs="Times New Roman"/>
          <w:szCs w:val="24"/>
        </w:rPr>
      </w:pPr>
      <w:r w:rsidRPr="00C57B98">
        <w:rPr>
          <w:rFonts w:cs="Times New Roman"/>
          <w:szCs w:val="24"/>
        </w:rPr>
        <w:t>Tāpat Senāts uzskatīja par nepieciešamu norādīt, ja kāda no pusēm nav izpildījusi saistību un reālnasta zemesgrāmatā (Nekustamā īpašuma valsts kadastra informācijas sistēmā) nav reģistrēta, tad otrai pusei ir tiesība celt personisku (saistībtiesisku) prasību. Ir jāņem vērā, ka uz prasības celšanas brīdi šķīrējtiesā uz privātpersonai piederošo dzīvokli Nekustamā īpašuma valsts kadastra informācijas sistēmā bija reģistrētas vairāku kreditoru piedziņas atzīmes, kas bija šķērslis labprātīgam reālnastas nostiprinājumam. Arī izskatot saistībtiesisku strīdu par līgumisku pienākumu reģistrēt reālnastu uz dzīvokļa īpašumu, pastāvot citu kreditoru agrāk nostiprinātām piedziņas atzīmēm, šāds spriedums nevarētu kalpot par pamatu reālnastas ierakstīšanai zemesgrāmatā, jo tas nepārgroza reālnastas nodibināšanas labprātīgo raksturu, slēdzot līgumu, sekojoši tas nepārgroza labprātīgā nostiprinājuma pamatu. Šādam spriedumam par saistību izpildi nostiprināt reālnastu par šķērsli ir kreditoru agrāk nostiprinātas piedziņas atzīmes. Ar prasības celšanu tiesā nevar apiet likumā noteiktus šķēršļus tiesību nostiprināšanai, lai tādejādi gūtu neattaisnojamu priekšrocību pret citu kreditoru agrāk reģistrētām piedziņas atzīmēm.</w:t>
      </w:r>
    </w:p>
    <w:p w14:paraId="4877DB81" w14:textId="5FB7544F" w:rsidR="00EB45C7" w:rsidRPr="00AE5EE8" w:rsidRDefault="00EB45C7" w:rsidP="00E329FC">
      <w:pPr>
        <w:pStyle w:val="ListParagraph"/>
        <w:numPr>
          <w:ilvl w:val="0"/>
          <w:numId w:val="23"/>
        </w:numPr>
        <w:spacing w:after="0" w:line="240" w:lineRule="auto"/>
        <w:rPr>
          <w:rFonts w:cs="Times New Roman"/>
          <w:b/>
          <w:bCs/>
          <w:szCs w:val="24"/>
        </w:rPr>
      </w:pPr>
      <w:r w:rsidRPr="00AE5EE8">
        <w:rPr>
          <w:rFonts w:cs="Times New Roman"/>
          <w:szCs w:val="24"/>
          <w:u w:val="single"/>
        </w:rPr>
        <w:t>Lieta Nr.</w:t>
      </w:r>
      <w:r w:rsidR="00FB7258">
        <w:rPr>
          <w:rFonts w:cs="Times New Roman"/>
          <w:szCs w:val="24"/>
          <w:u w:val="single"/>
        </w:rPr>
        <w:t> </w:t>
      </w:r>
      <w:r w:rsidRPr="00AE5EE8">
        <w:rPr>
          <w:rFonts w:cs="Times New Roman"/>
          <w:szCs w:val="24"/>
          <w:u w:val="single"/>
        </w:rPr>
        <w:t>SPC-16/2020</w:t>
      </w:r>
    </w:p>
    <w:p w14:paraId="392CCA84" w14:textId="3D98B13D" w:rsidR="00EB45C7" w:rsidRPr="00C57B98" w:rsidRDefault="00EB45C7" w:rsidP="00AE5EE8">
      <w:pPr>
        <w:spacing w:after="0" w:line="240" w:lineRule="auto"/>
        <w:ind w:left="709" w:firstLine="720"/>
        <w:jc w:val="both"/>
        <w:rPr>
          <w:rFonts w:cs="Times New Roman"/>
          <w:szCs w:val="24"/>
        </w:rPr>
      </w:pPr>
      <w:r w:rsidRPr="00C57B98">
        <w:rPr>
          <w:rFonts w:cs="Times New Roman"/>
          <w:szCs w:val="24"/>
        </w:rPr>
        <w:t>Protests iesniegts par Civilprocesa likuma 534.</w:t>
      </w:r>
      <w:r w:rsidR="00AE5EE8">
        <w:rPr>
          <w:rFonts w:cs="Times New Roman"/>
          <w:szCs w:val="24"/>
        </w:rPr>
        <w:t> </w:t>
      </w:r>
      <w:r w:rsidRPr="00C57B98">
        <w:rPr>
          <w:rFonts w:cs="Times New Roman"/>
          <w:szCs w:val="24"/>
        </w:rPr>
        <w:t>panta otrās daļas 1.</w:t>
      </w:r>
      <w:r w:rsidR="00AE5EE8">
        <w:rPr>
          <w:rFonts w:cs="Times New Roman"/>
          <w:szCs w:val="24"/>
        </w:rPr>
        <w:t> </w:t>
      </w:r>
      <w:r w:rsidRPr="00C57B98">
        <w:rPr>
          <w:rFonts w:cs="Times New Roman"/>
          <w:szCs w:val="24"/>
        </w:rPr>
        <w:t>punkta, kas paredz, ka pieteikumam par izpildu raksta izdošanu pastāvīgās šķīrējtiesas sprieduma piespiedu izpildei pievieno pastāvīgās šķīrējtiesas sprieduma norakstu, pārkāpumu.</w:t>
      </w:r>
    </w:p>
    <w:p w14:paraId="0661FDF4" w14:textId="2A441DA6" w:rsidR="00EB45C7" w:rsidRPr="00C57B98" w:rsidRDefault="00EB45C7" w:rsidP="00AE5EE8">
      <w:pPr>
        <w:spacing w:after="0" w:line="240" w:lineRule="auto"/>
        <w:ind w:left="709" w:firstLine="720"/>
        <w:jc w:val="both"/>
        <w:rPr>
          <w:rFonts w:cs="Times New Roman"/>
          <w:szCs w:val="24"/>
        </w:rPr>
      </w:pPr>
      <w:r w:rsidRPr="00C57B98">
        <w:rPr>
          <w:rFonts w:cs="Times New Roman"/>
          <w:szCs w:val="24"/>
        </w:rPr>
        <w:t>No lietas materiāliem  redzams, ka pieteikumam par izpildu raksta izsniegšanu pievienots Rīgas Starptautiskās komercstrīdu šķīrējtiesas 2013.</w:t>
      </w:r>
      <w:r w:rsidR="00D539D0">
        <w:rPr>
          <w:rFonts w:cs="Times New Roman"/>
          <w:szCs w:val="24"/>
        </w:rPr>
        <w:t> </w:t>
      </w:r>
      <w:r w:rsidRPr="00C57B98">
        <w:rPr>
          <w:rFonts w:cs="Times New Roman"/>
          <w:szCs w:val="24"/>
        </w:rPr>
        <w:t>gada 13.</w:t>
      </w:r>
      <w:r w:rsidR="00D539D0">
        <w:rPr>
          <w:rFonts w:cs="Times New Roman"/>
          <w:szCs w:val="24"/>
        </w:rPr>
        <w:t> </w:t>
      </w:r>
      <w:r w:rsidRPr="00C57B98">
        <w:rPr>
          <w:rFonts w:cs="Times New Roman"/>
          <w:szCs w:val="24"/>
        </w:rPr>
        <w:t>decembra sprieduma noraksts, kuru 2017.</w:t>
      </w:r>
      <w:r w:rsidR="00D539D0">
        <w:rPr>
          <w:rFonts w:cs="Times New Roman"/>
          <w:szCs w:val="24"/>
        </w:rPr>
        <w:t> </w:t>
      </w:r>
      <w:r w:rsidRPr="00C57B98">
        <w:rPr>
          <w:rFonts w:cs="Times New Roman"/>
          <w:szCs w:val="24"/>
        </w:rPr>
        <w:t>gada 16.</w:t>
      </w:r>
      <w:r w:rsidR="00D539D0">
        <w:rPr>
          <w:rFonts w:cs="Times New Roman"/>
          <w:szCs w:val="24"/>
        </w:rPr>
        <w:t> </w:t>
      </w:r>
      <w:r w:rsidRPr="00C57B98">
        <w:rPr>
          <w:rFonts w:cs="Times New Roman"/>
          <w:szCs w:val="24"/>
        </w:rPr>
        <w:t>oktobrī apliecinājis Rīgas Starptautiskās komercstrīdu šķīrējtiesas tiesnesis.</w:t>
      </w:r>
    </w:p>
    <w:p w14:paraId="78581E81" w14:textId="3B6096F0" w:rsidR="00EB45C7" w:rsidRPr="00C57B98" w:rsidRDefault="00EB45C7" w:rsidP="00AE5EE8">
      <w:pPr>
        <w:spacing w:after="0" w:line="240" w:lineRule="auto"/>
        <w:ind w:left="709" w:firstLine="720"/>
        <w:jc w:val="both"/>
        <w:rPr>
          <w:rFonts w:cs="Times New Roman"/>
          <w:szCs w:val="24"/>
        </w:rPr>
      </w:pPr>
      <w:r w:rsidRPr="00C57B98">
        <w:rPr>
          <w:rFonts w:cs="Times New Roman"/>
          <w:szCs w:val="24"/>
        </w:rPr>
        <w:t>Ar Latvijas Republikas Uzņēmumu reģistra valsts notāra 2017.</w:t>
      </w:r>
      <w:r w:rsidR="00D539D0">
        <w:rPr>
          <w:rFonts w:cs="Times New Roman"/>
          <w:szCs w:val="24"/>
        </w:rPr>
        <w:t> </w:t>
      </w:r>
      <w:r w:rsidRPr="00C57B98">
        <w:rPr>
          <w:rFonts w:cs="Times New Roman"/>
          <w:szCs w:val="24"/>
        </w:rPr>
        <w:t>gada 3.</w:t>
      </w:r>
      <w:r w:rsidR="00D539D0">
        <w:rPr>
          <w:rFonts w:cs="Times New Roman"/>
          <w:szCs w:val="24"/>
        </w:rPr>
        <w:t> </w:t>
      </w:r>
      <w:r w:rsidRPr="00C57B98">
        <w:rPr>
          <w:rFonts w:cs="Times New Roman"/>
          <w:szCs w:val="24"/>
        </w:rPr>
        <w:t>maija lēmumu šķīrējtiesu reģistrā izdarīts ieraksts par minētās šķīrējtiesas darbības izbeigšanu, tātad tiesnesis 2017.</w:t>
      </w:r>
      <w:r w:rsidR="00D539D0">
        <w:rPr>
          <w:rFonts w:cs="Times New Roman"/>
          <w:szCs w:val="24"/>
        </w:rPr>
        <w:t> </w:t>
      </w:r>
      <w:r w:rsidRPr="00C57B98">
        <w:rPr>
          <w:rFonts w:cs="Times New Roman"/>
          <w:szCs w:val="24"/>
        </w:rPr>
        <w:t>gada 16.</w:t>
      </w:r>
      <w:r w:rsidR="00D539D0">
        <w:rPr>
          <w:rFonts w:cs="Times New Roman"/>
          <w:szCs w:val="24"/>
        </w:rPr>
        <w:t> </w:t>
      </w:r>
      <w:r w:rsidRPr="00C57B98">
        <w:rPr>
          <w:rFonts w:cs="Times New Roman"/>
          <w:szCs w:val="24"/>
        </w:rPr>
        <w:t>oktobrī nebija tiesīgs apliecināt minētās šķīrējtiesas sprieduma norakstu.</w:t>
      </w:r>
    </w:p>
    <w:p w14:paraId="2C1E76D3" w14:textId="76F7C42F" w:rsidR="00EB45C7" w:rsidRPr="00C57B98" w:rsidRDefault="00EB45C7" w:rsidP="00525C57">
      <w:pPr>
        <w:spacing w:after="120" w:line="240" w:lineRule="auto"/>
        <w:ind w:left="709" w:firstLine="720"/>
        <w:jc w:val="both"/>
        <w:rPr>
          <w:rFonts w:cs="Times New Roman"/>
          <w:szCs w:val="24"/>
        </w:rPr>
      </w:pPr>
      <w:r w:rsidRPr="00C57B98">
        <w:rPr>
          <w:rFonts w:cs="Times New Roman"/>
          <w:szCs w:val="24"/>
        </w:rPr>
        <w:t>Senāts, apmierinot protestu, atzina, ka Rīgas rajona tiesas tiesnesis, apmierinot pieteikumu par izpildu raksta izsniegšanu pastāvīgās šķīrējtiesas sprieduma piespiedu izpildei, nepamatoti bez ievērības atstājis apstākli, ka iesniedzējs nav izpildījis Civilprocesa likuma 534.</w:t>
      </w:r>
      <w:r w:rsidR="00D539D0">
        <w:rPr>
          <w:rFonts w:cs="Times New Roman"/>
          <w:szCs w:val="24"/>
        </w:rPr>
        <w:t> </w:t>
      </w:r>
      <w:r w:rsidRPr="00C57B98">
        <w:rPr>
          <w:rFonts w:cs="Times New Roman"/>
          <w:szCs w:val="24"/>
        </w:rPr>
        <w:t>panta otrās daļas 1.</w:t>
      </w:r>
      <w:r w:rsidR="00D539D0">
        <w:rPr>
          <w:rFonts w:cs="Times New Roman"/>
          <w:szCs w:val="24"/>
        </w:rPr>
        <w:t> </w:t>
      </w:r>
      <w:r w:rsidRPr="00C57B98">
        <w:rPr>
          <w:rFonts w:cs="Times New Roman"/>
          <w:szCs w:val="24"/>
        </w:rPr>
        <w:t>punkta prasības, jo</w:t>
      </w:r>
      <w:r w:rsidR="00D539D0">
        <w:rPr>
          <w:rFonts w:cs="Times New Roman"/>
          <w:szCs w:val="24"/>
        </w:rPr>
        <w:t>,</w:t>
      </w:r>
      <w:r w:rsidRPr="00C57B98">
        <w:rPr>
          <w:rFonts w:cs="Times New Roman"/>
          <w:szCs w:val="24"/>
        </w:rPr>
        <w:t xml:space="preserve"> ņemot vērā minētos apstākļus, tiesai iesniegtajam šķīrējtiesas sprieduma norakstam n</w:t>
      </w:r>
      <w:r w:rsidR="00D539D0">
        <w:rPr>
          <w:rFonts w:cs="Times New Roman"/>
          <w:szCs w:val="24"/>
        </w:rPr>
        <w:t>av</w:t>
      </w:r>
      <w:r w:rsidRPr="00C57B98">
        <w:rPr>
          <w:rFonts w:cs="Times New Roman"/>
          <w:szCs w:val="24"/>
        </w:rPr>
        <w:t xml:space="preserve"> juridiskā spēka.</w:t>
      </w:r>
    </w:p>
    <w:p w14:paraId="33A8BA2A" w14:textId="3B2F1BC2" w:rsidR="00D32635" w:rsidRPr="00525C57" w:rsidRDefault="00D32635" w:rsidP="00525C57">
      <w:pPr>
        <w:spacing w:after="120" w:line="240" w:lineRule="auto"/>
        <w:rPr>
          <w:rFonts w:cs="Times New Roman"/>
          <w:b/>
          <w:bCs/>
          <w:szCs w:val="24"/>
        </w:rPr>
      </w:pPr>
      <w:r>
        <w:rPr>
          <w:rFonts w:cs="Times New Roman"/>
          <w:b/>
          <w:bCs/>
          <w:szCs w:val="24"/>
        </w:rPr>
        <w:t xml:space="preserve">[4] </w:t>
      </w:r>
      <w:r w:rsidR="00EB45C7" w:rsidRPr="00D32635">
        <w:rPr>
          <w:rFonts w:cs="Times New Roman"/>
          <w:b/>
          <w:bCs/>
          <w:szCs w:val="24"/>
        </w:rPr>
        <w:t>2 protesti iesniegti saistībā ar mantas konfiskāciju par labu valstij.</w:t>
      </w:r>
    </w:p>
    <w:p w14:paraId="3EFA9320" w14:textId="3B322A0C" w:rsidR="00EB45C7" w:rsidRPr="00D32635" w:rsidRDefault="00EB45C7" w:rsidP="00E329FC">
      <w:pPr>
        <w:pStyle w:val="ListParagraph"/>
        <w:numPr>
          <w:ilvl w:val="0"/>
          <w:numId w:val="24"/>
        </w:numPr>
        <w:spacing w:after="0" w:line="240" w:lineRule="auto"/>
        <w:jc w:val="both"/>
        <w:rPr>
          <w:rFonts w:cs="Times New Roman"/>
          <w:b/>
          <w:bCs/>
          <w:szCs w:val="24"/>
        </w:rPr>
      </w:pPr>
      <w:r w:rsidRPr="00D32635">
        <w:rPr>
          <w:rFonts w:cs="Times New Roman"/>
          <w:szCs w:val="24"/>
          <w:u w:val="single"/>
        </w:rPr>
        <w:t>Lieta Nr.</w:t>
      </w:r>
      <w:r w:rsidR="00FB7258">
        <w:rPr>
          <w:rFonts w:cs="Times New Roman"/>
          <w:szCs w:val="24"/>
          <w:u w:val="single"/>
        </w:rPr>
        <w:t> </w:t>
      </w:r>
      <w:r w:rsidRPr="00D32635">
        <w:rPr>
          <w:rFonts w:cs="Times New Roman"/>
          <w:szCs w:val="24"/>
          <w:u w:val="single"/>
        </w:rPr>
        <w:t>SPC-27/2020</w:t>
      </w:r>
    </w:p>
    <w:p w14:paraId="2DEB1B3A" w14:textId="657BF6C8" w:rsidR="00EB45C7" w:rsidRPr="00C57B98" w:rsidRDefault="00EB45C7" w:rsidP="00D32635">
      <w:pPr>
        <w:spacing w:after="0" w:line="240" w:lineRule="auto"/>
        <w:ind w:left="709" w:firstLine="720"/>
        <w:jc w:val="both"/>
        <w:rPr>
          <w:rFonts w:cs="Times New Roman"/>
          <w:szCs w:val="24"/>
        </w:rPr>
      </w:pPr>
      <w:r w:rsidRPr="00C57B98">
        <w:rPr>
          <w:rFonts w:cs="Times New Roman"/>
          <w:szCs w:val="24"/>
        </w:rPr>
        <w:t>Protests iesniegts, jo Rīgas pilsētas Vidzemes priekšpilsētas tiesa kļūdaini atzinusi, ka noziedzīgi iegūtās mantas konfiskācijas izpilde veicama saskaņā ar Kredītiestāžu likuma 191.</w:t>
      </w:r>
      <w:r w:rsidR="00FB7258">
        <w:rPr>
          <w:rFonts w:cs="Times New Roman"/>
          <w:szCs w:val="24"/>
        </w:rPr>
        <w:t>–</w:t>
      </w:r>
      <w:r w:rsidRPr="00C57B98">
        <w:rPr>
          <w:rFonts w:cs="Times New Roman"/>
          <w:szCs w:val="24"/>
        </w:rPr>
        <w:t>195.</w:t>
      </w:r>
      <w:r w:rsidR="00555082">
        <w:rPr>
          <w:rFonts w:cs="Times New Roman"/>
          <w:szCs w:val="24"/>
        </w:rPr>
        <w:t> </w:t>
      </w:r>
      <w:r w:rsidRPr="00C57B98">
        <w:rPr>
          <w:rFonts w:cs="Times New Roman"/>
          <w:szCs w:val="24"/>
        </w:rPr>
        <w:t>pant</w:t>
      </w:r>
      <w:r w:rsidR="00555082">
        <w:rPr>
          <w:rFonts w:cs="Times New Roman"/>
          <w:szCs w:val="24"/>
        </w:rPr>
        <w:t>u</w:t>
      </w:r>
      <w:r w:rsidRPr="00C57B98">
        <w:rPr>
          <w:rFonts w:cs="Times New Roman"/>
          <w:szCs w:val="24"/>
        </w:rPr>
        <w:t xml:space="preserve"> (redakcijā, kas bija spēkā līdz 2018.</w:t>
      </w:r>
      <w:r w:rsidR="00555082">
        <w:rPr>
          <w:rFonts w:cs="Times New Roman"/>
          <w:szCs w:val="24"/>
        </w:rPr>
        <w:t> </w:t>
      </w:r>
      <w:r w:rsidRPr="00C57B98">
        <w:rPr>
          <w:rFonts w:cs="Times New Roman"/>
          <w:szCs w:val="24"/>
        </w:rPr>
        <w:t>gada 14.</w:t>
      </w:r>
      <w:r w:rsidR="00555082">
        <w:rPr>
          <w:rFonts w:cs="Times New Roman"/>
          <w:szCs w:val="24"/>
        </w:rPr>
        <w:t> </w:t>
      </w:r>
      <w:r w:rsidRPr="00C57B98">
        <w:rPr>
          <w:rFonts w:cs="Times New Roman"/>
          <w:szCs w:val="24"/>
        </w:rPr>
        <w:t>novembrim) un  tā pakļaujas kreditora prasījumu vispārīgai apmierināšanas kārtībai. Piemērojot šādu kārtību, naudas līdzekļi, kas atzīti par noziedzīgi iegūtiem, tiek iekļauti Bankas kopējā mantā un,</w:t>
      </w:r>
      <w:r w:rsidR="00555082">
        <w:rPr>
          <w:rFonts w:cs="Times New Roman"/>
          <w:szCs w:val="24"/>
        </w:rPr>
        <w:t xml:space="preserve"> </w:t>
      </w:r>
      <w:r w:rsidRPr="00C57B98">
        <w:rPr>
          <w:rFonts w:cs="Times New Roman"/>
          <w:szCs w:val="24"/>
        </w:rPr>
        <w:t xml:space="preserve">veicot to sadali atbilstoši speciālajai likvidācijas un maksātnespējas procesos paredzētajai kārtībai, faktiski tie tiek atgriezti civiltiesiskā </w:t>
      </w:r>
      <w:r w:rsidRPr="00C57B98">
        <w:rPr>
          <w:rFonts w:cs="Times New Roman"/>
          <w:szCs w:val="24"/>
        </w:rPr>
        <w:lastRenderedPageBreak/>
        <w:t>apgrozībā, piemēram, izmaksājot tos prioritārākas kārtas prasījumiem vai izlietojot maksātnespējas procesa izmaksām, t.sk.</w:t>
      </w:r>
      <w:r w:rsidR="00555082">
        <w:rPr>
          <w:rFonts w:cs="Times New Roman"/>
          <w:szCs w:val="24"/>
        </w:rPr>
        <w:t xml:space="preserve"> </w:t>
      </w:r>
      <w:r w:rsidRPr="00C57B98">
        <w:rPr>
          <w:rFonts w:cs="Times New Roman"/>
          <w:szCs w:val="24"/>
        </w:rPr>
        <w:t>administratora atlīdzībai, kura, kā secināms no publiski pieejamās informācijas konkrētajā procesā</w:t>
      </w:r>
      <w:r w:rsidR="00555082">
        <w:rPr>
          <w:rFonts w:cs="Times New Roman"/>
          <w:szCs w:val="24"/>
        </w:rPr>
        <w:t>,</w:t>
      </w:r>
      <w:r w:rsidRPr="00C57B98">
        <w:rPr>
          <w:rFonts w:cs="Times New Roman"/>
          <w:szCs w:val="24"/>
        </w:rPr>
        <w:t xml:space="preserve"> veido 30</w:t>
      </w:r>
      <w:r w:rsidR="00555082">
        <w:rPr>
          <w:rFonts w:cs="Times New Roman"/>
          <w:szCs w:val="24"/>
        </w:rPr>
        <w:t> </w:t>
      </w:r>
      <w:r w:rsidRPr="00C57B98">
        <w:rPr>
          <w:rFonts w:cs="Times New Roman"/>
          <w:szCs w:val="24"/>
        </w:rPr>
        <w:t>% no kreditoriem izmaksājamās summas. Tād</w:t>
      </w:r>
      <w:r w:rsidR="00555082">
        <w:rPr>
          <w:rFonts w:cs="Times New Roman"/>
          <w:szCs w:val="24"/>
        </w:rPr>
        <w:t>ē</w:t>
      </w:r>
      <w:r w:rsidRPr="00C57B98">
        <w:rPr>
          <w:rFonts w:cs="Times New Roman"/>
          <w:szCs w:val="24"/>
        </w:rPr>
        <w:t>jādi tiek pārkāpts princips, ka noziedzīgi iegūta manta ir izslēdzama no civiltiesiskās apgrozības un nododama valstij.</w:t>
      </w:r>
    </w:p>
    <w:p w14:paraId="2F80496D" w14:textId="77777777" w:rsidR="00EB45C7" w:rsidRPr="00C57B98" w:rsidRDefault="00EB45C7" w:rsidP="00D32635">
      <w:pPr>
        <w:spacing w:after="0" w:line="240" w:lineRule="auto"/>
        <w:ind w:left="709" w:firstLine="720"/>
        <w:jc w:val="both"/>
        <w:rPr>
          <w:rFonts w:cs="Times New Roman"/>
          <w:szCs w:val="24"/>
        </w:rPr>
      </w:pPr>
      <w:r w:rsidRPr="00C57B98">
        <w:rPr>
          <w:rFonts w:cs="Times New Roman"/>
          <w:szCs w:val="24"/>
        </w:rPr>
        <w:t>Senāts, apmierinot protestu, norādīja, ka šāda situācija neatbilst noziedzīgi iegūtas mantas konfiskācijas būtībai un nav pieļaujama.</w:t>
      </w:r>
    </w:p>
    <w:p w14:paraId="415029DF" w14:textId="0FFCABD3" w:rsidR="00EB45C7" w:rsidRDefault="00EB45C7" w:rsidP="00525C57">
      <w:pPr>
        <w:spacing w:after="120" w:line="240" w:lineRule="auto"/>
        <w:ind w:left="709" w:firstLine="720"/>
        <w:jc w:val="both"/>
        <w:rPr>
          <w:rFonts w:cs="Times New Roman"/>
          <w:szCs w:val="24"/>
        </w:rPr>
      </w:pPr>
      <w:r w:rsidRPr="00C57B98">
        <w:rPr>
          <w:rFonts w:cs="Times New Roman"/>
          <w:szCs w:val="24"/>
        </w:rPr>
        <w:t>Senāts atzina, ka apstāklis, ka par noziedzīgi iegūtiem atzītie naudas līdzekļi sakarā ar akciju sabiedrības “Trasta komercbanka” atzīšanu par likvidējamu vairs neatrodas attiecīgu personu kontos akciju sabiedrībā “Trasta komercbanka”, bet citā kredītiestādē, nevar būt šķērslis šo līdzekļu konfiskācijai valsts labā un ieskaitīšanai valsts budžetā. Pretējā gadījumā kredītiestādes likvidācija (arī pašlikvidācija) vienmēr dotu iespēju apiet likumu un turpināt noziedzīgi iegūtu līdzekļu civiltiesisko apgrozību.</w:t>
      </w:r>
    </w:p>
    <w:p w14:paraId="3B63188B" w14:textId="3829EB3C" w:rsidR="00EB45C7" w:rsidRPr="004A2F47" w:rsidRDefault="00EB45C7" w:rsidP="00E329FC">
      <w:pPr>
        <w:pStyle w:val="ListParagraph"/>
        <w:numPr>
          <w:ilvl w:val="0"/>
          <w:numId w:val="24"/>
        </w:numPr>
        <w:spacing w:after="0" w:line="240" w:lineRule="auto"/>
        <w:rPr>
          <w:rFonts w:cs="Times New Roman"/>
          <w:b/>
          <w:bCs/>
          <w:szCs w:val="24"/>
        </w:rPr>
      </w:pPr>
      <w:r w:rsidRPr="004A2F47">
        <w:rPr>
          <w:rFonts w:cs="Times New Roman"/>
          <w:szCs w:val="24"/>
          <w:u w:val="single"/>
        </w:rPr>
        <w:t>Lieta Nr.</w:t>
      </w:r>
      <w:r w:rsidR="00FB7258">
        <w:rPr>
          <w:rFonts w:cs="Times New Roman"/>
          <w:szCs w:val="24"/>
          <w:u w:val="single"/>
        </w:rPr>
        <w:t> </w:t>
      </w:r>
      <w:r w:rsidRPr="004A2F47">
        <w:rPr>
          <w:rFonts w:cs="Times New Roman"/>
          <w:szCs w:val="24"/>
          <w:u w:val="single"/>
        </w:rPr>
        <w:t>SPC-6/2020</w:t>
      </w:r>
    </w:p>
    <w:p w14:paraId="63B15FBD" w14:textId="77777777" w:rsidR="00EB45C7" w:rsidRPr="00C57B98" w:rsidRDefault="00EB45C7" w:rsidP="004A2F47">
      <w:pPr>
        <w:spacing w:after="0" w:line="240" w:lineRule="auto"/>
        <w:ind w:left="709" w:firstLine="720"/>
        <w:jc w:val="both"/>
        <w:rPr>
          <w:rFonts w:cs="Times New Roman"/>
          <w:szCs w:val="24"/>
        </w:rPr>
      </w:pPr>
      <w:r w:rsidRPr="00C57B98">
        <w:rPr>
          <w:rFonts w:cs="Times New Roman"/>
          <w:szCs w:val="24"/>
        </w:rPr>
        <w:t>Protests iesniegts par Rīgas pilsētas Vidzemes priekšpilsētas tiesas Zemesgrāmatu nodaļas tiesneses lēmumu, ar kuru apmierināts zvērināta tiesu izpildītāja pieteikums par nekustamā īpašuma izsoles akta apstiprināšanu dzīvoklim, kas saskaņā ar spriedumu krimināllietā konfiscēts par labu valstij.</w:t>
      </w:r>
    </w:p>
    <w:p w14:paraId="26B2CE4C" w14:textId="46A7544D" w:rsidR="00EB45C7" w:rsidRPr="00C57B98" w:rsidRDefault="00EB45C7" w:rsidP="004A2F47">
      <w:pPr>
        <w:spacing w:after="0" w:line="240" w:lineRule="auto"/>
        <w:ind w:left="709" w:firstLine="720"/>
        <w:jc w:val="both"/>
        <w:rPr>
          <w:rFonts w:cs="Times New Roman"/>
          <w:szCs w:val="24"/>
        </w:rPr>
      </w:pPr>
      <w:r w:rsidRPr="00C57B98">
        <w:rPr>
          <w:rFonts w:cs="Times New Roman"/>
          <w:szCs w:val="24"/>
        </w:rPr>
        <w:t>Apmierinot protestu, Senāts norādīja, ka Civilprocesa likuma 617.</w:t>
      </w:r>
      <w:r w:rsidR="004A2F47">
        <w:rPr>
          <w:rFonts w:cs="Times New Roman"/>
          <w:szCs w:val="24"/>
        </w:rPr>
        <w:t> </w:t>
      </w:r>
      <w:r w:rsidRPr="00C57B98">
        <w:rPr>
          <w:rFonts w:cs="Times New Roman"/>
          <w:szCs w:val="24"/>
        </w:rPr>
        <w:t>panta pirmās daļas 6.</w:t>
      </w:r>
      <w:r w:rsidR="004A2F47">
        <w:rPr>
          <w:rFonts w:cs="Times New Roman"/>
          <w:szCs w:val="24"/>
        </w:rPr>
        <w:t> </w:t>
      </w:r>
      <w:r w:rsidRPr="00C57B98">
        <w:rPr>
          <w:rFonts w:cs="Times New Roman"/>
          <w:szCs w:val="24"/>
        </w:rPr>
        <w:t>punkts uzliek tiesai pienākumu, lemjot par izsoles akta apstiprināšanu, pārliecināties, ka nepastāv apstākļi, kuri nepieļauj nekustamā īpašuma nostiprināšanu uz piedzinēja vārda.</w:t>
      </w:r>
    </w:p>
    <w:p w14:paraId="34A0FE05" w14:textId="3D592A2D" w:rsidR="00EB45C7" w:rsidRPr="00C57B98" w:rsidRDefault="00EB45C7" w:rsidP="004A2F47">
      <w:pPr>
        <w:spacing w:after="0" w:line="240" w:lineRule="auto"/>
        <w:ind w:left="709" w:firstLine="720"/>
        <w:jc w:val="both"/>
        <w:rPr>
          <w:rFonts w:cs="Times New Roman"/>
          <w:szCs w:val="24"/>
        </w:rPr>
      </w:pPr>
      <w:r w:rsidRPr="00C57B98">
        <w:rPr>
          <w:rFonts w:cs="Times New Roman"/>
          <w:szCs w:val="24"/>
        </w:rPr>
        <w:t>Civillikuma 1033.</w:t>
      </w:r>
      <w:r w:rsidR="00FB7258">
        <w:rPr>
          <w:rFonts w:cs="Times New Roman"/>
          <w:szCs w:val="24"/>
        </w:rPr>
        <w:t> </w:t>
      </w:r>
      <w:r w:rsidRPr="00C57B98">
        <w:rPr>
          <w:rFonts w:cs="Times New Roman"/>
          <w:szCs w:val="24"/>
        </w:rPr>
        <w:t>panta 3.</w:t>
      </w:r>
      <w:r w:rsidR="00FB7258">
        <w:rPr>
          <w:rFonts w:cs="Times New Roman"/>
          <w:szCs w:val="24"/>
        </w:rPr>
        <w:t> </w:t>
      </w:r>
      <w:r w:rsidRPr="00C57B98">
        <w:rPr>
          <w:rFonts w:cs="Times New Roman"/>
          <w:szCs w:val="24"/>
        </w:rPr>
        <w:t>punkts paredz, ka bez īpašnieka gribas īpašuma tiesība izbeidzas ar tiesas spriedumu, ar kuru lieta piespriesta citam, vai ar kuru kā sods noteikta tās konfiskācija valstij par labu.</w:t>
      </w:r>
    </w:p>
    <w:p w14:paraId="22CB6C70" w14:textId="57D11271" w:rsidR="00EB45C7" w:rsidRPr="00C57B98" w:rsidRDefault="00EB45C7" w:rsidP="00525C57">
      <w:pPr>
        <w:spacing w:after="120" w:line="240" w:lineRule="auto"/>
        <w:ind w:left="709" w:firstLine="720"/>
        <w:jc w:val="both"/>
        <w:rPr>
          <w:rFonts w:cs="Times New Roman"/>
          <w:szCs w:val="24"/>
        </w:rPr>
      </w:pPr>
      <w:r w:rsidRPr="00C57B98">
        <w:rPr>
          <w:rFonts w:cs="Times New Roman"/>
          <w:szCs w:val="24"/>
        </w:rPr>
        <w:t>Zvērināts tiesu izpildītājs, izpildot izpildu rakstu par uzturlīdzekļu piedziņu</w:t>
      </w:r>
      <w:r w:rsidR="00FB7258">
        <w:rPr>
          <w:rFonts w:cs="Times New Roman"/>
          <w:szCs w:val="24"/>
        </w:rPr>
        <w:t>,</w:t>
      </w:r>
      <w:r w:rsidRPr="00C57B98">
        <w:rPr>
          <w:rFonts w:cs="Times New Roman"/>
          <w:szCs w:val="24"/>
        </w:rPr>
        <w:t xml:space="preserve"> ir izsolījis parādniekam vairs nepiederošu mantu.</w:t>
      </w:r>
    </w:p>
    <w:p w14:paraId="4476BFB5" w14:textId="0ABD6C72" w:rsidR="00FB7258" w:rsidRDefault="00FB7258" w:rsidP="00525C57">
      <w:pPr>
        <w:spacing w:after="120" w:line="240" w:lineRule="auto"/>
        <w:rPr>
          <w:rFonts w:cs="Times New Roman"/>
          <w:b/>
          <w:bCs/>
          <w:szCs w:val="24"/>
        </w:rPr>
      </w:pPr>
      <w:r>
        <w:rPr>
          <w:rFonts w:cs="Times New Roman"/>
          <w:b/>
          <w:bCs/>
          <w:szCs w:val="24"/>
        </w:rPr>
        <w:t xml:space="preserve">[5] </w:t>
      </w:r>
      <w:r w:rsidR="00EB45C7" w:rsidRPr="00FB7258">
        <w:rPr>
          <w:rFonts w:cs="Times New Roman"/>
          <w:b/>
          <w:bCs/>
          <w:szCs w:val="24"/>
        </w:rPr>
        <w:t>4 protesti i</w:t>
      </w:r>
      <w:r w:rsidR="003E385D">
        <w:rPr>
          <w:rFonts w:cs="Times New Roman"/>
          <w:b/>
          <w:bCs/>
          <w:szCs w:val="24"/>
        </w:rPr>
        <w:t>esnieg</w:t>
      </w:r>
      <w:r w:rsidR="00EB45C7" w:rsidRPr="00FB7258">
        <w:rPr>
          <w:rFonts w:cs="Times New Roman"/>
          <w:b/>
          <w:bCs/>
          <w:szCs w:val="24"/>
        </w:rPr>
        <w:t>ti lietās par saistību izpildīšanu tiesas ceļā.</w:t>
      </w:r>
    </w:p>
    <w:p w14:paraId="6ED7D90D" w14:textId="62F04F95" w:rsidR="00EB45C7" w:rsidRPr="00FB7258" w:rsidRDefault="00EB45C7" w:rsidP="00E329FC">
      <w:pPr>
        <w:pStyle w:val="ListParagraph"/>
        <w:numPr>
          <w:ilvl w:val="0"/>
          <w:numId w:val="25"/>
        </w:numPr>
        <w:spacing w:after="0" w:line="240" w:lineRule="auto"/>
        <w:rPr>
          <w:rFonts w:cs="Times New Roman"/>
          <w:szCs w:val="24"/>
        </w:rPr>
      </w:pPr>
      <w:r w:rsidRPr="00FB7258">
        <w:rPr>
          <w:rFonts w:cs="Times New Roman"/>
          <w:szCs w:val="24"/>
          <w:u w:val="single"/>
        </w:rPr>
        <w:t>Lieta Nr.</w:t>
      </w:r>
      <w:r w:rsidR="00FB7258">
        <w:rPr>
          <w:rFonts w:cs="Times New Roman"/>
          <w:szCs w:val="24"/>
          <w:u w:val="single"/>
        </w:rPr>
        <w:t> </w:t>
      </w:r>
      <w:r w:rsidRPr="00FB7258">
        <w:rPr>
          <w:rFonts w:cs="Times New Roman"/>
          <w:szCs w:val="24"/>
          <w:u w:val="single"/>
        </w:rPr>
        <w:t>SPC-4/2020</w:t>
      </w:r>
    </w:p>
    <w:p w14:paraId="69AEAB4D" w14:textId="616D7960" w:rsidR="00EB45C7" w:rsidRPr="00C57B98" w:rsidRDefault="00EB45C7" w:rsidP="0010344C">
      <w:pPr>
        <w:spacing w:after="0" w:line="240" w:lineRule="auto"/>
        <w:ind w:left="709" w:firstLine="720"/>
        <w:jc w:val="both"/>
        <w:rPr>
          <w:rFonts w:cs="Times New Roman"/>
          <w:szCs w:val="24"/>
        </w:rPr>
      </w:pPr>
      <w:r w:rsidRPr="00C57B98">
        <w:rPr>
          <w:rFonts w:cs="Times New Roman"/>
          <w:szCs w:val="24"/>
        </w:rPr>
        <w:t>Ar Rīgas pilsētas Vidzemes priekšpilsētas tiesas tiesneša 2017.</w:t>
      </w:r>
      <w:r w:rsidR="0010344C">
        <w:rPr>
          <w:rFonts w:cs="Times New Roman"/>
          <w:szCs w:val="24"/>
        </w:rPr>
        <w:t> </w:t>
      </w:r>
      <w:r w:rsidRPr="00C57B98">
        <w:rPr>
          <w:rFonts w:cs="Times New Roman"/>
          <w:szCs w:val="24"/>
        </w:rPr>
        <w:t>gada 27.</w:t>
      </w:r>
      <w:r w:rsidR="0010344C">
        <w:rPr>
          <w:rFonts w:cs="Times New Roman"/>
          <w:szCs w:val="24"/>
        </w:rPr>
        <w:t> </w:t>
      </w:r>
      <w:r w:rsidRPr="00C57B98">
        <w:rPr>
          <w:rFonts w:cs="Times New Roman"/>
          <w:szCs w:val="24"/>
        </w:rPr>
        <w:t>septembra lēmumu apmierināts sabiedrības ar ierobežotu atbildību pieteikums par privātpersonai piederošā ieķīlātā nekustamā īpašuma labprātīgu pārdošanu izsolē tiesas ceļā.</w:t>
      </w:r>
    </w:p>
    <w:p w14:paraId="6CEE923F" w14:textId="19F5ABDC" w:rsidR="00EB45C7" w:rsidRPr="00C57B98" w:rsidRDefault="00EB45C7" w:rsidP="0010344C">
      <w:pPr>
        <w:spacing w:after="0" w:line="240" w:lineRule="auto"/>
        <w:ind w:left="709" w:firstLine="720"/>
        <w:jc w:val="both"/>
        <w:rPr>
          <w:rFonts w:cs="Times New Roman"/>
          <w:szCs w:val="24"/>
        </w:rPr>
      </w:pPr>
      <w:r w:rsidRPr="00C57B98">
        <w:rPr>
          <w:rFonts w:cs="Times New Roman"/>
          <w:szCs w:val="24"/>
        </w:rPr>
        <w:t>Aizstāvot savas intereses, privātpersona cēlusi prasību tiesā pret sabiedrību ar ierobežotu atbildību par kreditora prasījuma atzīšanu par nepamatotu daļā par līgumsoda un likumisko procentu piedziņu. Šai civillietā apmierināts privātpersonas pieteikums par nekustamā īpašuma labprātīgas pārdošanas izsolē apturēšanu un piemērots prasības nodrošinājums – apturēta Rīgas pilsētas Vidzemes priekšpilsētas tiesas tiesneša 2017.</w:t>
      </w:r>
      <w:r w:rsidR="0010344C">
        <w:rPr>
          <w:rFonts w:cs="Times New Roman"/>
          <w:szCs w:val="24"/>
        </w:rPr>
        <w:t> </w:t>
      </w:r>
      <w:r w:rsidRPr="00C57B98">
        <w:rPr>
          <w:rFonts w:cs="Times New Roman"/>
          <w:szCs w:val="24"/>
        </w:rPr>
        <w:t>gada 27.</w:t>
      </w:r>
      <w:r w:rsidR="0010344C">
        <w:rPr>
          <w:rFonts w:cs="Times New Roman"/>
          <w:szCs w:val="24"/>
        </w:rPr>
        <w:t> </w:t>
      </w:r>
      <w:r w:rsidRPr="00C57B98">
        <w:rPr>
          <w:rFonts w:cs="Times New Roman"/>
          <w:szCs w:val="24"/>
        </w:rPr>
        <w:t>septembra lēmuma izpilde.</w:t>
      </w:r>
    </w:p>
    <w:p w14:paraId="176D5C99" w14:textId="77777777" w:rsidR="00EB45C7" w:rsidRPr="00C57B98" w:rsidRDefault="00EB45C7" w:rsidP="0010344C">
      <w:pPr>
        <w:spacing w:after="0" w:line="240" w:lineRule="auto"/>
        <w:ind w:left="709" w:firstLine="720"/>
        <w:jc w:val="both"/>
        <w:rPr>
          <w:rFonts w:cs="Times New Roman"/>
          <w:szCs w:val="24"/>
        </w:rPr>
      </w:pPr>
      <w:r w:rsidRPr="00C57B98">
        <w:rPr>
          <w:rFonts w:cs="Times New Roman"/>
          <w:szCs w:val="24"/>
        </w:rPr>
        <w:t>Protests iesniegts, jo neraugoties uz to, ka starp pusēm prasības kārtībā tiek risināts civiltiesisks strīds daļā par procentu un līgumsoda pamatotību, sabiedrība ar ierobežotu atbildību iesniegusi tiesā pieteikumu par no šī paša līguma izrietošās saistības bezstrīdus piespiedu izpildīšanu.</w:t>
      </w:r>
    </w:p>
    <w:p w14:paraId="05E0D370" w14:textId="19EDACE4" w:rsidR="00EB45C7" w:rsidRDefault="00EB45C7" w:rsidP="00525C57">
      <w:pPr>
        <w:spacing w:after="120" w:line="240" w:lineRule="auto"/>
        <w:ind w:left="709" w:firstLine="720"/>
        <w:jc w:val="both"/>
        <w:rPr>
          <w:rFonts w:cs="Times New Roman"/>
          <w:szCs w:val="24"/>
        </w:rPr>
      </w:pPr>
      <w:r w:rsidRPr="00C57B98">
        <w:rPr>
          <w:rFonts w:cs="Times New Roman"/>
          <w:szCs w:val="24"/>
        </w:rPr>
        <w:t>Apmierinot protestu un izbeidzot tiesvedību lietā, Senāts norādīja, ka izskatāmajā lietā ir likumīgā spēkā stājies tiesas lēmums par nekustamā īpašuma labprātīgu pārdošanu izsolē tiesas ceļā, tād</w:t>
      </w:r>
      <w:r w:rsidR="0010344C">
        <w:rPr>
          <w:rFonts w:cs="Times New Roman"/>
          <w:szCs w:val="24"/>
        </w:rPr>
        <w:t>ē</w:t>
      </w:r>
      <w:r w:rsidRPr="00C57B98">
        <w:rPr>
          <w:rFonts w:cs="Times New Roman"/>
          <w:szCs w:val="24"/>
        </w:rPr>
        <w:t>jādi jautājums par konkrēto saistību izpildīšanu tiesas ceļā jau ir izlemts, tādēļ tiesai nebija nekāda tiesiska pamata atkārtoti izlemt pieteikumu par to pašu saistību un uz tā paša pamata izpildīšanu. Tā kā šāds gadījums likumā tieši nav regulēts, bet tas ir līdzīgs Civilprocesa likuma 223.</w:t>
      </w:r>
      <w:r w:rsidR="0010344C">
        <w:rPr>
          <w:rFonts w:cs="Times New Roman"/>
          <w:szCs w:val="24"/>
        </w:rPr>
        <w:t> </w:t>
      </w:r>
      <w:r w:rsidRPr="00C57B98">
        <w:rPr>
          <w:rFonts w:cs="Times New Roman"/>
          <w:szCs w:val="24"/>
        </w:rPr>
        <w:t>panta 3.</w:t>
      </w:r>
      <w:r w:rsidR="0010344C">
        <w:rPr>
          <w:rFonts w:cs="Times New Roman"/>
          <w:szCs w:val="24"/>
        </w:rPr>
        <w:t> </w:t>
      </w:r>
      <w:r w:rsidRPr="00C57B98">
        <w:rPr>
          <w:rFonts w:cs="Times New Roman"/>
          <w:szCs w:val="24"/>
        </w:rPr>
        <w:t>punktā noteiktajam attiecībā uz tiesas spriedumiem, Senāta ieskatā, pēc analoģijas ir pamats piemērot šajā tiesību normā paredzētās tiesiskās sekas.</w:t>
      </w:r>
    </w:p>
    <w:p w14:paraId="1D1C1887" w14:textId="2C1407D0" w:rsidR="00EB45C7" w:rsidRPr="00FB3B43" w:rsidRDefault="00EB45C7" w:rsidP="00E329FC">
      <w:pPr>
        <w:pStyle w:val="ListParagraph"/>
        <w:numPr>
          <w:ilvl w:val="0"/>
          <w:numId w:val="25"/>
        </w:numPr>
        <w:spacing w:after="0" w:line="240" w:lineRule="auto"/>
        <w:rPr>
          <w:rFonts w:cs="Times New Roman"/>
          <w:b/>
          <w:bCs/>
          <w:szCs w:val="24"/>
        </w:rPr>
      </w:pPr>
      <w:r w:rsidRPr="00FB3B43">
        <w:rPr>
          <w:rFonts w:cs="Times New Roman"/>
          <w:szCs w:val="24"/>
          <w:u w:val="single"/>
        </w:rPr>
        <w:lastRenderedPageBreak/>
        <w:t>Lieta Nr.</w:t>
      </w:r>
      <w:r w:rsidR="00FB3B43">
        <w:rPr>
          <w:rFonts w:cs="Times New Roman"/>
          <w:szCs w:val="24"/>
          <w:u w:val="single"/>
        </w:rPr>
        <w:t> </w:t>
      </w:r>
      <w:r w:rsidRPr="00FB3B43">
        <w:rPr>
          <w:rFonts w:cs="Times New Roman"/>
          <w:szCs w:val="24"/>
          <w:u w:val="single"/>
        </w:rPr>
        <w:t>SPC-22/2020</w:t>
      </w:r>
    </w:p>
    <w:p w14:paraId="59E5A64B" w14:textId="77777777" w:rsidR="00EB45C7" w:rsidRPr="00C57B98" w:rsidRDefault="00EB45C7" w:rsidP="00FB3B43">
      <w:pPr>
        <w:spacing w:after="0" w:line="240" w:lineRule="auto"/>
        <w:ind w:left="709" w:firstLine="720"/>
        <w:jc w:val="both"/>
        <w:rPr>
          <w:rFonts w:cs="Times New Roman"/>
          <w:szCs w:val="24"/>
        </w:rPr>
      </w:pPr>
      <w:r w:rsidRPr="00C57B98">
        <w:rPr>
          <w:rFonts w:cs="Times New Roman"/>
          <w:szCs w:val="24"/>
        </w:rPr>
        <w:t>Protests iesniegts par Kurzemes rajona tiesas tiesneša pieļautiem būtiskiem procesuāliem tiesību normu pārkāpumiem, izskatot pieteikumu par saistības piespiedu izpildīšanu brīdinājuma kārtībā.</w:t>
      </w:r>
    </w:p>
    <w:p w14:paraId="027C3EA2" w14:textId="7DEE9506" w:rsidR="00EB45C7" w:rsidRDefault="00EB45C7" w:rsidP="00525C57">
      <w:pPr>
        <w:spacing w:after="120" w:line="240" w:lineRule="auto"/>
        <w:ind w:left="709" w:firstLine="720"/>
        <w:jc w:val="both"/>
        <w:rPr>
          <w:rFonts w:cs="Times New Roman"/>
          <w:szCs w:val="24"/>
        </w:rPr>
      </w:pPr>
      <w:r w:rsidRPr="00C57B98">
        <w:rPr>
          <w:rFonts w:cs="Times New Roman"/>
          <w:szCs w:val="24"/>
        </w:rPr>
        <w:t>Apmierinot protestu, Senāts norādīja, ka tiesnesis par parādnieka iebildumiem atzinis tiesai atsūtītu neaizpildītu un neparakstītu (tukšu) atbildes veidlapu, kurai pievienota neparakstīta informatīva vēstule par to, ka parādnieks deklarētajā dzīvesvietā nedzīvo un brīdinājums būtu nosūtāms uz viņa faktisko dzīvesvietu. Šāda lietā esošā atbilde uz brīdinājumu neatbilst Civilprocesa likuma 406.</w:t>
      </w:r>
      <w:r w:rsidRPr="00C57B98">
        <w:rPr>
          <w:rFonts w:cs="Times New Roman"/>
          <w:szCs w:val="24"/>
          <w:vertAlign w:val="superscript"/>
        </w:rPr>
        <w:t>7</w:t>
      </w:r>
      <w:r w:rsidR="003E385D">
        <w:rPr>
          <w:rFonts w:cs="Times New Roman"/>
          <w:szCs w:val="24"/>
          <w:vertAlign w:val="superscript"/>
        </w:rPr>
        <w:t> </w:t>
      </w:r>
      <w:r w:rsidRPr="00C57B98">
        <w:rPr>
          <w:rFonts w:cs="Times New Roman"/>
          <w:szCs w:val="24"/>
        </w:rPr>
        <w:t>panta pirmajā daļā noteiktajām prasībām, un tā nevar tikt traktēta kā parādnieka iebildumi par saistību pamatotību.</w:t>
      </w:r>
    </w:p>
    <w:p w14:paraId="737B7396" w14:textId="4AB2F25B" w:rsidR="00EB45C7" w:rsidRPr="003E385D" w:rsidRDefault="00EB45C7" w:rsidP="00E329FC">
      <w:pPr>
        <w:pStyle w:val="ListParagraph"/>
        <w:numPr>
          <w:ilvl w:val="0"/>
          <w:numId w:val="25"/>
        </w:numPr>
        <w:spacing w:after="0" w:line="240" w:lineRule="auto"/>
        <w:rPr>
          <w:rFonts w:cs="Times New Roman"/>
          <w:b/>
          <w:bCs/>
          <w:szCs w:val="24"/>
        </w:rPr>
      </w:pPr>
      <w:r w:rsidRPr="003E385D">
        <w:rPr>
          <w:rFonts w:cs="Times New Roman"/>
          <w:szCs w:val="24"/>
          <w:u w:val="single"/>
        </w:rPr>
        <w:t>Lieta Nr.</w:t>
      </w:r>
      <w:r w:rsidR="003E385D">
        <w:rPr>
          <w:rFonts w:cs="Times New Roman"/>
          <w:szCs w:val="24"/>
          <w:u w:val="single"/>
        </w:rPr>
        <w:t> </w:t>
      </w:r>
      <w:r w:rsidRPr="003E385D">
        <w:rPr>
          <w:rFonts w:cs="Times New Roman"/>
          <w:szCs w:val="24"/>
          <w:u w:val="single"/>
        </w:rPr>
        <w:t>SPC-28/2020</w:t>
      </w:r>
    </w:p>
    <w:p w14:paraId="620E3E2C" w14:textId="77777777" w:rsidR="00EB45C7" w:rsidRPr="00C57B98" w:rsidRDefault="00EB45C7" w:rsidP="003E385D">
      <w:pPr>
        <w:spacing w:after="0" w:line="240" w:lineRule="auto"/>
        <w:ind w:left="709" w:firstLine="720"/>
        <w:jc w:val="both"/>
        <w:rPr>
          <w:rFonts w:cs="Times New Roman"/>
          <w:szCs w:val="24"/>
        </w:rPr>
      </w:pPr>
      <w:r w:rsidRPr="00C57B98">
        <w:rPr>
          <w:rFonts w:cs="Times New Roman"/>
          <w:szCs w:val="24"/>
        </w:rPr>
        <w:t>Protests iesniegts par Rīgas rajona tiesas tiesneša lēmumā pieļautajiem materiālo un procesuālo tiesību normu pārkāpumiem, noraidot akciju sabiedrības pieteikumu pret sabiedrību ar ierobežotu atbildību par nekustamā īpašuma labprātīgu pārdošanu izsolē tiesas ceļā.</w:t>
      </w:r>
    </w:p>
    <w:p w14:paraId="5774187E" w14:textId="77777777" w:rsidR="00EB45C7" w:rsidRPr="00C57B98" w:rsidRDefault="00EB45C7" w:rsidP="003E385D">
      <w:pPr>
        <w:spacing w:after="0" w:line="240" w:lineRule="auto"/>
        <w:ind w:left="709" w:firstLine="720"/>
        <w:jc w:val="both"/>
        <w:rPr>
          <w:rFonts w:cs="Times New Roman"/>
          <w:szCs w:val="24"/>
        </w:rPr>
      </w:pPr>
      <w:r w:rsidRPr="00C57B98">
        <w:rPr>
          <w:rFonts w:cs="Times New Roman"/>
          <w:szCs w:val="24"/>
        </w:rPr>
        <w:t>Tiesnesis pieteikumu noraidījis, norādot, ka no pieteikumam pievienotajiem rakstveida pierādījumiem neizriet parādnieces nokavējums, pieteikumam pievienotas neapliecinātas zemesgrāmatu nodalījuma izdrukas, nav pierādījumu, ka parādniece pienācīgi brīdināta.</w:t>
      </w:r>
    </w:p>
    <w:p w14:paraId="1BDC72F1" w14:textId="2C752799" w:rsidR="00EB45C7" w:rsidRPr="00C57B98" w:rsidRDefault="00EB45C7" w:rsidP="003E385D">
      <w:pPr>
        <w:spacing w:after="0" w:line="240" w:lineRule="auto"/>
        <w:ind w:left="709" w:firstLine="720"/>
        <w:jc w:val="both"/>
        <w:rPr>
          <w:rFonts w:cs="Times New Roman"/>
          <w:szCs w:val="24"/>
        </w:rPr>
      </w:pPr>
      <w:r w:rsidRPr="00C57B98">
        <w:rPr>
          <w:rFonts w:cs="Times New Roman"/>
          <w:szCs w:val="24"/>
        </w:rPr>
        <w:t>Apmierinot protestu, Senāts norādīja, ka pieteikuma par nekustamā īpašuma labprātīgu pārdošanu izsolē tiesas ceļā izskatīšanā faktiski nedarbojas sacīkstes princips, kura ietvaros parādnieks varētu atspēkot kreditora apgalvojumus par nenokārtotām saistībām, jo atbilstoši Civilprocesa likuma 397.</w:t>
      </w:r>
      <w:r w:rsidR="00D506B3">
        <w:rPr>
          <w:rFonts w:cs="Times New Roman"/>
          <w:szCs w:val="24"/>
        </w:rPr>
        <w:t> </w:t>
      </w:r>
      <w:r w:rsidRPr="00C57B98">
        <w:rPr>
          <w:rFonts w:cs="Times New Roman"/>
          <w:szCs w:val="24"/>
        </w:rPr>
        <w:t xml:space="preserve">panta pirmajai daļai pieteikumu par nekustamā īpašuma labprātīgu pārdošanu izsolē izskata tiesnesis vienpersoniski uz iesniegtā pieteikuma un tam pievienoto dokumentu pamata septiņu dienu laikā no pieteikuma iesniegšanas dienas, nepaziņojot par to pieteicējam un parādniekam. </w:t>
      </w:r>
    </w:p>
    <w:p w14:paraId="733240DE" w14:textId="77777777" w:rsidR="00EB45C7" w:rsidRPr="00C57B98" w:rsidRDefault="00EB45C7" w:rsidP="003E385D">
      <w:pPr>
        <w:spacing w:after="0" w:line="240" w:lineRule="auto"/>
        <w:ind w:left="709" w:firstLine="720"/>
        <w:jc w:val="both"/>
        <w:rPr>
          <w:rFonts w:cs="Times New Roman"/>
          <w:szCs w:val="24"/>
        </w:rPr>
      </w:pPr>
      <w:r w:rsidRPr="00C57B98">
        <w:rPr>
          <w:rFonts w:cs="Times New Roman"/>
          <w:szCs w:val="24"/>
        </w:rPr>
        <w:t>Attiecībā uz zemesgrāmatu nodalījuma izdruku apliecinājumu Senāts norādīja, ka šaubu gadījumā (pastāvot aizdomām par pieteicējas elektroniski no datubāzes saņemtās informācijas apzinātu sagrozīšanu) tiesnesim, ņemot vērā valstī izsludināto ārkārtējo situāciju, nebija nekādu šķēršļu pārliecināties par pieteikumam pievienoto datorizdruku atbilstību faktiskajai situācijai, jo tiesnesim elektroniski ir pieejama informācija no datorizētās zemesgrāmatas attiecīgajiem nodalījumiem tādā pašā apjomā kā lietas materiālos esošajās izdrukās, kurās turklāt fiksēti visi pieteikuma iesniegšanas brīdī spēkā esošie ieraksti un atzīmes.</w:t>
      </w:r>
    </w:p>
    <w:p w14:paraId="248653D8" w14:textId="15D56CC1" w:rsidR="00EB45C7" w:rsidRDefault="00EB45C7" w:rsidP="006E0501">
      <w:pPr>
        <w:spacing w:after="120" w:line="240" w:lineRule="auto"/>
        <w:ind w:left="709" w:firstLine="720"/>
        <w:jc w:val="both"/>
        <w:rPr>
          <w:rFonts w:cs="Times New Roman"/>
          <w:szCs w:val="24"/>
        </w:rPr>
      </w:pPr>
      <w:r w:rsidRPr="00C57B98">
        <w:rPr>
          <w:rFonts w:cs="Times New Roman"/>
          <w:szCs w:val="24"/>
        </w:rPr>
        <w:t>Tāpat Senāts atzina, ka situācijā, kad pieteicēja iesniegusi rakstveida pierādījumus, kas liecina par brīdinājuma nosūtīšanu parādniecei (komersantam) uz komercreģistrā ierakstīto juridisko adresi, tiesnesim neatkarīgi no tā, kura fiziskā persona parādnieces vārdā parakstījās par brīdinājuma saņemšanu, nebija pamata apšaubīt Civilprocesa likuma 396.</w:t>
      </w:r>
      <w:r w:rsidR="00D506B3">
        <w:rPr>
          <w:rFonts w:cs="Times New Roman"/>
          <w:szCs w:val="24"/>
        </w:rPr>
        <w:t> </w:t>
      </w:r>
      <w:r w:rsidRPr="00C57B98">
        <w:rPr>
          <w:rFonts w:cs="Times New Roman"/>
          <w:szCs w:val="24"/>
        </w:rPr>
        <w:t>panta otrās daļas prasību ievērošanu no pieteicējas puses.</w:t>
      </w:r>
    </w:p>
    <w:p w14:paraId="504B4A8D" w14:textId="248C9BDC" w:rsidR="00EB45C7" w:rsidRPr="00D506B3" w:rsidRDefault="00EB45C7" w:rsidP="00E329FC">
      <w:pPr>
        <w:pStyle w:val="ListParagraph"/>
        <w:numPr>
          <w:ilvl w:val="0"/>
          <w:numId w:val="25"/>
        </w:numPr>
        <w:spacing w:after="0" w:line="240" w:lineRule="auto"/>
        <w:rPr>
          <w:rFonts w:cs="Times New Roman"/>
          <w:b/>
          <w:bCs/>
          <w:szCs w:val="24"/>
        </w:rPr>
      </w:pPr>
      <w:r w:rsidRPr="00D506B3">
        <w:rPr>
          <w:rFonts w:cs="Times New Roman"/>
          <w:szCs w:val="24"/>
          <w:u w:val="single"/>
        </w:rPr>
        <w:t>Lieta Nr.</w:t>
      </w:r>
      <w:r w:rsidR="00E777C9">
        <w:rPr>
          <w:rFonts w:cs="Times New Roman"/>
          <w:szCs w:val="24"/>
          <w:u w:val="single"/>
        </w:rPr>
        <w:t> </w:t>
      </w:r>
      <w:r w:rsidRPr="00D506B3">
        <w:rPr>
          <w:rFonts w:cs="Times New Roman"/>
          <w:szCs w:val="24"/>
          <w:u w:val="single"/>
        </w:rPr>
        <w:t>SPC -39/2020</w:t>
      </w:r>
    </w:p>
    <w:p w14:paraId="7377EF31" w14:textId="099059E2" w:rsidR="00EB45C7" w:rsidRPr="00C57B98" w:rsidRDefault="00EB45C7" w:rsidP="00D506B3">
      <w:pPr>
        <w:spacing w:after="0" w:line="240" w:lineRule="auto"/>
        <w:ind w:left="709" w:firstLine="720"/>
        <w:jc w:val="both"/>
        <w:rPr>
          <w:rFonts w:cs="Times New Roman"/>
          <w:color w:val="000000" w:themeColor="text1"/>
          <w:szCs w:val="24"/>
        </w:rPr>
      </w:pPr>
      <w:r w:rsidRPr="00C57B98">
        <w:rPr>
          <w:rFonts w:cs="Times New Roman"/>
          <w:szCs w:val="24"/>
        </w:rPr>
        <w:t xml:space="preserve">Protests iesniegts, jo Vidzemes rajona tiesa, izskatot lēmumu par saistību bezstrīdus piespiedu izpildi, uzskatījusi, ka </w:t>
      </w:r>
      <w:r w:rsidRPr="00C57B98">
        <w:rPr>
          <w:rFonts w:cs="Times New Roman"/>
          <w:color w:val="000000" w:themeColor="text1"/>
          <w:szCs w:val="24"/>
        </w:rPr>
        <w:t>zvērināta notāra izdota apliecība par paziņojuma nodošanu nav vērtējama kā pierādījums par brīdinājuma izsniegšanu parādniekam. Tād</w:t>
      </w:r>
      <w:r w:rsidR="00E777C9">
        <w:rPr>
          <w:rFonts w:cs="Times New Roman"/>
          <w:color w:val="000000" w:themeColor="text1"/>
          <w:szCs w:val="24"/>
        </w:rPr>
        <w:t>ē</w:t>
      </w:r>
      <w:r w:rsidRPr="00C57B98">
        <w:rPr>
          <w:rFonts w:cs="Times New Roman"/>
          <w:color w:val="000000" w:themeColor="text1"/>
          <w:szCs w:val="24"/>
        </w:rPr>
        <w:t>jādi tiesnese nav pareizi piemērojusi Notariāta likuma 138.</w:t>
      </w:r>
      <w:r w:rsidRPr="00C57B98">
        <w:rPr>
          <w:rFonts w:cs="Times New Roman"/>
          <w:color w:val="000000" w:themeColor="text1"/>
          <w:szCs w:val="24"/>
          <w:vertAlign w:val="superscript"/>
        </w:rPr>
        <w:t>1</w:t>
      </w:r>
      <w:r w:rsidRPr="00C57B98">
        <w:rPr>
          <w:rFonts w:cs="Times New Roman"/>
          <w:color w:val="000000" w:themeColor="text1"/>
          <w:szCs w:val="24"/>
        </w:rPr>
        <w:t xml:space="preserve"> un 139.</w:t>
      </w:r>
      <w:r w:rsidR="00E777C9">
        <w:rPr>
          <w:rFonts w:cs="Times New Roman"/>
          <w:color w:val="000000" w:themeColor="text1"/>
          <w:szCs w:val="24"/>
        </w:rPr>
        <w:t> </w:t>
      </w:r>
      <w:r w:rsidRPr="00C57B98">
        <w:rPr>
          <w:rFonts w:cs="Times New Roman"/>
          <w:color w:val="000000" w:themeColor="text1"/>
          <w:szCs w:val="24"/>
        </w:rPr>
        <w:t>pantā ietvertās materiālo tiesību normas, kā arī nepareizi iztulkojusi Civilprocesa likuma 404.</w:t>
      </w:r>
      <w:r w:rsidR="00E777C9">
        <w:rPr>
          <w:rFonts w:cs="Times New Roman"/>
          <w:color w:val="000000" w:themeColor="text1"/>
          <w:szCs w:val="24"/>
        </w:rPr>
        <w:t> </w:t>
      </w:r>
      <w:r w:rsidRPr="00C57B98">
        <w:rPr>
          <w:rFonts w:cs="Times New Roman"/>
          <w:color w:val="000000" w:themeColor="text1"/>
          <w:szCs w:val="24"/>
        </w:rPr>
        <w:t>panta trešās daļas 3.</w:t>
      </w:r>
      <w:r w:rsidR="00E777C9">
        <w:rPr>
          <w:rFonts w:cs="Times New Roman"/>
          <w:color w:val="000000" w:themeColor="text1"/>
          <w:szCs w:val="24"/>
        </w:rPr>
        <w:t> </w:t>
      </w:r>
      <w:r w:rsidRPr="00C57B98">
        <w:rPr>
          <w:rFonts w:cs="Times New Roman"/>
          <w:color w:val="000000" w:themeColor="text1"/>
          <w:szCs w:val="24"/>
        </w:rPr>
        <w:t>punktu, kas novedis pie lietas nepareizas izlemšanas un ķīlas ņēmēja tiesību aizskāruma.</w:t>
      </w:r>
    </w:p>
    <w:p w14:paraId="5B202130" w14:textId="6569F090" w:rsidR="00EB45C7" w:rsidRPr="00C57B98" w:rsidRDefault="00EB45C7" w:rsidP="00D506B3">
      <w:pPr>
        <w:spacing w:after="0" w:line="240" w:lineRule="auto"/>
        <w:ind w:left="709" w:firstLine="720"/>
        <w:jc w:val="both"/>
        <w:rPr>
          <w:rFonts w:cs="Times New Roman"/>
          <w:szCs w:val="24"/>
        </w:rPr>
      </w:pPr>
      <w:r w:rsidRPr="00C57B98">
        <w:rPr>
          <w:rFonts w:cs="Times New Roman"/>
          <w:szCs w:val="24"/>
        </w:rPr>
        <w:t>Senāts lēmumā atzina, ka protestā pareizi norādīts, ka jautājumā par to, kas Civilprocesa likuma 404.</w:t>
      </w:r>
      <w:r w:rsidR="00E777C9">
        <w:rPr>
          <w:rFonts w:cs="Times New Roman"/>
          <w:szCs w:val="24"/>
        </w:rPr>
        <w:t> </w:t>
      </w:r>
      <w:r w:rsidRPr="00C57B98">
        <w:rPr>
          <w:rFonts w:cs="Times New Roman"/>
          <w:szCs w:val="24"/>
        </w:rPr>
        <w:t>panta trešās daļas 3.</w:t>
      </w:r>
      <w:r w:rsidR="00E777C9">
        <w:rPr>
          <w:rFonts w:cs="Times New Roman"/>
          <w:szCs w:val="24"/>
        </w:rPr>
        <w:t> </w:t>
      </w:r>
      <w:r w:rsidRPr="00C57B98">
        <w:rPr>
          <w:rFonts w:cs="Times New Roman"/>
          <w:szCs w:val="24"/>
        </w:rPr>
        <w:t xml:space="preserve">punkta izpratnē ir uzskatāms par </w:t>
      </w:r>
      <w:r w:rsidRPr="00C57B98">
        <w:rPr>
          <w:rFonts w:cs="Times New Roman"/>
          <w:szCs w:val="24"/>
        </w:rPr>
        <w:lastRenderedPageBreak/>
        <w:t>pierādījumu brīdinājuma izsniegšanai parādniekam, kopš 2014.</w:t>
      </w:r>
      <w:r w:rsidR="00E777C9">
        <w:rPr>
          <w:rFonts w:cs="Times New Roman"/>
          <w:szCs w:val="24"/>
        </w:rPr>
        <w:t> </w:t>
      </w:r>
      <w:r w:rsidRPr="00C57B98">
        <w:rPr>
          <w:rFonts w:cs="Times New Roman"/>
          <w:szCs w:val="24"/>
        </w:rPr>
        <w:t>gada 4.</w:t>
      </w:r>
      <w:r w:rsidR="00E777C9">
        <w:rPr>
          <w:rFonts w:cs="Times New Roman"/>
          <w:szCs w:val="24"/>
        </w:rPr>
        <w:t> </w:t>
      </w:r>
      <w:r w:rsidRPr="00C57B98">
        <w:rPr>
          <w:rFonts w:cs="Times New Roman"/>
          <w:szCs w:val="24"/>
        </w:rPr>
        <w:t>jūnija, kad Augstākās tiesas Civillietu departaments paplašinātā sastāvā izskatīja lietu Nr.</w:t>
      </w:r>
      <w:r w:rsidR="00E777C9">
        <w:rPr>
          <w:rFonts w:cs="Times New Roman"/>
          <w:szCs w:val="24"/>
        </w:rPr>
        <w:t> </w:t>
      </w:r>
      <w:r w:rsidRPr="00C57B98">
        <w:rPr>
          <w:rFonts w:cs="Times New Roman"/>
          <w:szCs w:val="24"/>
        </w:rPr>
        <w:t>SPC-14/2014, pastāv stabila judikatūra, atbilstoši kurai zvērināta notāra izdota apliecība ir kvalificējama kā attiecīga paziņojuma nodošanas adresātam faktu apstiprinošs dokuments, taču tiesnesis šo judikatūru nav ņēmis vērā.</w:t>
      </w:r>
    </w:p>
    <w:p w14:paraId="4E8CDDFB" w14:textId="47ED0209" w:rsidR="00EB45C7" w:rsidRDefault="00EB45C7" w:rsidP="006E0501">
      <w:pPr>
        <w:spacing w:after="120" w:line="240" w:lineRule="auto"/>
        <w:ind w:left="709" w:firstLine="720"/>
        <w:jc w:val="both"/>
        <w:rPr>
          <w:rFonts w:cs="Times New Roman"/>
          <w:szCs w:val="24"/>
        </w:rPr>
      </w:pPr>
      <w:r w:rsidRPr="00C57B98">
        <w:rPr>
          <w:rFonts w:cs="Times New Roman"/>
          <w:szCs w:val="24"/>
        </w:rPr>
        <w:t>Tomēr</w:t>
      </w:r>
      <w:r w:rsidR="00E777C9">
        <w:rPr>
          <w:rFonts w:cs="Times New Roman"/>
          <w:szCs w:val="24"/>
        </w:rPr>
        <w:t xml:space="preserve">, </w:t>
      </w:r>
      <w:r w:rsidRPr="00C57B98">
        <w:rPr>
          <w:rFonts w:cs="Times New Roman"/>
          <w:szCs w:val="24"/>
        </w:rPr>
        <w:t>izskatot lietu, Senāts konstatēja, ka ķīlas ņēmējs publikācijā oficiālajā laikrakstā brīdinājis ķīlas devēju par saistību pēc cita ķīlas līguma. Pie šādiem apstākļiem Senāts norādīja, ka nav objektīva pamata uzskatīt, ka</w:t>
      </w:r>
      <w:r w:rsidR="00E777C9">
        <w:rPr>
          <w:rFonts w:cs="Times New Roman"/>
          <w:szCs w:val="24"/>
        </w:rPr>
        <w:t>,</w:t>
      </w:r>
      <w:r w:rsidRPr="00C57B98">
        <w:rPr>
          <w:rFonts w:cs="Times New Roman"/>
          <w:szCs w:val="24"/>
        </w:rPr>
        <w:t xml:space="preserve"> atceļot protestēto lēmumu, lietas iznākums varētu mainīties, tāpēc tiesas lēmums atstāts negrozīts, bet iesniegtais protests noraidīts.</w:t>
      </w:r>
    </w:p>
    <w:p w14:paraId="7A4D3CEF" w14:textId="60364390" w:rsidR="00E22BA4" w:rsidRDefault="00E777C9" w:rsidP="006E0501">
      <w:pPr>
        <w:spacing w:after="120" w:line="240" w:lineRule="auto"/>
        <w:jc w:val="both"/>
        <w:rPr>
          <w:rFonts w:cs="Times New Roman"/>
          <w:b/>
          <w:bCs/>
          <w:szCs w:val="24"/>
        </w:rPr>
      </w:pPr>
      <w:r>
        <w:rPr>
          <w:rFonts w:cs="Times New Roman"/>
          <w:b/>
          <w:bCs/>
          <w:szCs w:val="24"/>
        </w:rPr>
        <w:t xml:space="preserve">[6] </w:t>
      </w:r>
      <w:r w:rsidR="00EB45C7" w:rsidRPr="00E777C9">
        <w:rPr>
          <w:rFonts w:cs="Times New Roman"/>
          <w:b/>
          <w:bCs/>
          <w:szCs w:val="24"/>
        </w:rPr>
        <w:t>2 protesti iesniegti par citiem Civilprocesa likuma normu piemērošanas jautājumiem.</w:t>
      </w:r>
    </w:p>
    <w:p w14:paraId="0B3C5BEC" w14:textId="18B53B02" w:rsidR="00EB45C7" w:rsidRPr="00E22BA4" w:rsidRDefault="00EB45C7" w:rsidP="00E329FC">
      <w:pPr>
        <w:pStyle w:val="ListParagraph"/>
        <w:numPr>
          <w:ilvl w:val="0"/>
          <w:numId w:val="26"/>
        </w:numPr>
        <w:spacing w:after="0" w:line="240" w:lineRule="auto"/>
        <w:jc w:val="both"/>
        <w:rPr>
          <w:rFonts w:cs="Times New Roman"/>
          <w:b/>
          <w:bCs/>
          <w:szCs w:val="24"/>
        </w:rPr>
      </w:pPr>
      <w:r w:rsidRPr="00E22BA4">
        <w:rPr>
          <w:rFonts w:cs="Times New Roman"/>
          <w:szCs w:val="24"/>
          <w:u w:val="single"/>
        </w:rPr>
        <w:t>Lieta Nr.SPC-3/2020</w:t>
      </w:r>
    </w:p>
    <w:p w14:paraId="259F17F8" w14:textId="77777777" w:rsidR="00EB45C7" w:rsidRPr="00C57B98" w:rsidRDefault="00EB45C7" w:rsidP="00E22BA4">
      <w:pPr>
        <w:spacing w:after="0" w:line="240" w:lineRule="auto"/>
        <w:ind w:left="709" w:firstLine="720"/>
        <w:jc w:val="both"/>
        <w:rPr>
          <w:rFonts w:cs="Times New Roman"/>
          <w:szCs w:val="24"/>
        </w:rPr>
      </w:pPr>
      <w:r w:rsidRPr="00C57B98">
        <w:rPr>
          <w:rFonts w:cs="Times New Roman"/>
          <w:szCs w:val="24"/>
        </w:rPr>
        <w:t>Protests iesniegts par Rīgas pilsētas Vidzemes priekšpilsētas tiesas spriedumu paternitātes fakta konstatēšanas lietā, jo tiesa, zinot par trīs I.S. mantinieku apstiprināšanos mantojuma tiesībās, nepieaicināja tos piedalīties lietā kā ieinteresētās personas.</w:t>
      </w:r>
    </w:p>
    <w:p w14:paraId="63675783" w14:textId="60D58496" w:rsidR="00EB45C7" w:rsidRPr="00C57B98" w:rsidRDefault="00EB45C7" w:rsidP="00E22BA4">
      <w:pPr>
        <w:spacing w:after="0" w:line="240" w:lineRule="auto"/>
        <w:ind w:left="709" w:firstLine="720"/>
        <w:jc w:val="both"/>
        <w:rPr>
          <w:rFonts w:cs="Times New Roman"/>
          <w:szCs w:val="24"/>
        </w:rPr>
      </w:pPr>
      <w:r w:rsidRPr="00C57B98">
        <w:rPr>
          <w:rFonts w:cs="Times New Roman"/>
          <w:szCs w:val="24"/>
        </w:rPr>
        <w:t xml:space="preserve">Apmierinot protestu, Senāts lēmumā norādīja, ka neatkarīgi no tā, vai pieteicējs pieteikumā ir norādījis uz nepieciešamību pieaicināt ieinteresētās personas, tiesai </w:t>
      </w:r>
      <w:proofErr w:type="spellStart"/>
      <w:r w:rsidRPr="00C57B98">
        <w:rPr>
          <w:rFonts w:cs="Times New Roman"/>
          <w:i/>
          <w:iCs/>
          <w:szCs w:val="24"/>
        </w:rPr>
        <w:t>ex</w:t>
      </w:r>
      <w:proofErr w:type="spellEnd"/>
      <w:r w:rsidR="00355CFE">
        <w:rPr>
          <w:rFonts w:cs="Times New Roman"/>
          <w:i/>
          <w:iCs/>
          <w:szCs w:val="24"/>
        </w:rPr>
        <w:t> </w:t>
      </w:r>
      <w:proofErr w:type="spellStart"/>
      <w:r w:rsidRPr="00C57B98">
        <w:rPr>
          <w:rFonts w:cs="Times New Roman"/>
          <w:i/>
          <w:iCs/>
          <w:szCs w:val="24"/>
        </w:rPr>
        <w:t>officio</w:t>
      </w:r>
      <w:proofErr w:type="spellEnd"/>
      <w:r w:rsidRPr="00C57B98">
        <w:rPr>
          <w:rFonts w:cs="Times New Roman"/>
          <w:szCs w:val="24"/>
        </w:rPr>
        <w:t xml:space="preserve"> ir jāizvērtē šo personu pieaicināšanas nepieciešamība.</w:t>
      </w:r>
    </w:p>
    <w:p w14:paraId="0D2A965B" w14:textId="7A4C6A92" w:rsidR="00EB45C7" w:rsidRDefault="00EB45C7" w:rsidP="006E0501">
      <w:pPr>
        <w:spacing w:after="120" w:line="240" w:lineRule="auto"/>
        <w:ind w:left="709" w:firstLine="720"/>
        <w:jc w:val="both"/>
        <w:rPr>
          <w:rFonts w:cs="Times New Roman"/>
          <w:szCs w:val="24"/>
        </w:rPr>
      </w:pPr>
      <w:r w:rsidRPr="00C57B98">
        <w:rPr>
          <w:rFonts w:cs="Times New Roman"/>
          <w:szCs w:val="24"/>
        </w:rPr>
        <w:t xml:space="preserve">Neapsverot jautājumu par I.S. mantinieku pieaicināšanu lietā ieinteresētās personas statusā, tiesa pārkāpusi </w:t>
      </w:r>
      <w:r w:rsidR="00E22BA4">
        <w:rPr>
          <w:rFonts w:cs="Times New Roman"/>
          <w:szCs w:val="24"/>
        </w:rPr>
        <w:t xml:space="preserve">Civilprocesa likuma </w:t>
      </w:r>
      <w:r w:rsidRPr="00C57B98">
        <w:rPr>
          <w:rFonts w:cs="Times New Roman"/>
          <w:szCs w:val="24"/>
        </w:rPr>
        <w:t>253.</w:t>
      </w:r>
      <w:r w:rsidR="00E22BA4">
        <w:rPr>
          <w:rFonts w:cs="Times New Roman"/>
          <w:szCs w:val="24"/>
        </w:rPr>
        <w:t> </w:t>
      </w:r>
      <w:r w:rsidRPr="00C57B98">
        <w:rPr>
          <w:rFonts w:cs="Times New Roman"/>
          <w:szCs w:val="24"/>
        </w:rPr>
        <w:t>pant</w:t>
      </w:r>
      <w:r w:rsidR="00E22BA4">
        <w:rPr>
          <w:rFonts w:cs="Times New Roman"/>
          <w:szCs w:val="24"/>
        </w:rPr>
        <w:t>u</w:t>
      </w:r>
      <w:r w:rsidRPr="00C57B98">
        <w:rPr>
          <w:rFonts w:cs="Times New Roman"/>
          <w:szCs w:val="24"/>
        </w:rPr>
        <w:t xml:space="preserve"> un šāda tiesas rīcība ir vērtējama kā būtisks tiesību normu pārkāpums, kas ir pamats sprieduma atcelšanai. </w:t>
      </w:r>
    </w:p>
    <w:p w14:paraId="35D6CA32" w14:textId="6F18CA1C" w:rsidR="00EB45C7" w:rsidRPr="00734F17" w:rsidRDefault="00EB45C7" w:rsidP="00E329FC">
      <w:pPr>
        <w:pStyle w:val="ListParagraph"/>
        <w:numPr>
          <w:ilvl w:val="0"/>
          <w:numId w:val="26"/>
        </w:numPr>
        <w:spacing w:after="0" w:line="240" w:lineRule="auto"/>
        <w:rPr>
          <w:rFonts w:cs="Times New Roman"/>
          <w:b/>
          <w:bCs/>
          <w:szCs w:val="24"/>
        </w:rPr>
      </w:pPr>
      <w:bookmarkStart w:id="57" w:name="_Hlk62562639"/>
      <w:r w:rsidRPr="00734F17">
        <w:rPr>
          <w:rFonts w:cs="Times New Roman"/>
          <w:szCs w:val="24"/>
          <w:u w:val="single"/>
        </w:rPr>
        <w:t>Lieta Nr.</w:t>
      </w:r>
      <w:r w:rsidR="00734F17">
        <w:rPr>
          <w:rFonts w:cs="Times New Roman"/>
          <w:szCs w:val="24"/>
          <w:u w:val="single"/>
        </w:rPr>
        <w:t> </w:t>
      </w:r>
      <w:r w:rsidRPr="00734F17">
        <w:rPr>
          <w:rFonts w:cs="Times New Roman"/>
          <w:szCs w:val="24"/>
          <w:u w:val="single"/>
        </w:rPr>
        <w:t>SPC-9/2020</w:t>
      </w:r>
      <w:r w:rsidRPr="00734F17">
        <w:rPr>
          <w:rFonts w:cs="Times New Roman"/>
          <w:szCs w:val="24"/>
        </w:rPr>
        <w:t xml:space="preserve"> </w:t>
      </w:r>
    </w:p>
    <w:p w14:paraId="0C17AF4B" w14:textId="74B187E9" w:rsidR="00EB45C7" w:rsidRPr="00C57B98" w:rsidRDefault="00EB45C7" w:rsidP="00734F17">
      <w:pPr>
        <w:spacing w:after="0" w:line="240" w:lineRule="auto"/>
        <w:ind w:left="709" w:firstLine="720"/>
        <w:jc w:val="both"/>
        <w:rPr>
          <w:rFonts w:cs="Times New Roman"/>
          <w:szCs w:val="24"/>
        </w:rPr>
      </w:pPr>
      <w:r w:rsidRPr="00C57B98">
        <w:rPr>
          <w:rFonts w:cs="Times New Roman"/>
          <w:szCs w:val="24"/>
        </w:rPr>
        <w:t>Protests iesniegts par Civilprocesa likuma 98.</w:t>
      </w:r>
      <w:r w:rsidR="00734F17">
        <w:rPr>
          <w:rFonts w:cs="Times New Roman"/>
          <w:szCs w:val="24"/>
        </w:rPr>
        <w:t> </w:t>
      </w:r>
      <w:r w:rsidRPr="00C57B98">
        <w:rPr>
          <w:rFonts w:cs="Times New Roman"/>
          <w:szCs w:val="24"/>
        </w:rPr>
        <w:t>panta piemērošanu un tād</w:t>
      </w:r>
      <w:r w:rsidR="00734F17">
        <w:rPr>
          <w:rFonts w:cs="Times New Roman"/>
          <w:szCs w:val="24"/>
        </w:rPr>
        <w:t>ē</w:t>
      </w:r>
      <w:r w:rsidRPr="00C57B98">
        <w:rPr>
          <w:rFonts w:cs="Times New Roman"/>
          <w:szCs w:val="24"/>
        </w:rPr>
        <w:t>jādi pārtraukta ilgstoši realizētā Rīgas pilsētas Latgales priekšpilsētas tiesas pieeja akciju sabiedrības “</w:t>
      </w:r>
      <w:proofErr w:type="spellStart"/>
      <w:r w:rsidRPr="00C57B98">
        <w:rPr>
          <w:rFonts w:cs="Times New Roman"/>
          <w:szCs w:val="24"/>
        </w:rPr>
        <w:t>Gaso</w:t>
      </w:r>
      <w:proofErr w:type="spellEnd"/>
      <w:r w:rsidRPr="00C57B98">
        <w:rPr>
          <w:rFonts w:cs="Times New Roman"/>
          <w:szCs w:val="24"/>
        </w:rPr>
        <w:t>” pieteikumu izskatīšanai par pierādījumu nodrošināšanu pirms prasības celšanas.</w:t>
      </w:r>
    </w:p>
    <w:p w14:paraId="03AC7C88" w14:textId="59B7E91C" w:rsidR="00EB45C7" w:rsidRPr="00C57B98" w:rsidRDefault="00EB45C7" w:rsidP="00734F17">
      <w:pPr>
        <w:spacing w:after="0" w:line="240" w:lineRule="auto"/>
        <w:ind w:left="709" w:firstLine="720"/>
        <w:jc w:val="both"/>
        <w:rPr>
          <w:rFonts w:cs="Times New Roman"/>
          <w:szCs w:val="24"/>
        </w:rPr>
      </w:pPr>
      <w:r w:rsidRPr="00C57B98">
        <w:rPr>
          <w:rFonts w:cs="Times New Roman"/>
          <w:szCs w:val="24"/>
        </w:rPr>
        <w:t>Civilprocesa likuma 98.</w:t>
      </w:r>
      <w:r w:rsidR="00734F17">
        <w:rPr>
          <w:rFonts w:cs="Times New Roman"/>
          <w:szCs w:val="24"/>
        </w:rPr>
        <w:t> </w:t>
      </w:r>
      <w:r w:rsidRPr="00C57B98">
        <w:rPr>
          <w:rFonts w:cs="Times New Roman"/>
          <w:szCs w:val="24"/>
        </w:rPr>
        <w:t xml:space="preserve">panta pirmā daļa paredz, ja personai ir pamats uzskatīt, ka tai nepieciešamo pierādījumu iesniegšana vēlāk var būt neiespējama vai apgrūtināta, tā var lūgt šos pierādījumus nodrošināt. </w:t>
      </w:r>
    </w:p>
    <w:p w14:paraId="0B322E4C" w14:textId="74E921CD" w:rsidR="00EB45C7" w:rsidRPr="00C57B98" w:rsidRDefault="00EB45C7" w:rsidP="00734F17">
      <w:pPr>
        <w:spacing w:after="0" w:line="240" w:lineRule="auto"/>
        <w:ind w:left="709" w:firstLine="720"/>
        <w:jc w:val="both"/>
        <w:rPr>
          <w:rFonts w:cs="Times New Roman"/>
          <w:szCs w:val="24"/>
        </w:rPr>
      </w:pPr>
      <w:r w:rsidRPr="00C57B98">
        <w:rPr>
          <w:rFonts w:cs="Times New Roman"/>
          <w:szCs w:val="24"/>
        </w:rPr>
        <w:t>Apmierinot protestu, Senāts norādīja, ka tiesa bez ievērības atstājusi apstākli, ka gāzes skaitītājs un plomba pie pieteicējas atrodas kopš 2019.</w:t>
      </w:r>
      <w:r w:rsidR="00734F17">
        <w:rPr>
          <w:rFonts w:cs="Times New Roman"/>
          <w:szCs w:val="24"/>
        </w:rPr>
        <w:t> </w:t>
      </w:r>
      <w:r w:rsidRPr="00C57B98">
        <w:rPr>
          <w:rFonts w:cs="Times New Roman"/>
          <w:szCs w:val="24"/>
        </w:rPr>
        <w:t>gada 10.</w:t>
      </w:r>
      <w:r w:rsidR="00F15BCB">
        <w:rPr>
          <w:rFonts w:cs="Times New Roman"/>
          <w:szCs w:val="24"/>
        </w:rPr>
        <w:t> </w:t>
      </w:r>
      <w:r w:rsidRPr="00C57B98">
        <w:rPr>
          <w:rFonts w:cs="Times New Roman"/>
          <w:szCs w:val="24"/>
        </w:rPr>
        <w:t>maija, bet pieteikums tiesā iesniegts 2019.</w:t>
      </w:r>
      <w:r w:rsidR="00F15BCB">
        <w:rPr>
          <w:rFonts w:cs="Times New Roman"/>
          <w:szCs w:val="24"/>
        </w:rPr>
        <w:t> </w:t>
      </w:r>
      <w:r w:rsidRPr="00C57B98">
        <w:rPr>
          <w:rFonts w:cs="Times New Roman"/>
          <w:szCs w:val="24"/>
        </w:rPr>
        <w:t>gada 2.</w:t>
      </w:r>
      <w:r w:rsidR="00F15BCB">
        <w:rPr>
          <w:rFonts w:cs="Times New Roman"/>
          <w:szCs w:val="24"/>
        </w:rPr>
        <w:t> </w:t>
      </w:r>
      <w:r w:rsidRPr="00C57B98">
        <w:rPr>
          <w:rFonts w:cs="Times New Roman"/>
          <w:szCs w:val="24"/>
        </w:rPr>
        <w:t>septembrī, kas nebūt neliecina par pieteicējas steidzamu rīcību pierādījumu nodrošināšanai Civilprocesa likuma 98.</w:t>
      </w:r>
      <w:r w:rsidR="00F15BCB">
        <w:rPr>
          <w:rFonts w:cs="Times New Roman"/>
          <w:szCs w:val="24"/>
        </w:rPr>
        <w:t> </w:t>
      </w:r>
      <w:r w:rsidRPr="00C57B98">
        <w:rPr>
          <w:rFonts w:cs="Times New Roman"/>
          <w:szCs w:val="24"/>
        </w:rPr>
        <w:t>panta kārtībā.</w:t>
      </w:r>
    </w:p>
    <w:p w14:paraId="1F26D8A0" w14:textId="77777777" w:rsidR="00EB45C7" w:rsidRPr="00C57B98" w:rsidRDefault="00EB45C7" w:rsidP="00734F17">
      <w:pPr>
        <w:spacing w:after="0" w:line="240" w:lineRule="auto"/>
        <w:ind w:left="709" w:firstLine="720"/>
        <w:jc w:val="both"/>
        <w:rPr>
          <w:rFonts w:cs="Times New Roman"/>
          <w:szCs w:val="24"/>
        </w:rPr>
      </w:pPr>
      <w:r w:rsidRPr="00C57B98">
        <w:rPr>
          <w:rFonts w:cs="Times New Roman"/>
          <w:szCs w:val="24"/>
        </w:rPr>
        <w:t xml:space="preserve">Lēmumā atzīts, ka konkrētajā gadījumā pierādījumu nodrošināšana neatbilst Civilprocesa likuma jēgai, jo ekspertīzes noteikšana veicama jau ierosinātā civilprocesā, izskatot lietu pēc būtības. Pieteikumā nav norādīti nekādi apstākļi vai kādi šķēršļi šo pierādījumu iegūšanai pēc prasības celšanas tiesā. </w:t>
      </w:r>
    </w:p>
    <w:p w14:paraId="305142C0" w14:textId="2EC29C80" w:rsidR="00EB45C7" w:rsidRPr="00C57B98" w:rsidRDefault="00EB45C7" w:rsidP="00734F17">
      <w:pPr>
        <w:spacing w:after="0" w:line="240" w:lineRule="auto"/>
        <w:ind w:left="709" w:firstLine="720"/>
        <w:jc w:val="both"/>
        <w:rPr>
          <w:rFonts w:cs="Times New Roman"/>
          <w:szCs w:val="24"/>
        </w:rPr>
      </w:pPr>
      <w:r w:rsidRPr="00C57B98">
        <w:rPr>
          <w:rFonts w:cs="Times New Roman"/>
          <w:szCs w:val="24"/>
        </w:rPr>
        <w:t>Apstāklis, uz kuru norādījis pieteicējas pārstāvis tiesas sēdē, ka ekspertu atzinums nepieciešams, lai apsvērtu prasības celšanas lietderīgumu, ir pretrunā Civilprocesa likuma 98.</w:t>
      </w:r>
      <w:r w:rsidR="00F15BCB">
        <w:rPr>
          <w:rFonts w:cs="Times New Roman"/>
          <w:szCs w:val="24"/>
        </w:rPr>
        <w:t> </w:t>
      </w:r>
      <w:r w:rsidRPr="00C57B98">
        <w:rPr>
          <w:rFonts w:cs="Times New Roman"/>
          <w:szCs w:val="24"/>
        </w:rPr>
        <w:t>panta jēgai un būtībai.</w:t>
      </w:r>
    </w:p>
    <w:p w14:paraId="387A844F" w14:textId="7AFAAB0B" w:rsidR="00EB45C7" w:rsidRPr="00C57B98" w:rsidRDefault="00EB45C7" w:rsidP="00734F17">
      <w:pPr>
        <w:spacing w:after="0" w:line="240" w:lineRule="auto"/>
        <w:ind w:left="709" w:firstLine="720"/>
        <w:jc w:val="both"/>
        <w:rPr>
          <w:rFonts w:cs="Times New Roman"/>
          <w:szCs w:val="24"/>
        </w:rPr>
      </w:pPr>
      <w:r w:rsidRPr="00C57B98">
        <w:rPr>
          <w:rFonts w:cs="Times New Roman"/>
          <w:szCs w:val="24"/>
        </w:rPr>
        <w:t>Turklāt lietas izskatīšanas laikā tiesnese pārkāpusi iespējamās atbildētājas tiesības uz taisnīgu tiesu, jo liegusi tās pilnvarotajam pārstāvim piedalīties tiesas sēdē, atzīstot, ka Ķekavas novada bāriņtiesas sagatavotais un apliecinātais pilnvarojums neatbilst Civilprocesa likuma 85.</w:t>
      </w:r>
      <w:r w:rsidR="00F15BCB">
        <w:rPr>
          <w:rFonts w:cs="Times New Roman"/>
          <w:szCs w:val="24"/>
        </w:rPr>
        <w:t> </w:t>
      </w:r>
      <w:r w:rsidRPr="00C57B98">
        <w:rPr>
          <w:rFonts w:cs="Times New Roman"/>
          <w:szCs w:val="24"/>
        </w:rPr>
        <w:t>panta pirmās daļas prasībām.</w:t>
      </w:r>
    </w:p>
    <w:p w14:paraId="651987D0" w14:textId="2E6D8106" w:rsidR="005F2AC9" w:rsidRDefault="00EB45C7" w:rsidP="006E0501">
      <w:pPr>
        <w:spacing w:after="120" w:line="240" w:lineRule="auto"/>
        <w:ind w:left="567" w:firstLine="720"/>
        <w:jc w:val="both"/>
        <w:rPr>
          <w:rFonts w:cs="Times New Roman"/>
          <w:szCs w:val="24"/>
        </w:rPr>
      </w:pPr>
      <w:r w:rsidRPr="00C57B98">
        <w:rPr>
          <w:rFonts w:cs="Times New Roman"/>
          <w:szCs w:val="24"/>
        </w:rPr>
        <w:t>Šai jautājumā Senāts atzina, ka Bāriņtiesu likumā noteiktos gadījumos un kārtībā  noformēta un apliecināta pilnvara par fiziskās personas interešu pārstāvību saskaņā ar Bāriņtiesu likuma 61.</w:t>
      </w:r>
      <w:r w:rsidR="00F15BCB">
        <w:rPr>
          <w:rFonts w:cs="Times New Roman"/>
          <w:szCs w:val="24"/>
        </w:rPr>
        <w:t> </w:t>
      </w:r>
      <w:r w:rsidRPr="00C57B98">
        <w:rPr>
          <w:rFonts w:cs="Times New Roman"/>
          <w:szCs w:val="24"/>
        </w:rPr>
        <w:t xml:space="preserve">panta otro daļu ir pielīdzināma notariālam apliecinājumam un dod tiesības fiziskās personas pārstāvībai tiesā. Nepielaižot pilnvaroto pārstāvi piedalīties tiesas sēdē, tiesa būtiski pārkāpusi personas </w:t>
      </w:r>
      <w:r w:rsidR="00F15BCB">
        <w:rPr>
          <w:rFonts w:cs="Times New Roman"/>
          <w:szCs w:val="24"/>
        </w:rPr>
        <w:t xml:space="preserve">Latvijas Republikas </w:t>
      </w:r>
      <w:r w:rsidRPr="00C57B98">
        <w:rPr>
          <w:rFonts w:cs="Times New Roman"/>
          <w:szCs w:val="24"/>
        </w:rPr>
        <w:t>Satversmes 92.</w:t>
      </w:r>
      <w:r w:rsidR="00F15BCB">
        <w:rPr>
          <w:rFonts w:cs="Times New Roman"/>
          <w:szCs w:val="24"/>
        </w:rPr>
        <w:t> </w:t>
      </w:r>
      <w:r w:rsidRPr="00C57B98">
        <w:rPr>
          <w:rFonts w:cs="Times New Roman"/>
          <w:szCs w:val="24"/>
        </w:rPr>
        <w:t>pantā garantētās tiesības uz taisnīgu tiesu un likumīgo interešu aizstāvību tiesā.</w:t>
      </w:r>
    </w:p>
    <w:p w14:paraId="070A8F3D" w14:textId="338026FE" w:rsidR="005F2AC9" w:rsidRPr="00C205E2" w:rsidRDefault="005F2AC9" w:rsidP="007A395F">
      <w:pPr>
        <w:spacing w:after="0" w:line="240" w:lineRule="auto"/>
        <w:ind w:firstLine="567"/>
        <w:jc w:val="both"/>
        <w:rPr>
          <w:rFonts w:cs="Times New Roman"/>
          <w:szCs w:val="24"/>
        </w:rPr>
      </w:pPr>
      <w:r w:rsidRPr="00C205E2">
        <w:rPr>
          <w:rFonts w:cs="Times New Roman"/>
          <w:szCs w:val="24"/>
        </w:rPr>
        <w:lastRenderedPageBreak/>
        <w:t>Tiesās izskatāmo civillietu nodaļas prokurori 2020. gadā izskatījuši 31 iesniegumu par kaitējuma atlīdzināšanu Kriminālprocesā un administratīvo pārkāpumu lietvedībā nodarītā kaitējuma atlīdzināšanas likuma noteiktajā kārtībā, kas salīdzi</w:t>
      </w:r>
      <w:r w:rsidR="006302BC">
        <w:rPr>
          <w:rFonts w:cs="Times New Roman"/>
          <w:szCs w:val="24"/>
        </w:rPr>
        <w:t>n</w:t>
      </w:r>
      <w:r w:rsidR="00CD7116" w:rsidRPr="00C205E2">
        <w:rPr>
          <w:rFonts w:cs="Times New Roman"/>
          <w:szCs w:val="24"/>
        </w:rPr>
        <w:t>ājumā</w:t>
      </w:r>
      <w:r w:rsidRPr="00C205E2">
        <w:rPr>
          <w:rFonts w:cs="Times New Roman"/>
          <w:szCs w:val="24"/>
        </w:rPr>
        <w:t xml:space="preserve"> ar 2019. gadā izskatītajiem 35 iesniegumiem ir par četriem jeb 11,4 %</w:t>
      </w:r>
      <w:r w:rsidR="007A395F" w:rsidRPr="00C205E2">
        <w:rPr>
          <w:rFonts w:cs="Times New Roman"/>
          <w:szCs w:val="24"/>
        </w:rPr>
        <w:t xml:space="preserve"> mazāk</w:t>
      </w:r>
      <w:r w:rsidRPr="00C205E2">
        <w:rPr>
          <w:rFonts w:cs="Times New Roman"/>
          <w:szCs w:val="24"/>
        </w:rPr>
        <w:t>.</w:t>
      </w:r>
    </w:p>
    <w:p w14:paraId="1578AC64" w14:textId="2FA6DCDC" w:rsidR="005F2AC9" w:rsidRPr="00C205E2" w:rsidRDefault="005F2AC9" w:rsidP="00CD7116">
      <w:pPr>
        <w:spacing w:after="0" w:line="240" w:lineRule="auto"/>
        <w:ind w:firstLine="567"/>
        <w:jc w:val="both"/>
        <w:rPr>
          <w:rFonts w:cs="Times New Roman"/>
          <w:szCs w:val="24"/>
        </w:rPr>
      </w:pPr>
      <w:r w:rsidRPr="00C205E2">
        <w:rPr>
          <w:rFonts w:cs="Times New Roman"/>
          <w:szCs w:val="24"/>
        </w:rPr>
        <w:t>10</w:t>
      </w:r>
      <w:r w:rsidR="007A395F" w:rsidRPr="00C205E2">
        <w:rPr>
          <w:rFonts w:cs="Times New Roman"/>
          <w:szCs w:val="24"/>
        </w:rPr>
        <w:t> </w:t>
      </w:r>
      <w:r w:rsidRPr="00C205E2">
        <w:rPr>
          <w:rFonts w:cs="Times New Roman"/>
          <w:szCs w:val="24"/>
        </w:rPr>
        <w:t>iesniegumi noraidīti, jo to pārbaudes laikā, vērtējot kriminālprocesa izbeigšanas pamatotību, tika atcelti lēmumi par kriminālprocesa izbeigšanu</w:t>
      </w:r>
      <w:r w:rsidR="007A395F" w:rsidRPr="00C205E2">
        <w:rPr>
          <w:rFonts w:cs="Times New Roman"/>
          <w:szCs w:val="24"/>
        </w:rPr>
        <w:t xml:space="preserve">, </w:t>
      </w:r>
      <w:r w:rsidRPr="00C205E2">
        <w:rPr>
          <w:rFonts w:cs="Times New Roman"/>
          <w:szCs w:val="24"/>
        </w:rPr>
        <w:t>4</w:t>
      </w:r>
      <w:r w:rsidR="007A395F" w:rsidRPr="00C205E2">
        <w:rPr>
          <w:rFonts w:cs="Times New Roman"/>
          <w:szCs w:val="24"/>
        </w:rPr>
        <w:t> </w:t>
      </w:r>
      <w:r w:rsidRPr="00C205E2">
        <w:rPr>
          <w:rFonts w:cs="Times New Roman"/>
          <w:szCs w:val="24"/>
        </w:rPr>
        <w:t>iesniegumi</w:t>
      </w:r>
      <w:r w:rsidR="007A395F" w:rsidRPr="00C205E2">
        <w:rPr>
          <w:rFonts w:cs="Times New Roman"/>
          <w:szCs w:val="24"/>
        </w:rPr>
        <w:t xml:space="preserve"> </w:t>
      </w:r>
      <w:r w:rsidRPr="00C205E2">
        <w:rPr>
          <w:rFonts w:cs="Times New Roman"/>
          <w:szCs w:val="24"/>
        </w:rPr>
        <w:t>noraidīti noilguma dēļ</w:t>
      </w:r>
      <w:r w:rsidR="007A395F" w:rsidRPr="00C205E2">
        <w:rPr>
          <w:rFonts w:cs="Times New Roman"/>
          <w:szCs w:val="24"/>
        </w:rPr>
        <w:t xml:space="preserve">, </w:t>
      </w:r>
      <w:r w:rsidRPr="00C205E2">
        <w:rPr>
          <w:rFonts w:cs="Times New Roman"/>
          <w:szCs w:val="24"/>
        </w:rPr>
        <w:t>8</w:t>
      </w:r>
      <w:r w:rsidR="007A395F" w:rsidRPr="00C205E2">
        <w:rPr>
          <w:rFonts w:cs="Times New Roman"/>
          <w:szCs w:val="24"/>
        </w:rPr>
        <w:t> </w:t>
      </w:r>
      <w:r w:rsidRPr="00C205E2">
        <w:rPr>
          <w:rFonts w:cs="Times New Roman"/>
          <w:szCs w:val="24"/>
        </w:rPr>
        <w:t>gadījumos iesniegumi atzīti par pamatotiem vai daļēji pamatotiem, kas salīdzin</w:t>
      </w:r>
      <w:r w:rsidR="00CD7116" w:rsidRPr="00C205E2">
        <w:rPr>
          <w:rFonts w:cs="Times New Roman"/>
          <w:szCs w:val="24"/>
        </w:rPr>
        <w:t>ājumā</w:t>
      </w:r>
      <w:r w:rsidRPr="00C205E2">
        <w:rPr>
          <w:rFonts w:cs="Times New Roman"/>
          <w:szCs w:val="24"/>
        </w:rPr>
        <w:t xml:space="preserve"> ar 2019.</w:t>
      </w:r>
      <w:r w:rsidR="007A395F" w:rsidRPr="00C205E2">
        <w:rPr>
          <w:rFonts w:cs="Times New Roman"/>
          <w:szCs w:val="24"/>
        </w:rPr>
        <w:t> </w:t>
      </w:r>
      <w:r w:rsidRPr="00C205E2">
        <w:rPr>
          <w:rFonts w:cs="Times New Roman"/>
          <w:szCs w:val="24"/>
        </w:rPr>
        <w:t>gadā par pamatotiem atzītajiem 15</w:t>
      </w:r>
      <w:r w:rsidR="007A395F" w:rsidRPr="00C205E2">
        <w:rPr>
          <w:rFonts w:cs="Times New Roman"/>
          <w:szCs w:val="24"/>
        </w:rPr>
        <w:t> </w:t>
      </w:r>
      <w:r w:rsidRPr="00C205E2">
        <w:rPr>
          <w:rFonts w:cs="Times New Roman"/>
          <w:szCs w:val="24"/>
        </w:rPr>
        <w:t>iesniegumiem ir par 7 iesniegumiem jeb 46,7</w:t>
      </w:r>
      <w:r w:rsidR="007A395F" w:rsidRPr="00C205E2">
        <w:rPr>
          <w:rFonts w:cs="Times New Roman"/>
          <w:szCs w:val="24"/>
        </w:rPr>
        <w:t> </w:t>
      </w:r>
      <w:r w:rsidRPr="00C205E2">
        <w:rPr>
          <w:rFonts w:cs="Times New Roman"/>
          <w:szCs w:val="24"/>
        </w:rPr>
        <w:t>%</w:t>
      </w:r>
      <w:r w:rsidR="007A395F" w:rsidRPr="00C205E2">
        <w:rPr>
          <w:rFonts w:cs="Times New Roman"/>
          <w:szCs w:val="24"/>
        </w:rPr>
        <w:t xml:space="preserve"> mazāk</w:t>
      </w:r>
      <w:r w:rsidRPr="00C205E2">
        <w:rPr>
          <w:rFonts w:cs="Times New Roman"/>
          <w:szCs w:val="24"/>
        </w:rPr>
        <w:t>.</w:t>
      </w:r>
    </w:p>
    <w:p w14:paraId="517A32EC" w14:textId="293E20B9" w:rsidR="005F2AC9" w:rsidRPr="00C205E2" w:rsidRDefault="005F2AC9" w:rsidP="00CD7116">
      <w:pPr>
        <w:spacing w:after="0" w:line="240" w:lineRule="auto"/>
        <w:ind w:firstLine="567"/>
        <w:jc w:val="both"/>
        <w:rPr>
          <w:rFonts w:cs="Times New Roman"/>
          <w:szCs w:val="24"/>
        </w:rPr>
      </w:pPr>
      <w:r w:rsidRPr="00C205E2">
        <w:rPr>
          <w:rFonts w:cs="Times New Roman"/>
          <w:szCs w:val="24"/>
        </w:rPr>
        <w:t>Zaudējumu atlīdzība izmaksāta 1721,10</w:t>
      </w:r>
      <w:r w:rsidR="00355CFE">
        <w:rPr>
          <w:rFonts w:cs="Times New Roman"/>
          <w:szCs w:val="24"/>
        </w:rPr>
        <w:t> </w:t>
      </w:r>
      <w:r w:rsidRPr="00C205E2">
        <w:rPr>
          <w:rFonts w:cs="Times New Roman"/>
          <w:szCs w:val="24"/>
        </w:rPr>
        <w:t>EUR apmērā, bet nemantiskā kaitējuma atlīdzība izmaksāta 190</w:t>
      </w:r>
      <w:r w:rsidR="00CD7116" w:rsidRPr="00C205E2">
        <w:rPr>
          <w:rFonts w:cs="Times New Roman"/>
          <w:szCs w:val="24"/>
        </w:rPr>
        <w:t> </w:t>
      </w:r>
      <w:r w:rsidRPr="00C205E2">
        <w:rPr>
          <w:rFonts w:cs="Times New Roman"/>
          <w:szCs w:val="24"/>
        </w:rPr>
        <w:t>EUR apmērā, kopā izmaksājot 1911,10</w:t>
      </w:r>
      <w:r w:rsidR="00CD7116" w:rsidRPr="00C205E2">
        <w:rPr>
          <w:rFonts w:cs="Times New Roman"/>
          <w:szCs w:val="24"/>
        </w:rPr>
        <w:t> </w:t>
      </w:r>
      <w:r w:rsidRPr="00C205E2">
        <w:rPr>
          <w:rFonts w:cs="Times New Roman"/>
          <w:szCs w:val="24"/>
        </w:rPr>
        <w:t>EUR, kas salīdzin</w:t>
      </w:r>
      <w:r w:rsidR="00CD7116" w:rsidRPr="00C205E2">
        <w:rPr>
          <w:rFonts w:cs="Times New Roman"/>
          <w:szCs w:val="24"/>
        </w:rPr>
        <w:t>ājumā</w:t>
      </w:r>
      <w:r w:rsidRPr="00C205E2">
        <w:rPr>
          <w:rFonts w:cs="Times New Roman"/>
          <w:szCs w:val="24"/>
        </w:rPr>
        <w:t xml:space="preserve"> ar 2019.</w:t>
      </w:r>
      <w:r w:rsidR="00CD7116" w:rsidRPr="00C205E2">
        <w:rPr>
          <w:rFonts w:cs="Times New Roman"/>
          <w:szCs w:val="24"/>
        </w:rPr>
        <w:t> </w:t>
      </w:r>
      <w:r w:rsidRPr="00C205E2">
        <w:rPr>
          <w:rFonts w:cs="Times New Roman"/>
          <w:szCs w:val="24"/>
        </w:rPr>
        <w:t>gadā izmaksātajiem 8643,49</w:t>
      </w:r>
      <w:r w:rsidR="00CD7116" w:rsidRPr="00C205E2">
        <w:rPr>
          <w:rFonts w:cs="Times New Roman"/>
          <w:szCs w:val="24"/>
        </w:rPr>
        <w:t> </w:t>
      </w:r>
      <w:r w:rsidRPr="00C205E2">
        <w:rPr>
          <w:rFonts w:cs="Times New Roman"/>
          <w:szCs w:val="24"/>
        </w:rPr>
        <w:t>EUR ir par 6732,39 EUR jeb 77,9</w:t>
      </w:r>
      <w:r w:rsidR="00CD7116" w:rsidRPr="00C205E2">
        <w:rPr>
          <w:rFonts w:cs="Times New Roman"/>
          <w:szCs w:val="24"/>
        </w:rPr>
        <w:t> </w:t>
      </w:r>
      <w:r w:rsidRPr="00C205E2">
        <w:rPr>
          <w:rFonts w:cs="Times New Roman"/>
          <w:szCs w:val="24"/>
        </w:rPr>
        <w:t>%</w:t>
      </w:r>
      <w:r w:rsidR="00CD7116" w:rsidRPr="00C205E2">
        <w:rPr>
          <w:rFonts w:cs="Times New Roman"/>
          <w:szCs w:val="24"/>
        </w:rPr>
        <w:t xml:space="preserve"> mazāk</w:t>
      </w:r>
      <w:r w:rsidRPr="00C205E2">
        <w:rPr>
          <w:rFonts w:cs="Times New Roman"/>
          <w:szCs w:val="24"/>
        </w:rPr>
        <w:t>.</w:t>
      </w:r>
    </w:p>
    <w:p w14:paraId="58006338" w14:textId="13B9DCCE" w:rsidR="005F2AC9" w:rsidRPr="00C205E2" w:rsidRDefault="005F2AC9" w:rsidP="00C60DB2">
      <w:pPr>
        <w:spacing w:after="0" w:line="240" w:lineRule="auto"/>
        <w:ind w:firstLine="567"/>
        <w:jc w:val="both"/>
        <w:rPr>
          <w:rFonts w:cs="Times New Roman"/>
          <w:szCs w:val="24"/>
        </w:rPr>
      </w:pPr>
      <w:r w:rsidRPr="00C205E2">
        <w:rPr>
          <w:rFonts w:cs="Times New Roman"/>
          <w:szCs w:val="24"/>
        </w:rPr>
        <w:t xml:space="preserve">6 gadījumos </w:t>
      </w:r>
      <w:r w:rsidR="00CD7116" w:rsidRPr="00C205E2">
        <w:rPr>
          <w:rFonts w:cs="Times New Roman"/>
          <w:szCs w:val="24"/>
        </w:rPr>
        <w:t xml:space="preserve">Tiesās izskatāmo civillietu </w:t>
      </w:r>
      <w:r w:rsidRPr="00C205E2">
        <w:rPr>
          <w:rFonts w:cs="Times New Roman"/>
          <w:szCs w:val="24"/>
        </w:rPr>
        <w:t>nodaļas prokuroru 2020.</w:t>
      </w:r>
      <w:r w:rsidR="00C60DB2" w:rsidRPr="00C205E2">
        <w:rPr>
          <w:rFonts w:cs="Times New Roman"/>
          <w:szCs w:val="24"/>
        </w:rPr>
        <w:t> </w:t>
      </w:r>
      <w:r w:rsidRPr="00C205E2">
        <w:rPr>
          <w:rFonts w:cs="Times New Roman"/>
          <w:szCs w:val="24"/>
        </w:rPr>
        <w:t xml:space="preserve">gadā pieņemtie lēmumi par kaitējuma atlīdzināšanu pārsūdzēti Administratīvajā tiesā un tā ierosinājusi administratīvās lietas. Tāpat </w:t>
      </w:r>
      <w:r w:rsidR="00C60DB2" w:rsidRPr="00C205E2">
        <w:rPr>
          <w:rFonts w:cs="Times New Roman"/>
          <w:szCs w:val="24"/>
        </w:rPr>
        <w:t>2020. gadā</w:t>
      </w:r>
      <w:r w:rsidRPr="00C205E2">
        <w:rPr>
          <w:rFonts w:cs="Times New Roman"/>
          <w:szCs w:val="24"/>
        </w:rPr>
        <w:t xml:space="preserve"> turpinājās tiesvedības 10 administratīvajās lietās saistībā ar iepriekšējos gados pieņemtajiem lēmumiem. </w:t>
      </w:r>
    </w:p>
    <w:p w14:paraId="21EB533B" w14:textId="684FEAC7" w:rsidR="005F2AC9" w:rsidRPr="00C205E2" w:rsidRDefault="005F2AC9" w:rsidP="00960881">
      <w:pPr>
        <w:spacing w:after="0" w:line="240" w:lineRule="auto"/>
        <w:ind w:firstLine="567"/>
        <w:jc w:val="both"/>
        <w:rPr>
          <w:rFonts w:cs="Times New Roman"/>
          <w:szCs w:val="24"/>
        </w:rPr>
      </w:pPr>
      <w:r w:rsidRPr="00C205E2">
        <w:rPr>
          <w:rFonts w:cs="Times New Roman"/>
          <w:szCs w:val="24"/>
        </w:rPr>
        <w:t>Minētajās administratīvajās lietās prokurori iesnieguši 13</w:t>
      </w:r>
      <w:r w:rsidR="00C60DB2" w:rsidRPr="00C205E2">
        <w:rPr>
          <w:rFonts w:cs="Times New Roman"/>
          <w:szCs w:val="24"/>
        </w:rPr>
        <w:t> </w:t>
      </w:r>
      <w:r w:rsidRPr="00C205E2">
        <w:rPr>
          <w:rFonts w:cs="Times New Roman"/>
          <w:szCs w:val="24"/>
        </w:rPr>
        <w:t>paskaidrojumus un 1</w:t>
      </w:r>
      <w:r w:rsidR="00C60DB2" w:rsidRPr="00C205E2">
        <w:rPr>
          <w:rFonts w:cs="Times New Roman"/>
          <w:szCs w:val="24"/>
        </w:rPr>
        <w:t> </w:t>
      </w:r>
      <w:r w:rsidRPr="00C205E2">
        <w:rPr>
          <w:rFonts w:cs="Times New Roman"/>
          <w:szCs w:val="24"/>
        </w:rPr>
        <w:t>kasācijas sūdzību. Administratīvā tiesa, piedaloties prokuroram</w:t>
      </w:r>
      <w:r w:rsidR="00C60DB2" w:rsidRPr="00C205E2">
        <w:rPr>
          <w:rFonts w:cs="Times New Roman"/>
          <w:szCs w:val="24"/>
        </w:rPr>
        <w:t>,</w:t>
      </w:r>
      <w:r w:rsidRPr="00C205E2">
        <w:rPr>
          <w:rFonts w:cs="Times New Roman"/>
          <w:szCs w:val="24"/>
        </w:rPr>
        <w:t xml:space="preserve"> klātienē vai videorežīmā, kā arī rakstveida procesā </w:t>
      </w:r>
      <w:r w:rsidR="00C60DB2" w:rsidRPr="00C205E2">
        <w:rPr>
          <w:rFonts w:cs="Times New Roman"/>
          <w:szCs w:val="24"/>
        </w:rPr>
        <w:t xml:space="preserve">pirmās </w:t>
      </w:r>
      <w:r w:rsidRPr="00C205E2">
        <w:rPr>
          <w:rFonts w:cs="Times New Roman"/>
          <w:szCs w:val="24"/>
        </w:rPr>
        <w:t>instances ties</w:t>
      </w:r>
      <w:r w:rsidR="00960881" w:rsidRPr="00C205E2">
        <w:rPr>
          <w:rFonts w:cs="Times New Roman"/>
          <w:szCs w:val="24"/>
        </w:rPr>
        <w:t>ā</w:t>
      </w:r>
      <w:r w:rsidRPr="00C205E2">
        <w:rPr>
          <w:rFonts w:cs="Times New Roman"/>
          <w:szCs w:val="24"/>
        </w:rPr>
        <w:t xml:space="preserve"> ir izskatījusi 6</w:t>
      </w:r>
      <w:r w:rsidR="00C60DB2" w:rsidRPr="00C205E2">
        <w:rPr>
          <w:rFonts w:cs="Times New Roman"/>
          <w:szCs w:val="24"/>
        </w:rPr>
        <w:t> </w:t>
      </w:r>
      <w:r w:rsidRPr="00C205E2">
        <w:rPr>
          <w:rFonts w:cs="Times New Roman"/>
          <w:szCs w:val="24"/>
        </w:rPr>
        <w:t>administratīvās lietas, apelācijas instanc</w:t>
      </w:r>
      <w:r w:rsidR="00C60DB2" w:rsidRPr="00C205E2">
        <w:rPr>
          <w:rFonts w:cs="Times New Roman"/>
          <w:szCs w:val="24"/>
        </w:rPr>
        <w:t>es ties</w:t>
      </w:r>
      <w:r w:rsidR="00960881" w:rsidRPr="00C205E2">
        <w:rPr>
          <w:rFonts w:cs="Times New Roman"/>
          <w:szCs w:val="24"/>
        </w:rPr>
        <w:t>ā</w:t>
      </w:r>
      <w:r w:rsidRPr="00C205E2">
        <w:rPr>
          <w:rFonts w:cs="Times New Roman"/>
          <w:szCs w:val="24"/>
        </w:rPr>
        <w:t xml:space="preserve"> 7</w:t>
      </w:r>
      <w:r w:rsidR="00C60DB2" w:rsidRPr="00C205E2">
        <w:rPr>
          <w:rFonts w:cs="Times New Roman"/>
          <w:szCs w:val="24"/>
        </w:rPr>
        <w:t> </w:t>
      </w:r>
      <w:r w:rsidR="00960881" w:rsidRPr="00C205E2">
        <w:rPr>
          <w:rFonts w:cs="Times New Roman"/>
          <w:szCs w:val="24"/>
        </w:rPr>
        <w:t xml:space="preserve">administratīvās </w:t>
      </w:r>
      <w:r w:rsidRPr="00C205E2">
        <w:rPr>
          <w:rFonts w:cs="Times New Roman"/>
          <w:szCs w:val="24"/>
        </w:rPr>
        <w:t>lietas, kasācijas instanc</w:t>
      </w:r>
      <w:r w:rsidR="00960881" w:rsidRPr="00C205E2">
        <w:rPr>
          <w:rFonts w:cs="Times New Roman"/>
          <w:szCs w:val="24"/>
        </w:rPr>
        <w:t>es tiesā</w:t>
      </w:r>
      <w:r w:rsidR="00C60DB2" w:rsidRPr="00C205E2">
        <w:rPr>
          <w:rFonts w:cs="Times New Roman"/>
          <w:szCs w:val="24"/>
        </w:rPr>
        <w:t xml:space="preserve"> – 1 </w:t>
      </w:r>
      <w:r w:rsidR="00960881" w:rsidRPr="00C205E2">
        <w:rPr>
          <w:rFonts w:cs="Times New Roman"/>
          <w:szCs w:val="24"/>
        </w:rPr>
        <w:t xml:space="preserve">administratīvo </w:t>
      </w:r>
      <w:r w:rsidRPr="00C205E2">
        <w:rPr>
          <w:rFonts w:cs="Times New Roman"/>
          <w:szCs w:val="24"/>
        </w:rPr>
        <w:t xml:space="preserve">lietu. </w:t>
      </w:r>
    </w:p>
    <w:p w14:paraId="5BE4C9E3" w14:textId="7B2D3707" w:rsidR="005F2AC9" w:rsidRPr="00C205E2" w:rsidRDefault="005F2AC9" w:rsidP="00207D31">
      <w:pPr>
        <w:spacing w:after="0" w:line="240" w:lineRule="auto"/>
        <w:ind w:firstLine="567"/>
        <w:jc w:val="both"/>
        <w:rPr>
          <w:rFonts w:cs="Times New Roman"/>
          <w:szCs w:val="24"/>
        </w:rPr>
      </w:pPr>
      <w:r w:rsidRPr="00C205E2">
        <w:rPr>
          <w:rFonts w:cs="Times New Roman"/>
          <w:szCs w:val="24"/>
        </w:rPr>
        <w:t xml:space="preserve">Tāpat tiesā turpinājās tiesvedības </w:t>
      </w:r>
      <w:r w:rsidR="00960881" w:rsidRPr="00C205E2">
        <w:rPr>
          <w:rFonts w:cs="Times New Roman"/>
          <w:szCs w:val="24"/>
        </w:rPr>
        <w:t>3 </w:t>
      </w:r>
      <w:r w:rsidRPr="00C205E2">
        <w:rPr>
          <w:rFonts w:cs="Times New Roman"/>
          <w:szCs w:val="24"/>
        </w:rPr>
        <w:t>civillietās, kurās prokuratūra ir atbildētāja saskaņā ar Civillikuma 1635.</w:t>
      </w:r>
      <w:r w:rsidR="00960881" w:rsidRPr="00C205E2">
        <w:rPr>
          <w:rFonts w:cs="Times New Roman"/>
          <w:szCs w:val="24"/>
        </w:rPr>
        <w:t> </w:t>
      </w:r>
      <w:r w:rsidRPr="00C205E2">
        <w:rPr>
          <w:rFonts w:cs="Times New Roman"/>
          <w:szCs w:val="24"/>
        </w:rPr>
        <w:t>pantu. Tajās iesniegtas 2</w:t>
      </w:r>
      <w:r w:rsidR="00960881" w:rsidRPr="00C205E2">
        <w:rPr>
          <w:rFonts w:cs="Times New Roman"/>
          <w:szCs w:val="24"/>
        </w:rPr>
        <w:t> </w:t>
      </w:r>
      <w:r w:rsidRPr="00C205E2">
        <w:rPr>
          <w:rFonts w:cs="Times New Roman"/>
          <w:szCs w:val="24"/>
        </w:rPr>
        <w:t xml:space="preserve">kasācijas sūdzības un </w:t>
      </w:r>
      <w:r w:rsidR="00207D31" w:rsidRPr="00C205E2">
        <w:rPr>
          <w:rFonts w:cs="Times New Roman"/>
          <w:szCs w:val="24"/>
        </w:rPr>
        <w:t>1 </w:t>
      </w:r>
      <w:r w:rsidRPr="00C205E2">
        <w:rPr>
          <w:rFonts w:cs="Times New Roman"/>
          <w:szCs w:val="24"/>
        </w:rPr>
        <w:t>apelācijas sūdzība.</w:t>
      </w:r>
    </w:p>
    <w:p w14:paraId="1940CD21" w14:textId="4A3EABF5" w:rsidR="00D74CE4" w:rsidRPr="00C205E2" w:rsidRDefault="005F2AC9" w:rsidP="00207D31">
      <w:pPr>
        <w:spacing w:after="0" w:line="240" w:lineRule="auto"/>
        <w:ind w:firstLine="567"/>
        <w:jc w:val="both"/>
        <w:rPr>
          <w:rFonts w:cs="Times New Roman"/>
          <w:szCs w:val="24"/>
        </w:rPr>
      </w:pPr>
      <w:r w:rsidRPr="00C205E2">
        <w:rPr>
          <w:rFonts w:cs="Times New Roman"/>
          <w:szCs w:val="24"/>
        </w:rPr>
        <w:t>2020.</w:t>
      </w:r>
      <w:r w:rsidR="00207D31" w:rsidRPr="00C205E2">
        <w:rPr>
          <w:rFonts w:cs="Times New Roman"/>
          <w:szCs w:val="24"/>
        </w:rPr>
        <w:t> </w:t>
      </w:r>
      <w:r w:rsidRPr="00C205E2">
        <w:rPr>
          <w:rFonts w:cs="Times New Roman"/>
          <w:szCs w:val="24"/>
        </w:rPr>
        <w:t>gadā Rīgas apgabaltiesa 4</w:t>
      </w:r>
      <w:r w:rsidR="00207D31" w:rsidRPr="00C205E2">
        <w:rPr>
          <w:rFonts w:cs="Times New Roman"/>
          <w:szCs w:val="24"/>
        </w:rPr>
        <w:t> </w:t>
      </w:r>
      <w:r w:rsidRPr="00C205E2">
        <w:rPr>
          <w:rFonts w:cs="Times New Roman"/>
          <w:szCs w:val="24"/>
        </w:rPr>
        <w:t xml:space="preserve">lietās ir pieaicinājusi prokuroru atzinuma sniegšanai saistībā ar sūdzību izskatīšanu par tiesneša lēmumu zemesgrāmatu lietās.  </w:t>
      </w:r>
    </w:p>
    <w:p w14:paraId="6157B29D" w14:textId="77777777" w:rsidR="00207D31" w:rsidRDefault="00207D31" w:rsidP="00207D31">
      <w:pPr>
        <w:spacing w:after="0" w:line="240" w:lineRule="auto"/>
        <w:ind w:firstLine="567"/>
        <w:jc w:val="both"/>
        <w:rPr>
          <w:rFonts w:cs="Times New Roman"/>
          <w:szCs w:val="24"/>
        </w:rPr>
      </w:pPr>
    </w:p>
    <w:p w14:paraId="2E703F32" w14:textId="1D80237E" w:rsidR="00D74CE4" w:rsidRPr="00C57B98" w:rsidRDefault="00D74CE4" w:rsidP="00D74CE4">
      <w:pPr>
        <w:spacing w:after="0" w:line="240" w:lineRule="auto"/>
        <w:jc w:val="center"/>
        <w:rPr>
          <w:rFonts w:cs="Times New Roman"/>
          <w:szCs w:val="24"/>
        </w:rPr>
      </w:pPr>
      <w:r w:rsidRPr="00EB45C7">
        <w:rPr>
          <w:rFonts w:cs="Times New Roman"/>
          <w:b/>
          <w:sz w:val="28"/>
          <w:szCs w:val="28"/>
        </w:rPr>
        <w:t>II</w:t>
      </w:r>
      <w:r>
        <w:rPr>
          <w:rFonts w:cs="Times New Roman"/>
          <w:b/>
          <w:sz w:val="28"/>
          <w:szCs w:val="28"/>
        </w:rPr>
        <w:t>I</w:t>
      </w:r>
      <w:r w:rsidRPr="00EB45C7">
        <w:rPr>
          <w:rFonts w:cs="Times New Roman"/>
          <w:b/>
          <w:sz w:val="28"/>
          <w:szCs w:val="28"/>
        </w:rPr>
        <w:t>. P</w:t>
      </w:r>
      <w:r>
        <w:rPr>
          <w:rFonts w:cs="Times New Roman"/>
          <w:b/>
          <w:sz w:val="28"/>
          <w:szCs w:val="28"/>
        </w:rPr>
        <w:t>ersonu un valsts tiesību aizsardzības departamenta darba rādītāji 2020. gadā</w:t>
      </w:r>
    </w:p>
    <w:p w14:paraId="6607267B" w14:textId="77777777" w:rsidR="00EB45C7" w:rsidRPr="00C57B98" w:rsidRDefault="00EB45C7" w:rsidP="00C57B98">
      <w:pPr>
        <w:spacing w:after="0" w:line="240" w:lineRule="auto"/>
        <w:ind w:firstLine="709"/>
        <w:jc w:val="both"/>
        <w:rPr>
          <w:rFonts w:cs="Times New Roman"/>
          <w:szCs w:val="24"/>
        </w:rPr>
      </w:pPr>
    </w:p>
    <w:bookmarkEnd w:id="57"/>
    <w:p w14:paraId="3B5C39F7" w14:textId="70C7001B" w:rsidR="00EB45C7" w:rsidRPr="00C57B98" w:rsidRDefault="00EB45C7" w:rsidP="00D74CE4">
      <w:pPr>
        <w:spacing w:after="0" w:line="240" w:lineRule="auto"/>
        <w:ind w:firstLine="567"/>
        <w:jc w:val="both"/>
        <w:rPr>
          <w:rFonts w:cs="Times New Roman"/>
          <w:szCs w:val="24"/>
        </w:rPr>
      </w:pPr>
      <w:r w:rsidRPr="00C57B98">
        <w:rPr>
          <w:rFonts w:cs="Times New Roman"/>
          <w:szCs w:val="24"/>
        </w:rPr>
        <w:t>Personu un valsts tiesību aizsardzības departamenta prokurori 2020.</w:t>
      </w:r>
      <w:r w:rsidR="001F6851">
        <w:rPr>
          <w:rFonts w:cs="Times New Roman"/>
          <w:szCs w:val="24"/>
        </w:rPr>
        <w:t> </w:t>
      </w:r>
      <w:r w:rsidRPr="00C57B98">
        <w:rPr>
          <w:rFonts w:cs="Times New Roman"/>
          <w:szCs w:val="24"/>
        </w:rPr>
        <w:t>gadā katras tiesas apgabala līmeņa prokuratūras darbības teritorijā izlases kārtībā divās rajona līmeņa prokuratūrās veica prokuroru darba kvalitātes pārbaudi sūdzību, informāciju un iesniegumu izskatīšanā, kas saņemti prokuratūras struktūrvienībā no 01.01.2019.-31.12.2019. un atstātas bez izskatīšanas, neveidojot pārbaudes lietas.</w:t>
      </w:r>
    </w:p>
    <w:p w14:paraId="0F6D3058" w14:textId="489B6E2F" w:rsidR="00D74CE4" w:rsidRDefault="00EB45C7" w:rsidP="00826B1C">
      <w:pPr>
        <w:spacing w:after="0" w:line="240" w:lineRule="auto"/>
        <w:ind w:firstLine="567"/>
        <w:jc w:val="both"/>
        <w:rPr>
          <w:rFonts w:cs="Times New Roman"/>
          <w:szCs w:val="24"/>
        </w:rPr>
      </w:pPr>
      <w:r w:rsidRPr="00C57B98">
        <w:rPr>
          <w:rFonts w:cs="Times New Roman"/>
          <w:szCs w:val="24"/>
        </w:rPr>
        <w:t>Prokuratūras 2020.</w:t>
      </w:r>
      <w:r w:rsidR="001F6851">
        <w:rPr>
          <w:rFonts w:cs="Times New Roman"/>
          <w:szCs w:val="24"/>
        </w:rPr>
        <w:t> </w:t>
      </w:r>
      <w:r w:rsidRPr="00C57B98">
        <w:rPr>
          <w:rFonts w:cs="Times New Roman"/>
          <w:szCs w:val="24"/>
        </w:rPr>
        <w:t xml:space="preserve">gada pirmā pusgada darba plānā noteiktā pārbaude savu mērķi ir sasniegusi </w:t>
      </w:r>
      <w:r w:rsidR="00D74CE4">
        <w:rPr>
          <w:rFonts w:cs="Times New Roman"/>
          <w:szCs w:val="24"/>
        </w:rPr>
        <w:t xml:space="preserve">– </w:t>
      </w:r>
      <w:r w:rsidRPr="00C57B98">
        <w:rPr>
          <w:rFonts w:cs="Times New Roman"/>
          <w:szCs w:val="24"/>
        </w:rPr>
        <w:t>par konstatētajiem pārkāpumiem informēti visi prokurori un aicināti savā turpmākajā darbībā rīkoties atbilstoši noteiktajiem vienotas prakses ieteikumiem.</w:t>
      </w:r>
    </w:p>
    <w:p w14:paraId="0DDECE41" w14:textId="77777777" w:rsidR="00826B1C" w:rsidRPr="00C57B98" w:rsidRDefault="00826B1C" w:rsidP="00826B1C">
      <w:pPr>
        <w:spacing w:after="0" w:line="240" w:lineRule="auto"/>
        <w:ind w:firstLine="567"/>
        <w:jc w:val="both"/>
        <w:rPr>
          <w:rFonts w:cs="Times New Roman"/>
          <w:szCs w:val="24"/>
        </w:rPr>
      </w:pPr>
    </w:p>
    <w:p w14:paraId="2FCA9B6B" w14:textId="20719B7B" w:rsidR="005F3FAC" w:rsidRDefault="00EB45C7" w:rsidP="00826B1C">
      <w:pPr>
        <w:spacing w:after="0" w:line="240" w:lineRule="auto"/>
        <w:ind w:firstLine="567"/>
        <w:jc w:val="both"/>
        <w:rPr>
          <w:rFonts w:cs="Times New Roman"/>
          <w:szCs w:val="24"/>
        </w:rPr>
      </w:pPr>
      <w:r w:rsidRPr="00C57B98">
        <w:rPr>
          <w:rFonts w:cs="Times New Roman"/>
          <w:szCs w:val="24"/>
        </w:rPr>
        <w:t xml:space="preserve">Personu un valsts tiesību aizsardzības departamenta prokurori, izskatot </w:t>
      </w:r>
      <w:r w:rsidRPr="00C205E2">
        <w:rPr>
          <w:rFonts w:cs="Times New Roman"/>
          <w:szCs w:val="24"/>
        </w:rPr>
        <w:t>463</w:t>
      </w:r>
      <w:r w:rsidRPr="00D74CE4">
        <w:rPr>
          <w:rFonts w:cs="Times New Roman"/>
          <w:b/>
          <w:bCs/>
          <w:szCs w:val="24"/>
        </w:rPr>
        <w:t xml:space="preserve"> </w:t>
      </w:r>
      <w:r w:rsidRPr="00C57B98">
        <w:rPr>
          <w:rFonts w:cs="Times New Roman"/>
          <w:szCs w:val="24"/>
        </w:rPr>
        <w:t>sūdzības un iesniegumus</w:t>
      </w:r>
      <w:r w:rsidR="009C26B5">
        <w:rPr>
          <w:rFonts w:cs="Times New Roman"/>
          <w:szCs w:val="24"/>
        </w:rPr>
        <w:t>,</w:t>
      </w:r>
      <w:r w:rsidRPr="00C57B98">
        <w:rPr>
          <w:rFonts w:cs="Times New Roman"/>
          <w:szCs w:val="24"/>
        </w:rPr>
        <w:t xml:space="preserve"> ir reaģējuši uz konstatētajiem likumpārkāpumiem:</w:t>
      </w:r>
    </w:p>
    <w:p w14:paraId="69FEDD6C" w14:textId="77777777" w:rsidR="00826B1C" w:rsidRDefault="00826B1C" w:rsidP="00826B1C">
      <w:pPr>
        <w:spacing w:after="0" w:line="240" w:lineRule="auto"/>
        <w:ind w:firstLine="567"/>
        <w:jc w:val="both"/>
        <w:rPr>
          <w:rFonts w:cs="Times New Roman"/>
          <w:szCs w:val="24"/>
        </w:rPr>
      </w:pPr>
    </w:p>
    <w:p w14:paraId="068089A3" w14:textId="724F9968" w:rsidR="00EB45C7" w:rsidRPr="005F3FAC" w:rsidRDefault="005F3FAC" w:rsidP="005F3FAC">
      <w:pPr>
        <w:spacing w:after="0" w:line="240" w:lineRule="auto"/>
        <w:jc w:val="both"/>
        <w:rPr>
          <w:rFonts w:cs="Times New Roman"/>
          <w:b/>
          <w:bCs/>
          <w:szCs w:val="24"/>
        </w:rPr>
      </w:pPr>
      <w:r>
        <w:rPr>
          <w:rFonts w:cs="Times New Roman"/>
          <w:b/>
          <w:bCs/>
          <w:szCs w:val="24"/>
        </w:rPr>
        <w:t xml:space="preserve">[1] </w:t>
      </w:r>
      <w:r w:rsidR="00EB45C7" w:rsidRPr="00C57B98">
        <w:rPr>
          <w:rFonts w:cs="Times New Roman"/>
          <w:szCs w:val="24"/>
        </w:rPr>
        <w:t>Veicot prokurora pārbaudi par personas saukšanu pie administratīvās atbildības pēc LAPK</w:t>
      </w:r>
      <w:r w:rsidR="00735361">
        <w:rPr>
          <w:rFonts w:cs="Times New Roman"/>
          <w:szCs w:val="24"/>
        </w:rPr>
        <w:t xml:space="preserve"> </w:t>
      </w:r>
      <w:r w:rsidR="00EB45C7" w:rsidRPr="00C57B98">
        <w:rPr>
          <w:rFonts w:cs="Times New Roman"/>
          <w:szCs w:val="24"/>
        </w:rPr>
        <w:t>175.</w:t>
      </w:r>
      <w:r w:rsidR="00EB45C7" w:rsidRPr="00C57B98">
        <w:rPr>
          <w:rFonts w:cs="Times New Roman"/>
          <w:szCs w:val="24"/>
          <w:vertAlign w:val="superscript"/>
        </w:rPr>
        <w:t>2</w:t>
      </w:r>
      <w:r>
        <w:rPr>
          <w:rFonts w:cs="Times New Roman"/>
          <w:szCs w:val="24"/>
          <w:vertAlign w:val="superscript"/>
        </w:rPr>
        <w:t> </w:t>
      </w:r>
      <w:r w:rsidR="00735361">
        <w:rPr>
          <w:rFonts w:cs="Times New Roman"/>
          <w:szCs w:val="24"/>
          <w:vertAlign w:val="superscript"/>
        </w:rPr>
        <w:t> </w:t>
      </w:r>
      <w:r w:rsidR="00EB45C7" w:rsidRPr="00C57B98">
        <w:rPr>
          <w:rFonts w:cs="Times New Roman"/>
          <w:szCs w:val="24"/>
        </w:rPr>
        <w:t>panta “Kontroles, uzraudzības vai izmeklēšanas funkcijas realizējošo valsts vai pašvaldības institūciju amatpersonu likumīgo prasību neizpildīšana”</w:t>
      </w:r>
      <w:r w:rsidR="00735361">
        <w:rPr>
          <w:rFonts w:cs="Times New Roman"/>
          <w:szCs w:val="24"/>
        </w:rPr>
        <w:t>,</w:t>
      </w:r>
      <w:r w:rsidR="00EB45C7" w:rsidRPr="00C57B98">
        <w:rPr>
          <w:rFonts w:cs="Times New Roman"/>
          <w:szCs w:val="24"/>
        </w:rPr>
        <w:t xml:space="preserve"> tika konstatēts, ka administratīvā pārkāpuma lietvedība par personas neierašanos Valsts policijas Rīgas reģion</w:t>
      </w:r>
      <w:r w:rsidR="00516B8E">
        <w:rPr>
          <w:rFonts w:cs="Times New Roman"/>
          <w:szCs w:val="24"/>
        </w:rPr>
        <w:t>a</w:t>
      </w:r>
      <w:r w:rsidR="00524204">
        <w:rPr>
          <w:rFonts w:cs="Times New Roman"/>
          <w:szCs w:val="24"/>
        </w:rPr>
        <w:t xml:space="preserve"> </w:t>
      </w:r>
      <w:r w:rsidR="00EB45C7" w:rsidRPr="00C57B98">
        <w:rPr>
          <w:rFonts w:cs="Times New Roman"/>
          <w:szCs w:val="24"/>
        </w:rPr>
        <w:t>pārvaldes Rīgas Teikas iecirknī (turpmāk – Teikas iecirknis) ir uzsākta nelikumīgi un nepamatoti, pārkāpjot LAPK 237.</w:t>
      </w:r>
      <w:r w:rsidR="00735361">
        <w:rPr>
          <w:rFonts w:cs="Times New Roman"/>
          <w:szCs w:val="24"/>
        </w:rPr>
        <w:t> </w:t>
      </w:r>
      <w:r w:rsidR="00EB45C7" w:rsidRPr="00C57B98">
        <w:rPr>
          <w:rFonts w:cs="Times New Roman"/>
          <w:szCs w:val="24"/>
        </w:rPr>
        <w:t>pantā noteiktās tiesību normas, jo personas rīcībā nebija LAPK 175.</w:t>
      </w:r>
      <w:r w:rsidR="00EB45C7" w:rsidRPr="00C57B98">
        <w:rPr>
          <w:rFonts w:cs="Times New Roman"/>
          <w:szCs w:val="24"/>
          <w:vertAlign w:val="superscript"/>
        </w:rPr>
        <w:t>2</w:t>
      </w:r>
      <w:r w:rsidR="00735361">
        <w:rPr>
          <w:rFonts w:cs="Times New Roman"/>
          <w:szCs w:val="24"/>
          <w:vertAlign w:val="superscript"/>
        </w:rPr>
        <w:t> </w:t>
      </w:r>
      <w:r w:rsidR="00EB45C7" w:rsidRPr="00C57B98">
        <w:rPr>
          <w:rFonts w:cs="Times New Roman"/>
          <w:szCs w:val="24"/>
        </w:rPr>
        <w:t>panta sastāva un administratīvā pārkāpuma protokols ir sastādīts</w:t>
      </w:r>
      <w:r w:rsidR="00735361">
        <w:rPr>
          <w:rFonts w:cs="Times New Roman"/>
          <w:szCs w:val="24"/>
        </w:rPr>
        <w:t>,</w:t>
      </w:r>
      <w:r w:rsidR="00EB45C7" w:rsidRPr="00C57B98">
        <w:rPr>
          <w:rFonts w:cs="Times New Roman"/>
          <w:szCs w:val="24"/>
        </w:rPr>
        <w:t xml:space="preserve"> neievērojot LAPK 248.</w:t>
      </w:r>
      <w:r w:rsidR="00EB45C7" w:rsidRPr="00C57B98">
        <w:rPr>
          <w:rFonts w:cs="Times New Roman"/>
          <w:szCs w:val="24"/>
          <w:vertAlign w:val="superscript"/>
        </w:rPr>
        <w:t>1</w:t>
      </w:r>
      <w:r w:rsidR="00735361">
        <w:rPr>
          <w:rFonts w:cs="Times New Roman"/>
          <w:szCs w:val="24"/>
          <w:vertAlign w:val="superscript"/>
        </w:rPr>
        <w:t> </w:t>
      </w:r>
      <w:r w:rsidR="00EB45C7" w:rsidRPr="00C57B98">
        <w:rPr>
          <w:rFonts w:cs="Times New Roman"/>
          <w:szCs w:val="24"/>
        </w:rPr>
        <w:t>pantā noteikto</w:t>
      </w:r>
      <w:r w:rsidR="00735361">
        <w:rPr>
          <w:rFonts w:cs="Times New Roman"/>
          <w:szCs w:val="24"/>
        </w:rPr>
        <w:t>,</w:t>
      </w:r>
      <w:r w:rsidR="00EB45C7" w:rsidRPr="00C57B98">
        <w:rPr>
          <w:rFonts w:cs="Times New Roman"/>
          <w:szCs w:val="24"/>
        </w:rPr>
        <w:t xml:space="preserve"> ka, lai sastādītu administratīvā pārkāpuma protokolu bez tās personas klātbūtnes, kuru sauc pie administratīvās atbildības, ir jāpastāv objektīviem iemesliem.</w:t>
      </w:r>
    </w:p>
    <w:p w14:paraId="0C2CD5CF" w14:textId="506C4608" w:rsidR="00EB45C7" w:rsidRPr="00C57B98" w:rsidRDefault="00EB45C7" w:rsidP="00735361">
      <w:pPr>
        <w:spacing w:after="0" w:line="240" w:lineRule="auto"/>
        <w:ind w:firstLine="567"/>
        <w:jc w:val="both"/>
        <w:rPr>
          <w:rFonts w:cs="Times New Roman"/>
          <w:szCs w:val="24"/>
        </w:rPr>
      </w:pPr>
      <w:r w:rsidRPr="00C57B98">
        <w:rPr>
          <w:rFonts w:cs="Times New Roman"/>
          <w:szCs w:val="24"/>
        </w:rPr>
        <w:t xml:space="preserve">Par konstatētajiem tiesību normu pārkāpumiem tika iesniegts prokurora iesniegums Teikas iecirkņa priekšniekam, kurā uzdots veikt pasākumus, lai turpmāk nepieļautu nepamatotu </w:t>
      </w:r>
      <w:r w:rsidRPr="00C57B98">
        <w:rPr>
          <w:rFonts w:cs="Times New Roman"/>
          <w:szCs w:val="24"/>
        </w:rPr>
        <w:lastRenderedPageBreak/>
        <w:t>administratīvā pārkāpuma lietvedības uzsākšanu pēc LAPK 175.</w:t>
      </w:r>
      <w:r w:rsidRPr="00C57B98">
        <w:rPr>
          <w:rFonts w:cs="Times New Roman"/>
          <w:szCs w:val="24"/>
          <w:vertAlign w:val="superscript"/>
        </w:rPr>
        <w:t>2</w:t>
      </w:r>
      <w:r w:rsidR="00735361">
        <w:rPr>
          <w:rFonts w:cs="Times New Roman"/>
          <w:szCs w:val="24"/>
        </w:rPr>
        <w:t> </w:t>
      </w:r>
      <w:r w:rsidRPr="00C57B98">
        <w:rPr>
          <w:rFonts w:cs="Times New Roman"/>
          <w:szCs w:val="24"/>
        </w:rPr>
        <w:t>panta un ar to saistītu Valsts policijas resursu nelietderīgu izmantošanu, kā arī uzdots informēt Ģenerālprokuratūras Personu un valsts tiesību aizsardzības departamentu par veiktajiem pasākumiem.</w:t>
      </w:r>
    </w:p>
    <w:p w14:paraId="2F132464" w14:textId="77777777" w:rsidR="00EB45C7" w:rsidRPr="00C57B98" w:rsidRDefault="00EB45C7" w:rsidP="00735361">
      <w:pPr>
        <w:spacing w:after="0" w:line="240" w:lineRule="auto"/>
        <w:ind w:firstLine="567"/>
        <w:jc w:val="both"/>
        <w:rPr>
          <w:rFonts w:cs="Times New Roman"/>
          <w:szCs w:val="24"/>
        </w:rPr>
      </w:pPr>
      <w:r w:rsidRPr="00C57B98">
        <w:rPr>
          <w:rFonts w:cs="Times New Roman"/>
          <w:szCs w:val="24"/>
        </w:rPr>
        <w:t>Departamentā tika saņemta Teikas iecirkņa priekšnieka atbilde, ka prokurora iesniegums ir izvērtēts, bet pārkāpumi policijas darbinieku rīcībā nav konstatēti.</w:t>
      </w:r>
    </w:p>
    <w:p w14:paraId="0C67E108" w14:textId="77777777" w:rsidR="00EB45C7" w:rsidRPr="00C57B98" w:rsidRDefault="00EB45C7" w:rsidP="006E0501">
      <w:pPr>
        <w:spacing w:after="0" w:line="240" w:lineRule="auto"/>
        <w:ind w:firstLine="567"/>
        <w:jc w:val="both"/>
        <w:rPr>
          <w:rFonts w:cs="Times New Roman"/>
          <w:szCs w:val="24"/>
        </w:rPr>
      </w:pPr>
      <w:r w:rsidRPr="00C57B98">
        <w:rPr>
          <w:rFonts w:cs="Times New Roman"/>
          <w:szCs w:val="24"/>
        </w:rPr>
        <w:t xml:space="preserve">Par situāciju, kad prokurora iesniegumā tiek norādīts uz policijas darbinieku pieļautajiem pārkāpumiem, bet attiecīgā policijas iecirkņa priekšnieks pēc būtības nereaģē, tika informēts tā laika Valsts policijas priekšnieka pienākumu izpildītājs. </w:t>
      </w:r>
    </w:p>
    <w:p w14:paraId="4AD3B0F9" w14:textId="1DA34ABA" w:rsidR="00EB45C7" w:rsidRPr="00C57B98" w:rsidRDefault="00EB45C7" w:rsidP="004E481A">
      <w:pPr>
        <w:spacing w:after="0" w:line="240" w:lineRule="auto"/>
        <w:ind w:firstLine="567"/>
        <w:jc w:val="both"/>
        <w:rPr>
          <w:rFonts w:cs="Times New Roman"/>
          <w:szCs w:val="24"/>
        </w:rPr>
      </w:pPr>
      <w:r w:rsidRPr="00C57B98">
        <w:rPr>
          <w:rFonts w:cs="Times New Roman"/>
          <w:szCs w:val="24"/>
        </w:rPr>
        <w:t>Valsts policijas priekšnieka pienākumu izpildītājs tika informēts, ka</w:t>
      </w:r>
      <w:r w:rsidR="00D7470B">
        <w:rPr>
          <w:rFonts w:cs="Times New Roman"/>
          <w:szCs w:val="24"/>
        </w:rPr>
        <w:t>,</w:t>
      </w:r>
      <w:r w:rsidRPr="00C57B98">
        <w:rPr>
          <w:rFonts w:cs="Times New Roman"/>
          <w:szCs w:val="24"/>
        </w:rPr>
        <w:t xml:space="preserve"> pārbaudot neilgā laika periodā administratīvā pārkāpuma lietas pēc LAPK 175.</w:t>
      </w:r>
      <w:r w:rsidRPr="00C57B98">
        <w:rPr>
          <w:rFonts w:cs="Times New Roman"/>
          <w:szCs w:val="24"/>
          <w:vertAlign w:val="superscript"/>
        </w:rPr>
        <w:t>2</w:t>
      </w:r>
      <w:r w:rsidR="00D7470B">
        <w:rPr>
          <w:rFonts w:cs="Times New Roman"/>
          <w:szCs w:val="24"/>
          <w:vertAlign w:val="superscript"/>
        </w:rPr>
        <w:t> </w:t>
      </w:r>
      <w:r w:rsidRPr="00C57B98">
        <w:rPr>
          <w:rFonts w:cs="Times New Roman"/>
          <w:szCs w:val="24"/>
        </w:rPr>
        <w:t>panta, kuras uz tiesu ir nosūtījuši Teikas iecirkņa darbinieki, ir konstatēts liels daudzums lietu, kuras tiesā izbeigtas atbilstoši LAPK 239.</w:t>
      </w:r>
      <w:r w:rsidR="00D7470B">
        <w:rPr>
          <w:rFonts w:cs="Times New Roman"/>
          <w:szCs w:val="24"/>
        </w:rPr>
        <w:t> </w:t>
      </w:r>
      <w:r w:rsidRPr="00C57B98">
        <w:rPr>
          <w:rFonts w:cs="Times New Roman"/>
          <w:szCs w:val="24"/>
        </w:rPr>
        <w:t>panta 1.</w:t>
      </w:r>
      <w:r w:rsidR="00D7470B">
        <w:rPr>
          <w:rFonts w:cs="Times New Roman"/>
          <w:szCs w:val="24"/>
        </w:rPr>
        <w:t> </w:t>
      </w:r>
      <w:r w:rsidRPr="00C57B98">
        <w:rPr>
          <w:rFonts w:cs="Times New Roman"/>
          <w:szCs w:val="24"/>
        </w:rPr>
        <w:t>punktā paredzētajai tiesību normai, jo nav bijis notikums vai tajā nav administratīvā pārkāpuma sastāva, motivējot to, tai skaitā arī ar prokurora iesniegumā minētajiem apstākļiem.</w:t>
      </w:r>
      <w:r w:rsidR="004E481A">
        <w:rPr>
          <w:rFonts w:cs="Times New Roman"/>
          <w:szCs w:val="24"/>
        </w:rPr>
        <w:t xml:space="preserve"> Konkrēti, </w:t>
      </w:r>
      <w:r w:rsidRPr="00C57B98">
        <w:rPr>
          <w:rFonts w:cs="Times New Roman"/>
          <w:szCs w:val="24"/>
        </w:rPr>
        <w:t>Rīgas pilsētas Vidzemes priekšpilsētas tiesas 2020.</w:t>
      </w:r>
      <w:r w:rsidR="00D7470B">
        <w:rPr>
          <w:rFonts w:cs="Times New Roman"/>
          <w:szCs w:val="24"/>
        </w:rPr>
        <w:t> </w:t>
      </w:r>
      <w:r w:rsidRPr="00C57B98">
        <w:rPr>
          <w:rFonts w:cs="Times New Roman"/>
          <w:szCs w:val="24"/>
        </w:rPr>
        <w:t>gada 12.</w:t>
      </w:r>
      <w:r w:rsidR="00D7470B">
        <w:rPr>
          <w:rFonts w:cs="Times New Roman"/>
          <w:szCs w:val="24"/>
        </w:rPr>
        <w:t> </w:t>
      </w:r>
      <w:r w:rsidRPr="00C57B98">
        <w:rPr>
          <w:rFonts w:cs="Times New Roman"/>
          <w:szCs w:val="24"/>
        </w:rPr>
        <w:t>februāra spriedums lietā Nr.</w:t>
      </w:r>
      <w:r w:rsidR="00D7470B">
        <w:rPr>
          <w:rFonts w:cs="Times New Roman"/>
          <w:szCs w:val="24"/>
        </w:rPr>
        <w:t> </w:t>
      </w:r>
      <w:r w:rsidRPr="00C57B98">
        <w:rPr>
          <w:rFonts w:cs="Times New Roman"/>
          <w:szCs w:val="24"/>
        </w:rPr>
        <w:t>130010020, 2019.</w:t>
      </w:r>
      <w:r w:rsidR="00D7470B">
        <w:rPr>
          <w:rFonts w:cs="Times New Roman"/>
          <w:szCs w:val="24"/>
        </w:rPr>
        <w:t> </w:t>
      </w:r>
      <w:r w:rsidRPr="00C57B98">
        <w:rPr>
          <w:rFonts w:cs="Times New Roman"/>
          <w:szCs w:val="24"/>
        </w:rPr>
        <w:t>gada 2.</w:t>
      </w:r>
      <w:r w:rsidR="00D7470B">
        <w:rPr>
          <w:rFonts w:cs="Times New Roman"/>
          <w:szCs w:val="24"/>
        </w:rPr>
        <w:t> </w:t>
      </w:r>
      <w:r w:rsidRPr="00C57B98">
        <w:rPr>
          <w:rFonts w:cs="Times New Roman"/>
          <w:szCs w:val="24"/>
        </w:rPr>
        <w:t>decembra spriedums lietā Nr.</w:t>
      </w:r>
      <w:r w:rsidR="00D7470B">
        <w:rPr>
          <w:rFonts w:cs="Times New Roman"/>
          <w:szCs w:val="24"/>
        </w:rPr>
        <w:t> </w:t>
      </w:r>
      <w:r w:rsidRPr="00C57B98">
        <w:rPr>
          <w:rFonts w:cs="Times New Roman"/>
          <w:szCs w:val="24"/>
        </w:rPr>
        <w:t>130069919, 2019.</w:t>
      </w:r>
      <w:r w:rsidR="00D7470B">
        <w:rPr>
          <w:rFonts w:cs="Times New Roman"/>
          <w:szCs w:val="24"/>
        </w:rPr>
        <w:t> </w:t>
      </w:r>
      <w:r w:rsidRPr="00C57B98">
        <w:rPr>
          <w:rFonts w:cs="Times New Roman"/>
          <w:szCs w:val="24"/>
        </w:rPr>
        <w:t>gada 25.</w:t>
      </w:r>
      <w:r w:rsidR="00D7470B">
        <w:rPr>
          <w:rFonts w:cs="Times New Roman"/>
          <w:szCs w:val="24"/>
        </w:rPr>
        <w:t> </w:t>
      </w:r>
      <w:r w:rsidRPr="00C57B98">
        <w:rPr>
          <w:rFonts w:cs="Times New Roman"/>
          <w:szCs w:val="24"/>
        </w:rPr>
        <w:t>novembra spriedums lietā Nr.</w:t>
      </w:r>
      <w:r w:rsidR="00D7470B">
        <w:rPr>
          <w:rFonts w:cs="Times New Roman"/>
          <w:szCs w:val="24"/>
        </w:rPr>
        <w:t> </w:t>
      </w:r>
      <w:r w:rsidRPr="00C57B98">
        <w:rPr>
          <w:rFonts w:cs="Times New Roman"/>
          <w:szCs w:val="24"/>
        </w:rPr>
        <w:t>130068419, 2019.</w:t>
      </w:r>
      <w:r w:rsidR="00D7470B">
        <w:rPr>
          <w:rFonts w:cs="Times New Roman"/>
          <w:szCs w:val="24"/>
        </w:rPr>
        <w:t> </w:t>
      </w:r>
      <w:r w:rsidRPr="00C57B98">
        <w:rPr>
          <w:rFonts w:cs="Times New Roman"/>
          <w:szCs w:val="24"/>
        </w:rPr>
        <w:t>gada 14.</w:t>
      </w:r>
      <w:r w:rsidR="00D7470B">
        <w:rPr>
          <w:rFonts w:cs="Times New Roman"/>
          <w:szCs w:val="24"/>
        </w:rPr>
        <w:t> </w:t>
      </w:r>
      <w:r w:rsidRPr="00C57B98">
        <w:rPr>
          <w:rFonts w:cs="Times New Roman"/>
          <w:szCs w:val="24"/>
        </w:rPr>
        <w:t>novembra spriedums lietā Nr.</w:t>
      </w:r>
      <w:r w:rsidR="00D7470B">
        <w:rPr>
          <w:rFonts w:cs="Times New Roman"/>
          <w:szCs w:val="24"/>
        </w:rPr>
        <w:t> </w:t>
      </w:r>
      <w:r w:rsidRPr="00C57B98">
        <w:rPr>
          <w:rFonts w:cs="Times New Roman"/>
          <w:szCs w:val="24"/>
        </w:rPr>
        <w:t>130066319, 2019.</w:t>
      </w:r>
      <w:r w:rsidR="00D7470B">
        <w:rPr>
          <w:rFonts w:cs="Times New Roman"/>
          <w:szCs w:val="24"/>
        </w:rPr>
        <w:t> </w:t>
      </w:r>
      <w:r w:rsidRPr="00C57B98">
        <w:rPr>
          <w:rFonts w:cs="Times New Roman"/>
          <w:szCs w:val="24"/>
        </w:rPr>
        <w:t>gada 24.</w:t>
      </w:r>
      <w:r w:rsidR="00D7470B">
        <w:rPr>
          <w:rFonts w:cs="Times New Roman"/>
          <w:szCs w:val="24"/>
        </w:rPr>
        <w:t> </w:t>
      </w:r>
      <w:r w:rsidRPr="00C57B98">
        <w:rPr>
          <w:rFonts w:cs="Times New Roman"/>
          <w:szCs w:val="24"/>
        </w:rPr>
        <w:t>oktobra spriedums lietā Nr.</w:t>
      </w:r>
      <w:r w:rsidR="00D7470B">
        <w:rPr>
          <w:rFonts w:cs="Times New Roman"/>
          <w:szCs w:val="24"/>
        </w:rPr>
        <w:t> </w:t>
      </w:r>
      <w:r w:rsidRPr="00C57B98">
        <w:rPr>
          <w:rFonts w:cs="Times New Roman"/>
          <w:szCs w:val="24"/>
        </w:rPr>
        <w:t>130061319, 2019.</w:t>
      </w:r>
      <w:r w:rsidR="004E481A">
        <w:rPr>
          <w:rFonts w:cs="Times New Roman"/>
          <w:szCs w:val="24"/>
        </w:rPr>
        <w:t> </w:t>
      </w:r>
      <w:r w:rsidRPr="00C57B98">
        <w:rPr>
          <w:rFonts w:cs="Times New Roman"/>
          <w:szCs w:val="24"/>
        </w:rPr>
        <w:t>gada 15.</w:t>
      </w:r>
      <w:r w:rsidR="004E481A">
        <w:rPr>
          <w:rFonts w:cs="Times New Roman"/>
          <w:szCs w:val="24"/>
        </w:rPr>
        <w:t> </w:t>
      </w:r>
      <w:r w:rsidRPr="00C57B98">
        <w:rPr>
          <w:rFonts w:cs="Times New Roman"/>
          <w:szCs w:val="24"/>
        </w:rPr>
        <w:t>oktobra spriedums lietā Nr.</w:t>
      </w:r>
      <w:r w:rsidR="004E481A">
        <w:rPr>
          <w:rFonts w:cs="Times New Roman"/>
          <w:szCs w:val="24"/>
        </w:rPr>
        <w:t> </w:t>
      </w:r>
      <w:r w:rsidRPr="00C57B98">
        <w:rPr>
          <w:rFonts w:cs="Times New Roman"/>
          <w:szCs w:val="24"/>
        </w:rPr>
        <w:t>130061419, 2019.</w:t>
      </w:r>
      <w:r w:rsidR="004E481A">
        <w:rPr>
          <w:rFonts w:cs="Times New Roman"/>
          <w:szCs w:val="24"/>
        </w:rPr>
        <w:t> </w:t>
      </w:r>
      <w:r w:rsidRPr="00C57B98">
        <w:rPr>
          <w:rFonts w:cs="Times New Roman"/>
          <w:szCs w:val="24"/>
        </w:rPr>
        <w:t>gada 20.</w:t>
      </w:r>
      <w:r w:rsidR="004E481A">
        <w:rPr>
          <w:rFonts w:cs="Times New Roman"/>
          <w:szCs w:val="24"/>
        </w:rPr>
        <w:t> </w:t>
      </w:r>
      <w:r w:rsidRPr="00C57B98">
        <w:rPr>
          <w:rFonts w:cs="Times New Roman"/>
          <w:szCs w:val="24"/>
        </w:rPr>
        <w:t>septembra spriedums lietā Nr.</w:t>
      </w:r>
      <w:r w:rsidR="004E481A">
        <w:rPr>
          <w:rFonts w:cs="Times New Roman"/>
          <w:szCs w:val="24"/>
        </w:rPr>
        <w:t> </w:t>
      </w:r>
      <w:r w:rsidRPr="00C57B98">
        <w:rPr>
          <w:rFonts w:cs="Times New Roman"/>
          <w:szCs w:val="24"/>
        </w:rPr>
        <w:t>130055019 un 2019.</w:t>
      </w:r>
      <w:r w:rsidR="004E481A">
        <w:rPr>
          <w:rFonts w:cs="Times New Roman"/>
          <w:szCs w:val="24"/>
        </w:rPr>
        <w:t> </w:t>
      </w:r>
      <w:r w:rsidRPr="00C57B98">
        <w:rPr>
          <w:rFonts w:cs="Times New Roman"/>
          <w:szCs w:val="24"/>
        </w:rPr>
        <w:t>gada 2.</w:t>
      </w:r>
      <w:r w:rsidR="004E481A">
        <w:rPr>
          <w:rFonts w:cs="Times New Roman"/>
          <w:szCs w:val="24"/>
        </w:rPr>
        <w:t> </w:t>
      </w:r>
      <w:r w:rsidRPr="00C57B98">
        <w:rPr>
          <w:rFonts w:cs="Times New Roman"/>
          <w:szCs w:val="24"/>
        </w:rPr>
        <w:t>septembra spriedums lietā Nr.</w:t>
      </w:r>
      <w:r w:rsidR="004E481A">
        <w:rPr>
          <w:rFonts w:cs="Times New Roman"/>
          <w:szCs w:val="24"/>
        </w:rPr>
        <w:t> </w:t>
      </w:r>
      <w:r w:rsidRPr="00C57B98">
        <w:rPr>
          <w:rFonts w:cs="Times New Roman"/>
          <w:szCs w:val="24"/>
        </w:rPr>
        <w:t>130051819.</w:t>
      </w:r>
    </w:p>
    <w:p w14:paraId="36392DB4" w14:textId="0F6E3CE7" w:rsidR="00EB45C7" w:rsidRPr="00C57B98" w:rsidRDefault="00EB45C7" w:rsidP="004E481A">
      <w:pPr>
        <w:spacing w:after="0" w:line="240" w:lineRule="auto"/>
        <w:ind w:firstLine="567"/>
        <w:jc w:val="both"/>
        <w:rPr>
          <w:rFonts w:cs="Times New Roman"/>
          <w:szCs w:val="24"/>
        </w:rPr>
      </w:pPr>
      <w:r w:rsidRPr="00C57B98">
        <w:rPr>
          <w:rFonts w:cs="Times New Roman"/>
          <w:szCs w:val="24"/>
        </w:rPr>
        <w:t>Pamatojoties uz likuma “Par policiju” 39.</w:t>
      </w:r>
      <w:r w:rsidR="004E481A">
        <w:rPr>
          <w:rFonts w:cs="Times New Roman"/>
          <w:szCs w:val="24"/>
        </w:rPr>
        <w:t> </w:t>
      </w:r>
      <w:r w:rsidRPr="00C57B98">
        <w:rPr>
          <w:rFonts w:cs="Times New Roman"/>
          <w:szCs w:val="24"/>
        </w:rPr>
        <w:t>pantu</w:t>
      </w:r>
      <w:r w:rsidR="00CB67DB">
        <w:rPr>
          <w:rFonts w:cs="Times New Roman"/>
          <w:szCs w:val="24"/>
        </w:rPr>
        <w:t>,</w:t>
      </w:r>
      <w:r w:rsidRPr="00C57B98">
        <w:rPr>
          <w:rFonts w:cs="Times New Roman"/>
          <w:szCs w:val="24"/>
        </w:rPr>
        <w:t xml:space="preserve"> informācijā Valsts policijas priekšnieka pienākumu izpildītājam tika uzdots veikt pasākumus, lai Teikas iecirkņa priekšnieks izskatītu 2020.</w:t>
      </w:r>
      <w:r w:rsidR="004E481A">
        <w:rPr>
          <w:rFonts w:cs="Times New Roman"/>
          <w:szCs w:val="24"/>
        </w:rPr>
        <w:t> </w:t>
      </w:r>
      <w:r w:rsidRPr="00C57B98">
        <w:rPr>
          <w:rFonts w:cs="Times New Roman"/>
          <w:szCs w:val="24"/>
        </w:rPr>
        <w:t>gada 15.</w:t>
      </w:r>
      <w:r w:rsidR="004E481A">
        <w:rPr>
          <w:rFonts w:cs="Times New Roman"/>
          <w:szCs w:val="24"/>
        </w:rPr>
        <w:t> </w:t>
      </w:r>
      <w:r w:rsidRPr="00C57B98">
        <w:rPr>
          <w:rFonts w:cs="Times New Roman"/>
          <w:szCs w:val="24"/>
        </w:rPr>
        <w:t>janvāra prokurora iesniegumu pēc būtības un veiktu pasākumus, lai turpmāk nepieļautu nepamatotu administratīvā pārkāpuma lietvedības uzsākšanu pēc LAPK 175.</w:t>
      </w:r>
      <w:r w:rsidRPr="00C57B98">
        <w:rPr>
          <w:rFonts w:cs="Times New Roman"/>
          <w:szCs w:val="24"/>
          <w:vertAlign w:val="superscript"/>
        </w:rPr>
        <w:t>2</w:t>
      </w:r>
      <w:r w:rsidRPr="00C57B98">
        <w:rPr>
          <w:rFonts w:cs="Times New Roman"/>
          <w:szCs w:val="24"/>
        </w:rPr>
        <w:t xml:space="preserve"> </w:t>
      </w:r>
      <w:r w:rsidR="004E481A">
        <w:rPr>
          <w:rFonts w:cs="Times New Roman"/>
          <w:szCs w:val="24"/>
        </w:rPr>
        <w:t xml:space="preserve"> </w:t>
      </w:r>
      <w:r w:rsidRPr="00C57B98">
        <w:rPr>
          <w:rFonts w:cs="Times New Roman"/>
          <w:szCs w:val="24"/>
        </w:rPr>
        <w:t>panta un ar to saistītu Valsts policijas un tiesu resursu nelietderīgu izmantošanu, kā arī iespējamu valsts budžeta līdzekļu izlietošanu, kompensējot privātpersonām kaitējumu Kriminālprocesā un administratīvo pārkāpumu lietvedībā nodarītā kaitējuma atlīdzināšanas likuma noteiktajā kārtībā.</w:t>
      </w:r>
    </w:p>
    <w:p w14:paraId="4A9B25C9" w14:textId="54BFAFEA" w:rsidR="00EB45C7" w:rsidRPr="00C57B98" w:rsidRDefault="00EB45C7" w:rsidP="00516B8E">
      <w:pPr>
        <w:spacing w:after="0" w:line="240" w:lineRule="auto"/>
        <w:ind w:firstLine="567"/>
        <w:jc w:val="both"/>
        <w:rPr>
          <w:rFonts w:cs="Times New Roman"/>
          <w:szCs w:val="24"/>
        </w:rPr>
      </w:pPr>
      <w:r w:rsidRPr="00C57B98">
        <w:rPr>
          <w:rFonts w:cs="Times New Roman"/>
          <w:szCs w:val="24"/>
        </w:rPr>
        <w:t xml:space="preserve">Turpinājumā tika saņemta Valsts policijas Rīgas reģiona pārvaldes Disciplinārās uzraudzības nodaļas priekšnieka atbilde, kurā norādīts, ka saistībā ar prokurora iesniegumā minēto, lai noskaidrotu un turpmāk nepieļautu nepamatotu administratīvā pārkāpuma lietvedības uzsākšanu pēc LAPK </w:t>
      </w:r>
      <w:bookmarkStart w:id="58" w:name="_Hlk64240841"/>
      <w:r w:rsidRPr="00C57B98">
        <w:rPr>
          <w:rFonts w:cs="Times New Roman"/>
          <w:szCs w:val="24"/>
        </w:rPr>
        <w:t>175</w:t>
      </w:r>
      <w:r w:rsidR="004E481A">
        <w:rPr>
          <w:rFonts w:cs="Times New Roman"/>
          <w:szCs w:val="24"/>
        </w:rPr>
        <w:t>.</w:t>
      </w:r>
      <w:r w:rsidR="004E481A" w:rsidRPr="004E481A">
        <w:rPr>
          <w:rFonts w:cs="Times New Roman"/>
          <w:szCs w:val="24"/>
          <w:vertAlign w:val="superscript"/>
        </w:rPr>
        <w:t>2</w:t>
      </w:r>
      <w:r w:rsidR="004E481A">
        <w:rPr>
          <w:rFonts w:cs="Times New Roman"/>
          <w:szCs w:val="24"/>
        </w:rPr>
        <w:t> </w:t>
      </w:r>
      <w:r w:rsidRPr="00C57B98">
        <w:rPr>
          <w:rFonts w:cs="Times New Roman"/>
          <w:szCs w:val="24"/>
        </w:rPr>
        <w:t xml:space="preserve">panta </w:t>
      </w:r>
      <w:bookmarkEnd w:id="58"/>
      <w:r w:rsidRPr="00C57B98">
        <w:rPr>
          <w:rFonts w:cs="Times New Roman"/>
          <w:szCs w:val="24"/>
        </w:rPr>
        <w:t>no Teikas iecirkņa amatpersonu puses</w:t>
      </w:r>
      <w:r w:rsidR="00101056">
        <w:rPr>
          <w:rFonts w:cs="Times New Roman"/>
          <w:szCs w:val="24"/>
        </w:rPr>
        <w:t>,</w:t>
      </w:r>
      <w:r w:rsidRPr="00C57B98">
        <w:rPr>
          <w:rFonts w:cs="Times New Roman"/>
          <w:szCs w:val="24"/>
        </w:rPr>
        <w:t xml:space="preserve"> tika veikts monitorings Iekšlietu ministrijas Integrētā informācijas sistēmā par 2019.</w:t>
      </w:r>
      <w:r w:rsidR="00101056">
        <w:rPr>
          <w:rFonts w:cs="Times New Roman"/>
          <w:szCs w:val="24"/>
        </w:rPr>
        <w:t> </w:t>
      </w:r>
      <w:r w:rsidRPr="00C57B98">
        <w:rPr>
          <w:rFonts w:cs="Times New Roman"/>
          <w:szCs w:val="24"/>
        </w:rPr>
        <w:t xml:space="preserve">gadā Teikas iecirknī sastādītajiem protokoliem pēc LAPK </w:t>
      </w:r>
      <w:r w:rsidR="004E481A" w:rsidRPr="00C57B98">
        <w:rPr>
          <w:rFonts w:cs="Times New Roman"/>
          <w:szCs w:val="24"/>
        </w:rPr>
        <w:t>175</w:t>
      </w:r>
      <w:r w:rsidR="004E481A">
        <w:rPr>
          <w:rFonts w:cs="Times New Roman"/>
          <w:szCs w:val="24"/>
        </w:rPr>
        <w:t>.</w:t>
      </w:r>
      <w:r w:rsidR="004E481A" w:rsidRPr="004E481A">
        <w:rPr>
          <w:rFonts w:cs="Times New Roman"/>
          <w:szCs w:val="24"/>
          <w:vertAlign w:val="superscript"/>
        </w:rPr>
        <w:t>2</w:t>
      </w:r>
      <w:r w:rsidR="004E481A">
        <w:rPr>
          <w:rFonts w:cs="Times New Roman"/>
          <w:szCs w:val="24"/>
        </w:rPr>
        <w:t> </w:t>
      </w:r>
      <w:r w:rsidR="004E481A" w:rsidRPr="00C57B98">
        <w:rPr>
          <w:rFonts w:cs="Times New Roman"/>
          <w:szCs w:val="24"/>
        </w:rPr>
        <w:t>panta</w:t>
      </w:r>
      <w:r w:rsidRPr="00C57B98">
        <w:rPr>
          <w:rFonts w:cs="Times New Roman"/>
          <w:szCs w:val="24"/>
        </w:rPr>
        <w:t xml:space="preserve">. Izvēles kārtībā tika apkopota tiesu prakse par LAPK </w:t>
      </w:r>
      <w:r w:rsidR="00101056" w:rsidRPr="00C57B98">
        <w:rPr>
          <w:rFonts w:cs="Times New Roman"/>
          <w:szCs w:val="24"/>
        </w:rPr>
        <w:t>175</w:t>
      </w:r>
      <w:r w:rsidR="00101056">
        <w:rPr>
          <w:rFonts w:cs="Times New Roman"/>
          <w:szCs w:val="24"/>
        </w:rPr>
        <w:t>.</w:t>
      </w:r>
      <w:r w:rsidR="00101056" w:rsidRPr="004E481A">
        <w:rPr>
          <w:rFonts w:cs="Times New Roman"/>
          <w:szCs w:val="24"/>
          <w:vertAlign w:val="superscript"/>
        </w:rPr>
        <w:t>2</w:t>
      </w:r>
      <w:r w:rsidR="00101056">
        <w:rPr>
          <w:rFonts w:cs="Times New Roman"/>
          <w:szCs w:val="24"/>
        </w:rPr>
        <w:t> </w:t>
      </w:r>
      <w:r w:rsidR="00101056" w:rsidRPr="00C57B98">
        <w:rPr>
          <w:rFonts w:cs="Times New Roman"/>
          <w:szCs w:val="24"/>
        </w:rPr>
        <w:t xml:space="preserve">panta </w:t>
      </w:r>
      <w:r w:rsidRPr="00C57B98">
        <w:rPr>
          <w:rFonts w:cs="Times New Roman"/>
          <w:szCs w:val="24"/>
        </w:rPr>
        <w:t>lēmumiem. Tiesu prakses</w:t>
      </w:r>
      <w:r w:rsidRPr="00C57B98">
        <w:rPr>
          <w:rFonts w:cs="Times New Roman"/>
          <w:i/>
          <w:szCs w:val="24"/>
        </w:rPr>
        <w:t xml:space="preserve"> </w:t>
      </w:r>
      <w:r w:rsidRPr="00C57B98">
        <w:rPr>
          <w:rFonts w:cs="Times New Roman"/>
          <w:szCs w:val="24"/>
        </w:rPr>
        <w:t xml:space="preserve">apkopojuma mērķis bija saistīts ar LAPK </w:t>
      </w:r>
      <w:r w:rsidR="00101056" w:rsidRPr="00C57B98">
        <w:rPr>
          <w:rFonts w:cs="Times New Roman"/>
          <w:szCs w:val="24"/>
        </w:rPr>
        <w:t>175</w:t>
      </w:r>
      <w:r w:rsidR="00101056">
        <w:rPr>
          <w:rFonts w:cs="Times New Roman"/>
          <w:szCs w:val="24"/>
        </w:rPr>
        <w:t>.</w:t>
      </w:r>
      <w:r w:rsidR="00101056" w:rsidRPr="004E481A">
        <w:rPr>
          <w:rFonts w:cs="Times New Roman"/>
          <w:szCs w:val="24"/>
          <w:vertAlign w:val="superscript"/>
        </w:rPr>
        <w:t>2</w:t>
      </w:r>
      <w:r w:rsidR="00101056">
        <w:rPr>
          <w:rFonts w:cs="Times New Roman"/>
          <w:szCs w:val="24"/>
        </w:rPr>
        <w:t> </w:t>
      </w:r>
      <w:r w:rsidR="00101056" w:rsidRPr="00C57B98">
        <w:rPr>
          <w:rFonts w:cs="Times New Roman"/>
          <w:szCs w:val="24"/>
        </w:rPr>
        <w:t xml:space="preserve">panta </w:t>
      </w:r>
      <w:r w:rsidRPr="00C57B98">
        <w:rPr>
          <w:rFonts w:cs="Times New Roman"/>
          <w:szCs w:val="24"/>
        </w:rPr>
        <w:t>normas vienotas izpratnes un vienveidīgas</w:t>
      </w:r>
      <w:r w:rsidRPr="00C57B98">
        <w:rPr>
          <w:rFonts w:cs="Times New Roman"/>
          <w:i/>
          <w:szCs w:val="24"/>
        </w:rPr>
        <w:t xml:space="preserve"> </w:t>
      </w:r>
      <w:r w:rsidRPr="00C57B98">
        <w:rPr>
          <w:rFonts w:cs="Times New Roman"/>
          <w:szCs w:val="24"/>
        </w:rPr>
        <w:t>prakses</w:t>
      </w:r>
      <w:r w:rsidRPr="00C57B98">
        <w:rPr>
          <w:rFonts w:cs="Times New Roman"/>
          <w:i/>
          <w:szCs w:val="24"/>
        </w:rPr>
        <w:t xml:space="preserve"> </w:t>
      </w:r>
      <w:r w:rsidRPr="00C57B98">
        <w:rPr>
          <w:rFonts w:cs="Times New Roman"/>
          <w:szCs w:val="24"/>
        </w:rPr>
        <w:t>veicināšan</w:t>
      </w:r>
      <w:r w:rsidR="00101056">
        <w:rPr>
          <w:rFonts w:cs="Times New Roman"/>
          <w:szCs w:val="24"/>
        </w:rPr>
        <w:t xml:space="preserve">u </w:t>
      </w:r>
      <w:r w:rsidRPr="00C57B98">
        <w:rPr>
          <w:rFonts w:cs="Times New Roman"/>
          <w:szCs w:val="24"/>
        </w:rPr>
        <w:t>nolūkā mazināt nepamatotu administratīvā pārkāpuma lietvedības uzsākšanu pēc minētās normas. Vienlaikus</w:t>
      </w:r>
      <w:r w:rsidR="00101056">
        <w:rPr>
          <w:rFonts w:cs="Times New Roman"/>
          <w:szCs w:val="24"/>
        </w:rPr>
        <w:t>,</w:t>
      </w:r>
      <w:r w:rsidRPr="00C57B98">
        <w:rPr>
          <w:rFonts w:cs="Times New Roman"/>
          <w:szCs w:val="24"/>
        </w:rPr>
        <w:t xml:space="preserve"> analizējot </w:t>
      </w:r>
      <w:r w:rsidR="00101056">
        <w:rPr>
          <w:rFonts w:cs="Times New Roman"/>
          <w:szCs w:val="24"/>
        </w:rPr>
        <w:t xml:space="preserve">apkopojumā </w:t>
      </w:r>
      <w:r w:rsidRPr="00C57B98">
        <w:rPr>
          <w:rFonts w:cs="Times New Roman"/>
          <w:szCs w:val="24"/>
        </w:rPr>
        <w:t>iekļaut</w:t>
      </w:r>
      <w:r w:rsidR="00101056">
        <w:rPr>
          <w:rFonts w:cs="Times New Roman"/>
          <w:szCs w:val="24"/>
        </w:rPr>
        <w:t>ā</w:t>
      </w:r>
      <w:r w:rsidRPr="00C57B98">
        <w:rPr>
          <w:rFonts w:cs="Times New Roman"/>
          <w:szCs w:val="24"/>
        </w:rPr>
        <w:t xml:space="preserve">s atziņas par attiecīgās normas piemērošanu, konstatēts, ka atsevišķos gadījumos personai ir pārsteidzīgi sastādīts administratīvā pārkāpuma protokols pēc LAPK </w:t>
      </w:r>
      <w:r w:rsidR="00516B8E" w:rsidRPr="00C57B98">
        <w:rPr>
          <w:rFonts w:cs="Times New Roman"/>
          <w:szCs w:val="24"/>
        </w:rPr>
        <w:t>175</w:t>
      </w:r>
      <w:r w:rsidR="00516B8E">
        <w:rPr>
          <w:rFonts w:cs="Times New Roman"/>
          <w:szCs w:val="24"/>
        </w:rPr>
        <w:t>.</w:t>
      </w:r>
      <w:r w:rsidR="00516B8E" w:rsidRPr="004E481A">
        <w:rPr>
          <w:rFonts w:cs="Times New Roman"/>
          <w:szCs w:val="24"/>
          <w:vertAlign w:val="superscript"/>
        </w:rPr>
        <w:t>2</w:t>
      </w:r>
      <w:r w:rsidR="00516B8E">
        <w:rPr>
          <w:rFonts w:cs="Times New Roman"/>
          <w:szCs w:val="24"/>
        </w:rPr>
        <w:t> </w:t>
      </w:r>
      <w:r w:rsidR="00516B8E" w:rsidRPr="00C57B98">
        <w:rPr>
          <w:rFonts w:cs="Times New Roman"/>
          <w:szCs w:val="24"/>
        </w:rPr>
        <w:t>panta</w:t>
      </w:r>
      <w:r w:rsidRPr="00C57B98">
        <w:rPr>
          <w:rFonts w:cs="Times New Roman"/>
          <w:szCs w:val="24"/>
        </w:rPr>
        <w:t xml:space="preserve">, neizvērtējot objektīvi lietā esošos materiālus un informāciju. </w:t>
      </w:r>
    </w:p>
    <w:p w14:paraId="7CA75509" w14:textId="70263311" w:rsidR="00827A0C" w:rsidRDefault="00EB45C7" w:rsidP="00827A0C">
      <w:pPr>
        <w:spacing w:after="0" w:line="240" w:lineRule="auto"/>
        <w:ind w:firstLine="567"/>
        <w:jc w:val="both"/>
        <w:rPr>
          <w:rFonts w:cs="Times New Roman"/>
          <w:szCs w:val="24"/>
        </w:rPr>
      </w:pPr>
      <w:r w:rsidRPr="00C57B98">
        <w:rPr>
          <w:rFonts w:cs="Times New Roman"/>
          <w:szCs w:val="24"/>
        </w:rPr>
        <w:t>Tostarp, V</w:t>
      </w:r>
      <w:r w:rsidR="00516B8E">
        <w:rPr>
          <w:rFonts w:cs="Times New Roman"/>
          <w:szCs w:val="24"/>
        </w:rPr>
        <w:t>alsts policijas</w:t>
      </w:r>
      <w:r w:rsidRPr="00C57B98">
        <w:rPr>
          <w:rFonts w:cs="Times New Roman"/>
          <w:szCs w:val="24"/>
        </w:rPr>
        <w:t xml:space="preserve"> R</w:t>
      </w:r>
      <w:r w:rsidR="00516B8E">
        <w:rPr>
          <w:rFonts w:cs="Times New Roman"/>
          <w:szCs w:val="24"/>
        </w:rPr>
        <w:t>īgas reģiona pārvaldes</w:t>
      </w:r>
      <w:r w:rsidRPr="00C57B98">
        <w:rPr>
          <w:rFonts w:cs="Times New Roman"/>
          <w:szCs w:val="24"/>
        </w:rPr>
        <w:t xml:space="preserve"> Kārtības policijas pārvalde Teikas iecirkņa vadībai uzdevusi veikt iecirkņa personālsastāva mācības par administratīvā pārkāpuma lietvedības uzsākšanas nepieciešamajiem apstākļiem, norādot uz to, ka</w:t>
      </w:r>
      <w:r w:rsidR="00516B8E">
        <w:rPr>
          <w:rFonts w:cs="Times New Roman"/>
          <w:szCs w:val="24"/>
        </w:rPr>
        <w:t>,</w:t>
      </w:r>
      <w:r w:rsidRPr="00C57B98">
        <w:rPr>
          <w:rFonts w:cs="Times New Roman"/>
          <w:szCs w:val="24"/>
        </w:rPr>
        <w:t xml:space="preserve"> lemjot jautājumu par LAPK 17</w:t>
      </w:r>
      <w:r w:rsidR="00516B8E">
        <w:rPr>
          <w:rFonts w:cs="Times New Roman"/>
          <w:szCs w:val="24"/>
        </w:rPr>
        <w:t>5.</w:t>
      </w:r>
      <w:r w:rsidR="00516B8E" w:rsidRPr="00516B8E">
        <w:rPr>
          <w:rFonts w:cs="Times New Roman"/>
          <w:szCs w:val="24"/>
          <w:vertAlign w:val="superscript"/>
        </w:rPr>
        <w:t>2</w:t>
      </w:r>
      <w:r w:rsidR="00516B8E">
        <w:rPr>
          <w:rFonts w:cs="Times New Roman"/>
          <w:szCs w:val="24"/>
        </w:rPr>
        <w:t> panta</w:t>
      </w:r>
      <w:r w:rsidRPr="00C57B98">
        <w:rPr>
          <w:rFonts w:cs="Times New Roman"/>
          <w:szCs w:val="24"/>
        </w:rPr>
        <w:t xml:space="preserve"> piemērošanu, katrs gadījums vērtējams individuāli, savlaicīgi, vispusīgi, pilnīgi un objektīvi noskaidrojot katras lietas apstākļus, lai tiktu izpildīti minētās tiesību normas nosacījumi. Līdz ar to Teikas iecirkņa vadība pievērsīs pastiprinātu uzmanību šo materiālu kvalitātei.</w:t>
      </w:r>
    </w:p>
    <w:p w14:paraId="04820A51" w14:textId="77777777" w:rsidR="00827A0C" w:rsidRDefault="00827A0C" w:rsidP="00827A0C">
      <w:pPr>
        <w:spacing w:after="0" w:line="240" w:lineRule="auto"/>
        <w:ind w:firstLine="567"/>
        <w:jc w:val="both"/>
        <w:rPr>
          <w:rFonts w:cs="Times New Roman"/>
          <w:szCs w:val="24"/>
        </w:rPr>
      </w:pPr>
    </w:p>
    <w:p w14:paraId="22C13F51" w14:textId="18B3D137" w:rsidR="00EB45C7" w:rsidRPr="00524204" w:rsidRDefault="00524204" w:rsidP="00524204">
      <w:pPr>
        <w:spacing w:after="0" w:line="240" w:lineRule="auto"/>
        <w:jc w:val="both"/>
        <w:rPr>
          <w:rFonts w:cs="Times New Roman"/>
          <w:b/>
          <w:bCs/>
          <w:szCs w:val="24"/>
        </w:rPr>
      </w:pPr>
      <w:r>
        <w:rPr>
          <w:rFonts w:cs="Times New Roman"/>
          <w:b/>
          <w:bCs/>
          <w:szCs w:val="24"/>
        </w:rPr>
        <w:t xml:space="preserve">[2] </w:t>
      </w:r>
      <w:r w:rsidR="00EB45C7" w:rsidRPr="00C57B98">
        <w:rPr>
          <w:rFonts w:cs="Times New Roman"/>
          <w:szCs w:val="24"/>
        </w:rPr>
        <w:t xml:space="preserve">Izvērtējot Saeimas Aizsardzības, iekšlietu un korupcijas novēršanas komisijas un biedrības “Latvijas Profesionālo patentpilnvaroto asociācija” iesniegumus, iesniegts prokurora protests Rīgas apgabaltiesai administratīvo pārkāpumu lietā par </w:t>
      </w:r>
      <w:r>
        <w:rPr>
          <w:rFonts w:cs="Times New Roman"/>
          <w:szCs w:val="24"/>
        </w:rPr>
        <w:t>turpmāk norādīto</w:t>
      </w:r>
      <w:r w:rsidR="00EB45C7" w:rsidRPr="00C57B98">
        <w:rPr>
          <w:rFonts w:cs="Times New Roman"/>
          <w:szCs w:val="24"/>
        </w:rPr>
        <w:t>.</w:t>
      </w:r>
    </w:p>
    <w:p w14:paraId="1C3EC1AD" w14:textId="37E4CE16" w:rsidR="00EB45C7" w:rsidRPr="00C57B98" w:rsidRDefault="00EB45C7" w:rsidP="00A32EE1">
      <w:pPr>
        <w:spacing w:after="0" w:line="240" w:lineRule="auto"/>
        <w:ind w:firstLine="567"/>
        <w:jc w:val="both"/>
        <w:rPr>
          <w:rFonts w:cs="Times New Roman"/>
          <w:szCs w:val="24"/>
        </w:rPr>
      </w:pPr>
      <w:r w:rsidRPr="00C57B98">
        <w:rPr>
          <w:rFonts w:cs="Times New Roman"/>
          <w:szCs w:val="24"/>
        </w:rPr>
        <w:lastRenderedPageBreak/>
        <w:t>Ar Rīgas pilsētas Vidzemes priekšpilsētas tiesas spriedumu administratīvā pārkāpuma lietā Nr.</w:t>
      </w:r>
      <w:r w:rsidR="00710616">
        <w:rPr>
          <w:rFonts w:cs="Times New Roman"/>
          <w:szCs w:val="24"/>
        </w:rPr>
        <w:t> </w:t>
      </w:r>
      <w:r w:rsidRPr="00C57B98">
        <w:rPr>
          <w:rFonts w:cs="Times New Roman"/>
          <w:szCs w:val="24"/>
        </w:rPr>
        <w:t>130054819 persona tika atzīta par vainīgu administratīvā pārkāpum</w:t>
      </w:r>
      <w:r w:rsidR="00710616">
        <w:rPr>
          <w:rFonts w:cs="Times New Roman"/>
          <w:szCs w:val="24"/>
        </w:rPr>
        <w:t>a</w:t>
      </w:r>
      <w:r w:rsidRPr="00C57B98">
        <w:rPr>
          <w:rFonts w:cs="Times New Roman"/>
          <w:szCs w:val="24"/>
        </w:rPr>
        <w:t>, kas paredzēts</w:t>
      </w:r>
      <w:r w:rsidR="00710616">
        <w:rPr>
          <w:rFonts w:cs="Times New Roman"/>
          <w:szCs w:val="24"/>
        </w:rPr>
        <w:t xml:space="preserve"> </w:t>
      </w:r>
      <w:r w:rsidRPr="00C57B98">
        <w:rPr>
          <w:rFonts w:cs="Times New Roman"/>
          <w:szCs w:val="24"/>
        </w:rPr>
        <w:t>LAPK 166.</w:t>
      </w:r>
      <w:r w:rsidRPr="00C57B98">
        <w:rPr>
          <w:rFonts w:cs="Times New Roman"/>
          <w:szCs w:val="24"/>
          <w:vertAlign w:val="superscript"/>
        </w:rPr>
        <w:t>17</w:t>
      </w:r>
      <w:r w:rsidR="00710616">
        <w:rPr>
          <w:rFonts w:cs="Times New Roman"/>
          <w:szCs w:val="24"/>
          <w:vertAlign w:val="superscript"/>
        </w:rPr>
        <w:t> </w:t>
      </w:r>
      <w:r w:rsidRPr="00C57B98">
        <w:rPr>
          <w:rFonts w:cs="Times New Roman"/>
          <w:szCs w:val="24"/>
        </w:rPr>
        <w:t>pantā</w:t>
      </w:r>
      <w:r w:rsidR="00710616">
        <w:rPr>
          <w:rFonts w:cs="Times New Roman"/>
          <w:szCs w:val="24"/>
        </w:rPr>
        <w:t>,</w:t>
      </w:r>
      <w:r w:rsidRPr="00C57B98">
        <w:rPr>
          <w:rFonts w:cs="Times New Roman"/>
          <w:szCs w:val="24"/>
        </w:rPr>
        <w:t xml:space="preserve"> </w:t>
      </w:r>
      <w:r w:rsidR="00710616">
        <w:rPr>
          <w:rFonts w:cs="Times New Roman"/>
          <w:szCs w:val="24"/>
        </w:rPr>
        <w:t xml:space="preserve">izdarīšanā </w:t>
      </w:r>
      <w:r w:rsidRPr="00C57B98">
        <w:rPr>
          <w:rFonts w:cs="Times New Roman"/>
          <w:szCs w:val="24"/>
        </w:rPr>
        <w:t>un sodīta ar naudas sodu 300 EUR, konfiscējot izņemtās preces (16 kleitas, 2 apakškleitas un 1 jost</w:t>
      </w:r>
      <w:r w:rsidR="00710616">
        <w:rPr>
          <w:rFonts w:cs="Times New Roman"/>
          <w:szCs w:val="24"/>
        </w:rPr>
        <w:t>u</w:t>
      </w:r>
      <w:r w:rsidRPr="00C57B98">
        <w:rPr>
          <w:rFonts w:cs="Times New Roman"/>
          <w:szCs w:val="24"/>
        </w:rPr>
        <w:t>).</w:t>
      </w:r>
      <w:r w:rsidR="00A32EE1">
        <w:rPr>
          <w:rFonts w:cs="Times New Roman"/>
          <w:szCs w:val="24"/>
        </w:rPr>
        <w:t xml:space="preserve"> </w:t>
      </w:r>
      <w:r w:rsidRPr="00C57B98">
        <w:rPr>
          <w:rFonts w:cs="Times New Roman"/>
          <w:szCs w:val="24"/>
        </w:rPr>
        <w:t xml:space="preserve">Tiesa personai administratīvo sodu piemēroja par to, ka persona </w:t>
      </w:r>
      <w:r w:rsidR="00A32EE1">
        <w:rPr>
          <w:rFonts w:cs="Times New Roman"/>
          <w:szCs w:val="24"/>
        </w:rPr>
        <w:t xml:space="preserve">minētās preces </w:t>
      </w:r>
      <w:r w:rsidRPr="00C57B98">
        <w:rPr>
          <w:rFonts w:cs="Times New Roman"/>
          <w:szCs w:val="24"/>
        </w:rPr>
        <w:t>bija likumīgi nopirkusi</w:t>
      </w:r>
      <w:r w:rsidR="00A32EE1" w:rsidRPr="00C57B98">
        <w:rPr>
          <w:rFonts w:cs="Times New Roman"/>
          <w:szCs w:val="24"/>
        </w:rPr>
        <w:t xml:space="preserve"> </w:t>
      </w:r>
      <w:r w:rsidRPr="00C57B98">
        <w:rPr>
          <w:rFonts w:cs="Times New Roman"/>
          <w:szCs w:val="24"/>
        </w:rPr>
        <w:t>no preču zīmes īpašnieka “</w:t>
      </w:r>
      <w:proofErr w:type="spellStart"/>
      <w:r w:rsidRPr="00C57B98">
        <w:rPr>
          <w:rFonts w:cs="Times New Roman"/>
          <w:szCs w:val="24"/>
        </w:rPr>
        <w:t>Coo</w:t>
      </w:r>
      <w:proofErr w:type="spellEnd"/>
      <w:r w:rsidRPr="00C57B98">
        <w:rPr>
          <w:rFonts w:cs="Times New Roman"/>
          <w:szCs w:val="24"/>
        </w:rPr>
        <w:t xml:space="preserve"> </w:t>
      </w:r>
      <w:proofErr w:type="spellStart"/>
      <w:r w:rsidRPr="00C57B98">
        <w:rPr>
          <w:rFonts w:cs="Times New Roman"/>
          <w:szCs w:val="24"/>
        </w:rPr>
        <w:t>Culte</w:t>
      </w:r>
      <w:proofErr w:type="spellEnd"/>
      <w:r w:rsidRPr="00C57B98">
        <w:rPr>
          <w:rFonts w:cs="Times New Roman"/>
          <w:szCs w:val="24"/>
        </w:rPr>
        <w:t>” un tās iznomāja.</w:t>
      </w:r>
    </w:p>
    <w:p w14:paraId="2E98BCBA" w14:textId="77777777" w:rsidR="00EB45C7" w:rsidRPr="00C57B98" w:rsidRDefault="00EB45C7" w:rsidP="00CB67DB">
      <w:pPr>
        <w:spacing w:after="0" w:line="240" w:lineRule="auto"/>
        <w:ind w:firstLine="567"/>
        <w:jc w:val="both"/>
        <w:rPr>
          <w:rFonts w:cs="Times New Roman"/>
          <w:szCs w:val="24"/>
        </w:rPr>
      </w:pPr>
      <w:r w:rsidRPr="00C57B98">
        <w:rPr>
          <w:rFonts w:cs="Times New Roman"/>
          <w:szCs w:val="24"/>
        </w:rPr>
        <w:t>Prokurora protestā tika norādīts uz nepieciešamību pieņemt jaunu tiesas nolēmumu, ar kuru lieta tiek izbeigta, jo notikumā nav administratīvā pārkāpuma sastāva.</w:t>
      </w:r>
    </w:p>
    <w:p w14:paraId="69EC3F1C" w14:textId="35A0C5FE" w:rsidR="005278FA" w:rsidRDefault="00EB45C7" w:rsidP="00827A0C">
      <w:pPr>
        <w:spacing w:after="0" w:line="240" w:lineRule="auto"/>
        <w:ind w:firstLine="567"/>
        <w:jc w:val="both"/>
        <w:rPr>
          <w:rFonts w:cs="Times New Roman"/>
          <w:szCs w:val="24"/>
        </w:rPr>
      </w:pPr>
      <w:r w:rsidRPr="00C57B98">
        <w:rPr>
          <w:rFonts w:cs="Times New Roman"/>
          <w:szCs w:val="24"/>
        </w:rPr>
        <w:t>Ar Rīgas apgabaltiesas 2020.</w:t>
      </w:r>
      <w:r w:rsidR="00A32EE1">
        <w:rPr>
          <w:rFonts w:cs="Times New Roman"/>
          <w:szCs w:val="24"/>
        </w:rPr>
        <w:t> </w:t>
      </w:r>
      <w:r w:rsidRPr="00C57B98">
        <w:rPr>
          <w:rFonts w:cs="Times New Roman"/>
          <w:szCs w:val="24"/>
        </w:rPr>
        <w:t>gada 27.</w:t>
      </w:r>
      <w:r w:rsidR="00A32EE1">
        <w:rPr>
          <w:rFonts w:cs="Times New Roman"/>
          <w:szCs w:val="24"/>
        </w:rPr>
        <w:t> </w:t>
      </w:r>
      <w:r w:rsidRPr="00C57B98">
        <w:rPr>
          <w:rFonts w:cs="Times New Roman"/>
          <w:szCs w:val="24"/>
        </w:rPr>
        <w:t>februāra spriedumu prokurora protests tika pilnībā apmierināts.</w:t>
      </w:r>
    </w:p>
    <w:p w14:paraId="73D88347" w14:textId="77777777" w:rsidR="00827A0C" w:rsidRDefault="00827A0C" w:rsidP="00827A0C">
      <w:pPr>
        <w:spacing w:after="0" w:line="240" w:lineRule="auto"/>
        <w:ind w:firstLine="567"/>
        <w:jc w:val="both"/>
        <w:rPr>
          <w:rFonts w:cs="Times New Roman"/>
          <w:szCs w:val="24"/>
        </w:rPr>
      </w:pPr>
    </w:p>
    <w:p w14:paraId="68184499" w14:textId="77BA6B33" w:rsidR="00EB45C7" w:rsidRPr="005278FA" w:rsidRDefault="005278FA" w:rsidP="00827A0C">
      <w:pPr>
        <w:spacing w:after="0" w:line="240" w:lineRule="auto"/>
        <w:jc w:val="both"/>
        <w:rPr>
          <w:rFonts w:cs="Times New Roman"/>
          <w:b/>
          <w:bCs/>
          <w:szCs w:val="24"/>
        </w:rPr>
      </w:pPr>
      <w:r>
        <w:rPr>
          <w:rFonts w:cs="Times New Roman"/>
          <w:b/>
          <w:bCs/>
          <w:szCs w:val="24"/>
        </w:rPr>
        <w:t xml:space="preserve">[3] </w:t>
      </w:r>
      <w:r w:rsidR="00EB45C7" w:rsidRPr="00C57B98">
        <w:rPr>
          <w:rFonts w:cs="Times New Roman"/>
          <w:szCs w:val="24"/>
        </w:rPr>
        <w:t>Piemērots prokurora brīdinājums Prokuratūras likuma 18.</w:t>
      </w:r>
      <w:r>
        <w:rPr>
          <w:rFonts w:cs="Times New Roman"/>
          <w:szCs w:val="24"/>
        </w:rPr>
        <w:t> </w:t>
      </w:r>
      <w:r w:rsidR="00EB45C7" w:rsidRPr="00C57B98">
        <w:rPr>
          <w:rFonts w:cs="Times New Roman"/>
          <w:szCs w:val="24"/>
        </w:rPr>
        <w:t>panta kārtībā.</w:t>
      </w:r>
    </w:p>
    <w:p w14:paraId="060C8983" w14:textId="135AA43B" w:rsidR="00EB45C7" w:rsidRPr="00C57B98" w:rsidRDefault="00EB45C7" w:rsidP="005278FA">
      <w:pPr>
        <w:spacing w:after="0" w:line="240" w:lineRule="auto"/>
        <w:ind w:firstLine="567"/>
        <w:jc w:val="both"/>
        <w:rPr>
          <w:rFonts w:cs="Times New Roman"/>
          <w:szCs w:val="24"/>
        </w:rPr>
      </w:pPr>
      <w:r w:rsidRPr="00C57B98">
        <w:rPr>
          <w:rFonts w:cs="Times New Roman"/>
          <w:szCs w:val="24"/>
        </w:rPr>
        <w:t>Veicot prokurora pārbaudi saistībā ar divu personu iesniegumu par Skrundas novada pašvaldības piemērotajiem sodiem pēc LAPK 75.</w:t>
      </w:r>
      <w:r w:rsidR="005278FA">
        <w:rPr>
          <w:rFonts w:cs="Times New Roman"/>
          <w:szCs w:val="24"/>
        </w:rPr>
        <w:t> </w:t>
      </w:r>
      <w:r w:rsidRPr="00C57B98">
        <w:rPr>
          <w:rFonts w:cs="Times New Roman"/>
          <w:szCs w:val="24"/>
        </w:rPr>
        <w:t>panta otrās daļas par sadzīves atkritumu radītāja vai īpašnieka nepiedalīšanos pašvaldības organizētajā sadzīves atkritumu savākšanā</w:t>
      </w:r>
      <w:r w:rsidR="005278FA">
        <w:rPr>
          <w:rFonts w:cs="Times New Roman"/>
          <w:szCs w:val="24"/>
        </w:rPr>
        <w:t>,</w:t>
      </w:r>
      <w:r w:rsidRPr="00C57B98">
        <w:rPr>
          <w:rFonts w:cs="Times New Roman"/>
          <w:szCs w:val="24"/>
        </w:rPr>
        <w:t xml:space="preserve"> tika konstatēts, ka personām ilgstoši, vismaz no 2017.</w:t>
      </w:r>
      <w:r w:rsidR="005278FA">
        <w:rPr>
          <w:rFonts w:cs="Times New Roman"/>
          <w:szCs w:val="24"/>
        </w:rPr>
        <w:t> </w:t>
      </w:r>
      <w:r w:rsidRPr="00C57B98">
        <w:rPr>
          <w:rFonts w:cs="Times New Roman"/>
          <w:szCs w:val="24"/>
        </w:rPr>
        <w:t>gada 1.</w:t>
      </w:r>
      <w:r w:rsidR="005278FA">
        <w:rPr>
          <w:rFonts w:cs="Times New Roman"/>
          <w:szCs w:val="24"/>
        </w:rPr>
        <w:t> </w:t>
      </w:r>
      <w:r w:rsidRPr="00C57B98">
        <w:rPr>
          <w:rFonts w:cs="Times New Roman"/>
          <w:szCs w:val="24"/>
        </w:rPr>
        <w:t>janvāra līdz prokurora brīdinājuma iesniegšanas brīdim nav noslēgti līgumi par atkritumu apsaimniekošanu.</w:t>
      </w:r>
    </w:p>
    <w:p w14:paraId="2A041798" w14:textId="67074B00" w:rsidR="00EB45C7" w:rsidRPr="00C57B98" w:rsidRDefault="00EB45C7" w:rsidP="003233E5">
      <w:pPr>
        <w:spacing w:after="0" w:line="240" w:lineRule="auto"/>
        <w:ind w:firstLine="567"/>
        <w:jc w:val="both"/>
        <w:rPr>
          <w:rFonts w:cs="Times New Roman"/>
          <w:szCs w:val="24"/>
        </w:rPr>
      </w:pPr>
      <w:r w:rsidRPr="00C57B98">
        <w:rPr>
          <w:rFonts w:cs="Times New Roman"/>
          <w:szCs w:val="24"/>
        </w:rPr>
        <w:t>Šajā laika posmā vienai personai piemērots 70</w:t>
      </w:r>
      <w:r w:rsidR="005278FA">
        <w:rPr>
          <w:rFonts w:cs="Times New Roman"/>
          <w:szCs w:val="24"/>
        </w:rPr>
        <w:t> </w:t>
      </w:r>
      <w:r w:rsidRPr="00C57B98">
        <w:rPr>
          <w:rFonts w:cs="Times New Roman"/>
          <w:szCs w:val="24"/>
        </w:rPr>
        <w:t>EUR naudas sods un otrai personai 70</w:t>
      </w:r>
      <w:r w:rsidR="005278FA">
        <w:rPr>
          <w:rFonts w:cs="Times New Roman"/>
          <w:szCs w:val="24"/>
        </w:rPr>
        <w:t> </w:t>
      </w:r>
      <w:r w:rsidRPr="00C57B98">
        <w:rPr>
          <w:rFonts w:cs="Times New Roman"/>
          <w:szCs w:val="24"/>
        </w:rPr>
        <w:t>EUR un otrreiz 100</w:t>
      </w:r>
      <w:r w:rsidR="005278FA">
        <w:rPr>
          <w:rFonts w:cs="Times New Roman"/>
          <w:szCs w:val="24"/>
        </w:rPr>
        <w:t> </w:t>
      </w:r>
      <w:r w:rsidRPr="00C57B98">
        <w:rPr>
          <w:rFonts w:cs="Times New Roman"/>
          <w:szCs w:val="24"/>
        </w:rPr>
        <w:t>EUR naudas sods pēc LAPK 75.</w:t>
      </w:r>
      <w:r w:rsidR="005278FA">
        <w:rPr>
          <w:rFonts w:cs="Times New Roman"/>
          <w:szCs w:val="24"/>
        </w:rPr>
        <w:t> </w:t>
      </w:r>
      <w:r w:rsidRPr="00C57B98">
        <w:rPr>
          <w:rFonts w:cs="Times New Roman"/>
          <w:szCs w:val="24"/>
        </w:rPr>
        <w:t>panta otrās daļas, taču līgumus par atkritumu apsaimniekošanu personas joprojām nav noslēgušas.</w:t>
      </w:r>
    </w:p>
    <w:p w14:paraId="7A09F41D" w14:textId="09D871EC" w:rsidR="00EB45C7" w:rsidRPr="00C57B98" w:rsidRDefault="00EB45C7" w:rsidP="003233E5">
      <w:pPr>
        <w:spacing w:after="0" w:line="240" w:lineRule="auto"/>
        <w:ind w:right="45" w:firstLine="567"/>
        <w:jc w:val="both"/>
        <w:rPr>
          <w:rFonts w:cs="Times New Roman"/>
          <w:szCs w:val="24"/>
        </w:rPr>
      </w:pPr>
      <w:r w:rsidRPr="00C57B98">
        <w:rPr>
          <w:rFonts w:cs="Times New Roman"/>
          <w:szCs w:val="24"/>
        </w:rPr>
        <w:t>Tād</w:t>
      </w:r>
      <w:r w:rsidR="003233E5">
        <w:rPr>
          <w:rFonts w:cs="Times New Roman"/>
          <w:szCs w:val="24"/>
        </w:rPr>
        <w:t>ē</w:t>
      </w:r>
      <w:r w:rsidRPr="00C57B98">
        <w:rPr>
          <w:rFonts w:cs="Times New Roman"/>
          <w:szCs w:val="24"/>
        </w:rPr>
        <w:t>jādi tika konstatēts, ka Skrundas novada pašvaldība veic nepietiekošu uzraudzību atkritumu apsaimniekošanas jomā un šāda bezdarbība var novest pie iespējamām likuma pārkāpuma pazīmēm, pašvaldībai pilnā apmērā neizpildot tās autonomo funkciju – sadzīves atkritumu apsaimniekošanu.</w:t>
      </w:r>
    </w:p>
    <w:p w14:paraId="6AE6EAD4" w14:textId="08B9906A" w:rsidR="00EB45C7" w:rsidRPr="00C57B98" w:rsidRDefault="00EB45C7" w:rsidP="003233E5">
      <w:pPr>
        <w:spacing w:after="0" w:line="240" w:lineRule="auto"/>
        <w:ind w:firstLine="567"/>
        <w:jc w:val="both"/>
        <w:rPr>
          <w:rFonts w:cs="Times New Roman"/>
          <w:szCs w:val="24"/>
        </w:rPr>
      </w:pPr>
      <w:r w:rsidRPr="00C57B98">
        <w:rPr>
          <w:rFonts w:cs="Times New Roman"/>
          <w:szCs w:val="24"/>
        </w:rPr>
        <w:t>Nolūkā novērst minēto situāciju Skrundas novada pašvaldībai tika iesniegts prokurora brīdinājums, kurā norādīts, ka Skrundas novada pašvaldības Administratīvajai komisijai, konstatējot LAPK 75.</w:t>
      </w:r>
      <w:r w:rsidR="003233E5">
        <w:rPr>
          <w:rFonts w:cs="Times New Roman"/>
          <w:szCs w:val="24"/>
        </w:rPr>
        <w:t> </w:t>
      </w:r>
      <w:r w:rsidRPr="00C57B98">
        <w:rPr>
          <w:rFonts w:cs="Times New Roman"/>
          <w:szCs w:val="24"/>
        </w:rPr>
        <w:t>panta otrajā daļā paredzēto administratīvā pārkāpuma sastāvu</w:t>
      </w:r>
      <w:r w:rsidR="003233E5">
        <w:rPr>
          <w:rFonts w:cs="Times New Roman"/>
          <w:szCs w:val="24"/>
        </w:rPr>
        <w:t>,</w:t>
      </w:r>
      <w:r w:rsidRPr="00C57B98">
        <w:rPr>
          <w:rFonts w:cs="Times New Roman"/>
          <w:szCs w:val="24"/>
        </w:rPr>
        <w:t xml:space="preserve"> ir pienākums piemērot personai paredzēto sodu. Savukārt pēc soda piemērošanas personai ir jādod saprātīgs termiņš, kas būtu nepieciešams atkritumu apsaimniekošanas līguma noslēgšanai, un pēc šī termiņa notecējuma ir jāpārbauda, vai persona ir izpildījusi šeit minēto normatīvo aktu prasības un noslēgusi atkritumu apsaimniekošanas līgumu.</w:t>
      </w:r>
    </w:p>
    <w:p w14:paraId="37CBAF3E" w14:textId="35F6BE91" w:rsidR="00EB45C7" w:rsidRPr="00C57B98" w:rsidRDefault="00EB45C7" w:rsidP="003233E5">
      <w:pPr>
        <w:spacing w:after="0" w:line="240" w:lineRule="auto"/>
        <w:ind w:right="45" w:firstLine="567"/>
        <w:jc w:val="both"/>
        <w:rPr>
          <w:rFonts w:cs="Times New Roman"/>
          <w:szCs w:val="24"/>
        </w:rPr>
      </w:pPr>
      <w:r w:rsidRPr="00C57B98">
        <w:rPr>
          <w:rFonts w:cs="Times New Roman"/>
          <w:szCs w:val="24"/>
        </w:rPr>
        <w:t>Konkrētajā gadījumā saprātīgs termiņš atkritumu apsaimniekošanas līguma noslēgšanai ir divas kalendārās nedēļas. Līdz ar to gadījumos, kad persona ir sodīta pēc LAPK 75.</w:t>
      </w:r>
      <w:r w:rsidR="003233E5">
        <w:rPr>
          <w:rFonts w:cs="Times New Roman"/>
          <w:szCs w:val="24"/>
        </w:rPr>
        <w:t xml:space="preserve"> </w:t>
      </w:r>
      <w:r w:rsidRPr="00C57B98">
        <w:rPr>
          <w:rFonts w:cs="Times New Roman"/>
          <w:szCs w:val="24"/>
        </w:rPr>
        <w:t>panta otrajā daļā paredzētā administratīvā pārkāpuma, pēc divām nedēļām no brīža, kad Skrundas novada pašvaldības Administratīvā komisija sodu ir piemērojusi, persona ir sodāma atkārtoti pēc LAPK 75.</w:t>
      </w:r>
      <w:r w:rsidR="003233E5">
        <w:rPr>
          <w:rFonts w:cs="Times New Roman"/>
          <w:szCs w:val="24"/>
        </w:rPr>
        <w:t> </w:t>
      </w:r>
      <w:r w:rsidRPr="00C57B98">
        <w:rPr>
          <w:rFonts w:cs="Times New Roman"/>
          <w:szCs w:val="24"/>
        </w:rPr>
        <w:t>panta otrās daļas, jo persona ir izdarījusi jaunu administratīvo pārkāpumu, ja nav noslēgusi atkritumu apsaimniekošanas līgumu. Turklāt LAPK 75.</w:t>
      </w:r>
      <w:r w:rsidR="003233E5">
        <w:rPr>
          <w:rFonts w:cs="Times New Roman"/>
          <w:szCs w:val="24"/>
        </w:rPr>
        <w:t> </w:t>
      </w:r>
      <w:r w:rsidRPr="00C57B98">
        <w:rPr>
          <w:rFonts w:cs="Times New Roman"/>
          <w:szCs w:val="24"/>
        </w:rPr>
        <w:t>panta otrajā daļā paredzētā soda sankcija fiziskajām personām ir no 70</w:t>
      </w:r>
      <w:r w:rsidR="003233E5">
        <w:rPr>
          <w:rFonts w:cs="Times New Roman"/>
          <w:szCs w:val="24"/>
        </w:rPr>
        <w:t> </w:t>
      </w:r>
      <w:r w:rsidRPr="00C57B98">
        <w:rPr>
          <w:rFonts w:cs="Times New Roman"/>
          <w:szCs w:val="24"/>
        </w:rPr>
        <w:t>EUR līdz 700</w:t>
      </w:r>
      <w:r w:rsidR="003233E5">
        <w:rPr>
          <w:rFonts w:cs="Times New Roman"/>
          <w:szCs w:val="24"/>
        </w:rPr>
        <w:t> </w:t>
      </w:r>
      <w:r w:rsidRPr="00C57B98">
        <w:rPr>
          <w:rFonts w:cs="Times New Roman"/>
          <w:szCs w:val="24"/>
        </w:rPr>
        <w:t>EUR, kas dod iespēju katru nākamo reizi piemērojamo sodu palielināt, lai tiktu panākta personai uzliktā pienākuma izpilde.</w:t>
      </w:r>
    </w:p>
    <w:p w14:paraId="37EC7917" w14:textId="68C3D845" w:rsidR="003233E5" w:rsidRDefault="00EB45C7" w:rsidP="00826B1C">
      <w:pPr>
        <w:spacing w:after="0" w:line="240" w:lineRule="auto"/>
        <w:ind w:right="45" w:firstLine="567"/>
        <w:jc w:val="both"/>
        <w:rPr>
          <w:rFonts w:cs="Times New Roman"/>
          <w:szCs w:val="24"/>
        </w:rPr>
      </w:pPr>
      <w:r w:rsidRPr="00C57B98">
        <w:rPr>
          <w:rFonts w:cs="Times New Roman"/>
          <w:szCs w:val="24"/>
        </w:rPr>
        <w:t>Pēc prokurora brīdinājuma iesniegšanas atkritumu apsaimniekošanas līgumi tika noslēgti.</w:t>
      </w:r>
    </w:p>
    <w:p w14:paraId="3C4CBBC0" w14:textId="77777777" w:rsidR="00826B1C" w:rsidRDefault="00826B1C" w:rsidP="00826B1C">
      <w:pPr>
        <w:spacing w:after="0" w:line="240" w:lineRule="auto"/>
        <w:ind w:right="45" w:firstLine="567"/>
        <w:jc w:val="both"/>
        <w:rPr>
          <w:rFonts w:cs="Times New Roman"/>
          <w:szCs w:val="24"/>
        </w:rPr>
      </w:pPr>
    </w:p>
    <w:p w14:paraId="42D608B3" w14:textId="388CFFF4" w:rsidR="00EB45C7" w:rsidRPr="00DD3BFF" w:rsidRDefault="00DD3BFF" w:rsidP="00DD3BFF">
      <w:pPr>
        <w:spacing w:after="0" w:line="240" w:lineRule="auto"/>
        <w:ind w:right="45"/>
        <w:jc w:val="both"/>
        <w:rPr>
          <w:rFonts w:cs="Times New Roman"/>
          <w:b/>
          <w:bCs/>
          <w:szCs w:val="24"/>
        </w:rPr>
      </w:pPr>
      <w:r>
        <w:rPr>
          <w:rFonts w:cs="Times New Roman"/>
          <w:b/>
          <w:bCs/>
          <w:szCs w:val="24"/>
        </w:rPr>
        <w:t xml:space="preserve">[4] </w:t>
      </w:r>
      <w:r w:rsidR="00EB45C7" w:rsidRPr="00C57B98">
        <w:rPr>
          <w:rFonts w:cs="Times New Roman"/>
          <w:szCs w:val="24"/>
        </w:rPr>
        <w:t>Iesniegti prokurora brīdinājumi Zemkopības ministrijai un valsts akciju sabiedrībai “Latvijas valsts meži” saistībā ar Valsts kontroles revīzijā Nr.</w:t>
      </w:r>
      <w:r>
        <w:rPr>
          <w:rFonts w:cs="Times New Roman"/>
          <w:szCs w:val="24"/>
        </w:rPr>
        <w:t> </w:t>
      </w:r>
      <w:r w:rsidR="00EB45C7" w:rsidRPr="00C57B98">
        <w:rPr>
          <w:rFonts w:cs="Times New Roman"/>
          <w:szCs w:val="24"/>
        </w:rPr>
        <w:t>2.4.1-38/2019 “Zemkopības ministrijas darbība valstij piederošo derīgo izrakteņu apsaimniekošanā” daļā par akciju sabiedrībai “Latvijas valsts meži” pārvaldībā esošajām kūdras atradnēm</w:t>
      </w:r>
      <w:r>
        <w:rPr>
          <w:rFonts w:cs="Times New Roman"/>
          <w:szCs w:val="24"/>
        </w:rPr>
        <w:t xml:space="preserve"> </w:t>
      </w:r>
      <w:r w:rsidR="00EB45C7" w:rsidRPr="00C57B98">
        <w:rPr>
          <w:rFonts w:cs="Times New Roman"/>
          <w:szCs w:val="24"/>
        </w:rPr>
        <w:t>konstatētajiem likuma normu pārkāpumiem.</w:t>
      </w:r>
    </w:p>
    <w:p w14:paraId="2818959E" w14:textId="77777777" w:rsidR="00EB45C7" w:rsidRPr="00C57B98" w:rsidRDefault="00EB45C7" w:rsidP="00DD3BFF">
      <w:pPr>
        <w:spacing w:after="0" w:line="240" w:lineRule="auto"/>
        <w:ind w:right="45" w:firstLine="567"/>
        <w:jc w:val="both"/>
        <w:rPr>
          <w:rFonts w:cs="Times New Roman"/>
          <w:szCs w:val="24"/>
        </w:rPr>
      </w:pPr>
      <w:r w:rsidRPr="00C57B98">
        <w:rPr>
          <w:rFonts w:cs="Times New Roman"/>
          <w:szCs w:val="24"/>
        </w:rPr>
        <w:t xml:space="preserve">Prokurora pārbaudes gaitā tika konstatēts, ka Zemkopības ministrija veica nepietiekošu uzraudzību pār AS “Latvijas valsts meži” kūdras atradņu apsaimniekošanas jomā. </w:t>
      </w:r>
    </w:p>
    <w:p w14:paraId="52309907" w14:textId="533314FE" w:rsidR="00EB45C7" w:rsidRPr="00C57B98" w:rsidRDefault="00EB45C7" w:rsidP="00DD3BFF">
      <w:pPr>
        <w:spacing w:after="0" w:line="240" w:lineRule="auto"/>
        <w:ind w:right="45" w:firstLine="567"/>
        <w:jc w:val="both"/>
        <w:rPr>
          <w:rFonts w:cs="Times New Roman"/>
          <w:szCs w:val="24"/>
        </w:rPr>
      </w:pPr>
      <w:r w:rsidRPr="00C57B98">
        <w:rPr>
          <w:rFonts w:cs="Times New Roman"/>
          <w:szCs w:val="24"/>
        </w:rPr>
        <w:t>Savukārt AS “Latvijas valsts meži” bija pienākums veikt visas nepieciešamās darbības, lai tās pārziņā esošo kūdras atradņu apsaimniekošana būtu efektīva un atbilstoša Publiskas personas finanšu līdzekļu un mantas izšķērdēšanas novēršanas likuma 3.</w:t>
      </w:r>
      <w:r w:rsidR="00DD3BFF">
        <w:rPr>
          <w:rFonts w:cs="Times New Roman"/>
          <w:szCs w:val="24"/>
        </w:rPr>
        <w:t> </w:t>
      </w:r>
      <w:r w:rsidRPr="00C57B98">
        <w:rPr>
          <w:rFonts w:cs="Times New Roman"/>
          <w:szCs w:val="24"/>
        </w:rPr>
        <w:t>panta 2.</w:t>
      </w:r>
      <w:r w:rsidR="00DD3BFF">
        <w:rPr>
          <w:rFonts w:cs="Times New Roman"/>
          <w:szCs w:val="24"/>
        </w:rPr>
        <w:t> </w:t>
      </w:r>
      <w:r w:rsidRPr="00C57B98">
        <w:rPr>
          <w:rFonts w:cs="Times New Roman"/>
          <w:szCs w:val="24"/>
        </w:rPr>
        <w:t xml:space="preserve">punktā </w:t>
      </w:r>
      <w:r w:rsidRPr="00C57B98">
        <w:rPr>
          <w:rFonts w:cs="Times New Roman"/>
          <w:szCs w:val="24"/>
        </w:rPr>
        <w:lastRenderedPageBreak/>
        <w:t>noteiktajam pienākumam kapitālsabiedrībām rīkoties ar finanšu līdzekļiem un mantu lietderīgi, t</w:t>
      </w:r>
      <w:r w:rsidR="00DD3BFF">
        <w:rPr>
          <w:rFonts w:cs="Times New Roman"/>
          <w:szCs w:val="24"/>
        </w:rPr>
        <w:t xml:space="preserve">.i., </w:t>
      </w:r>
      <w:r w:rsidRPr="00C57B98">
        <w:rPr>
          <w:rFonts w:cs="Times New Roman"/>
          <w:szCs w:val="24"/>
        </w:rPr>
        <w:t>atsavināt mantu un nodot to īpašumā vai lietošanā citai personai par iespējami augstāku cenu.</w:t>
      </w:r>
    </w:p>
    <w:p w14:paraId="2D6B7816" w14:textId="4BCA62AD" w:rsidR="00EB45C7" w:rsidRDefault="00EB45C7" w:rsidP="00826B1C">
      <w:pPr>
        <w:spacing w:after="0" w:line="240" w:lineRule="auto"/>
        <w:ind w:right="45" w:firstLine="567"/>
        <w:jc w:val="both"/>
        <w:rPr>
          <w:rFonts w:cs="Times New Roman"/>
          <w:szCs w:val="24"/>
        </w:rPr>
      </w:pPr>
      <w:r w:rsidRPr="00C57B98">
        <w:rPr>
          <w:rFonts w:cs="Times New Roman"/>
          <w:szCs w:val="24"/>
        </w:rPr>
        <w:t>Līdz ar to tika izteikts prokurora brīdinājums Zemkopības ministrijai par nepietiekošu uzraudzību attiecībā uz valstij piederošo kūdras atradņu apsaimniekošanu un AS “Latvijas valsts meži” par Ministru kabineta 2007.</w:t>
      </w:r>
      <w:r w:rsidR="00DD3BFF">
        <w:rPr>
          <w:rFonts w:cs="Times New Roman"/>
          <w:szCs w:val="24"/>
        </w:rPr>
        <w:t> </w:t>
      </w:r>
      <w:r w:rsidRPr="00C57B98">
        <w:rPr>
          <w:rFonts w:cs="Times New Roman"/>
          <w:szCs w:val="24"/>
        </w:rPr>
        <w:t>gada 30.</w:t>
      </w:r>
      <w:r w:rsidR="00DD3BFF">
        <w:rPr>
          <w:rFonts w:cs="Times New Roman"/>
          <w:szCs w:val="24"/>
        </w:rPr>
        <w:t> </w:t>
      </w:r>
      <w:r w:rsidRPr="00C57B98">
        <w:rPr>
          <w:rFonts w:cs="Times New Roman"/>
          <w:szCs w:val="24"/>
        </w:rPr>
        <w:t>oktobra noteikumu Nr.</w:t>
      </w:r>
      <w:r w:rsidR="00DD3BFF">
        <w:rPr>
          <w:rFonts w:cs="Times New Roman"/>
          <w:szCs w:val="24"/>
        </w:rPr>
        <w:t> </w:t>
      </w:r>
      <w:r w:rsidRPr="00C57B98">
        <w:rPr>
          <w:rFonts w:cs="Times New Roman"/>
          <w:szCs w:val="24"/>
        </w:rPr>
        <w:t>735 “Noteikumi par publiskas personas zemes nomu” 47.2.</w:t>
      </w:r>
      <w:r w:rsidR="00DD3BFF">
        <w:rPr>
          <w:rFonts w:cs="Times New Roman"/>
          <w:szCs w:val="24"/>
        </w:rPr>
        <w:t> </w:t>
      </w:r>
      <w:r w:rsidRPr="00C57B98">
        <w:rPr>
          <w:rFonts w:cs="Times New Roman"/>
          <w:szCs w:val="24"/>
        </w:rPr>
        <w:t xml:space="preserve">punkta novēlotu izpildi, kas turpmākas šādas rīcības rezultātā var novest pie valsts īpašuma nelikumīgas izšķērdēšanas. </w:t>
      </w:r>
    </w:p>
    <w:p w14:paraId="2E3856F3" w14:textId="77777777" w:rsidR="00826B1C" w:rsidRPr="00C57B98" w:rsidRDefault="00826B1C" w:rsidP="00826B1C">
      <w:pPr>
        <w:spacing w:after="0" w:line="240" w:lineRule="auto"/>
        <w:ind w:right="45" w:firstLine="567"/>
        <w:jc w:val="both"/>
        <w:rPr>
          <w:rFonts w:cs="Times New Roman"/>
          <w:szCs w:val="24"/>
        </w:rPr>
      </w:pPr>
    </w:p>
    <w:p w14:paraId="35938DFF" w14:textId="77777777" w:rsidR="007B7563" w:rsidRDefault="00914AE7" w:rsidP="007B7563">
      <w:pPr>
        <w:spacing w:after="0" w:line="240" w:lineRule="auto"/>
        <w:ind w:right="45"/>
        <w:jc w:val="both"/>
        <w:rPr>
          <w:rFonts w:cs="Times New Roman"/>
          <w:szCs w:val="24"/>
        </w:rPr>
      </w:pPr>
      <w:r>
        <w:rPr>
          <w:rFonts w:cs="Times New Roman"/>
          <w:b/>
          <w:bCs/>
          <w:szCs w:val="24"/>
        </w:rPr>
        <w:t xml:space="preserve">[5] </w:t>
      </w:r>
      <w:r w:rsidR="00EB45C7" w:rsidRPr="00C57B98">
        <w:rPr>
          <w:rFonts w:cs="Times New Roman"/>
          <w:szCs w:val="24"/>
        </w:rPr>
        <w:t>Veikta prokurora pārbaude Prokuratūras likuma 16.</w:t>
      </w:r>
      <w:r>
        <w:rPr>
          <w:rFonts w:cs="Times New Roman"/>
          <w:szCs w:val="24"/>
        </w:rPr>
        <w:t> </w:t>
      </w:r>
      <w:r w:rsidR="00EB45C7" w:rsidRPr="00C57B98">
        <w:rPr>
          <w:rFonts w:cs="Times New Roman"/>
          <w:szCs w:val="24"/>
        </w:rPr>
        <w:t>panta otrās daļas kārtībā, saistībā ar publikācijām masu informācijas līdzekļos par</w:t>
      </w:r>
      <w:r w:rsidR="00A31385">
        <w:rPr>
          <w:rFonts w:cs="Times New Roman"/>
          <w:szCs w:val="24"/>
        </w:rPr>
        <w:t xml:space="preserve"> </w:t>
      </w:r>
      <w:r w:rsidR="00EB45C7" w:rsidRPr="00C57B98">
        <w:rPr>
          <w:rFonts w:cs="Times New Roman"/>
          <w:szCs w:val="24"/>
        </w:rPr>
        <w:t>Iekšlietu ministrijas sistēmas iestāžu un Ieslodzījuma vietu pārvaldes amatpersonu ar speciālajām pakāpēm dienesta gaitas likuma</w:t>
      </w:r>
      <w:r w:rsidR="00A31385">
        <w:rPr>
          <w:rFonts w:cs="Times New Roman"/>
          <w:szCs w:val="24"/>
        </w:rPr>
        <w:t xml:space="preserve"> </w:t>
      </w:r>
      <w:r w:rsidR="00EB45C7" w:rsidRPr="00C57B98">
        <w:rPr>
          <w:rFonts w:cs="Times New Roman"/>
          <w:szCs w:val="24"/>
        </w:rPr>
        <w:t>47.</w:t>
      </w:r>
      <w:r w:rsidR="00A31385">
        <w:rPr>
          <w:rFonts w:cs="Times New Roman"/>
          <w:szCs w:val="24"/>
        </w:rPr>
        <w:t> </w:t>
      </w:r>
      <w:r w:rsidR="00EB45C7" w:rsidRPr="00C57B98">
        <w:rPr>
          <w:rFonts w:cs="Times New Roman"/>
          <w:szCs w:val="24"/>
        </w:rPr>
        <w:t>panta septītās daļas satura neatbilstību Eiropas parlamenta un Padomes Direktīvas</w:t>
      </w:r>
      <w:r w:rsidR="00A31385">
        <w:rPr>
          <w:rFonts w:cs="Times New Roman"/>
          <w:szCs w:val="24"/>
        </w:rPr>
        <w:t> </w:t>
      </w:r>
      <w:r w:rsidR="00EB45C7" w:rsidRPr="00C57B98">
        <w:rPr>
          <w:rFonts w:cs="Times New Roman"/>
          <w:szCs w:val="24"/>
        </w:rPr>
        <w:t>2003/88/EK (2003.</w:t>
      </w:r>
      <w:r w:rsidR="00A31385">
        <w:rPr>
          <w:rFonts w:cs="Times New Roman"/>
          <w:szCs w:val="24"/>
        </w:rPr>
        <w:t> </w:t>
      </w:r>
      <w:r w:rsidR="00EB45C7" w:rsidRPr="00C57B98">
        <w:rPr>
          <w:rFonts w:cs="Times New Roman"/>
          <w:szCs w:val="24"/>
        </w:rPr>
        <w:t>gada 4.</w:t>
      </w:r>
      <w:r w:rsidR="00A31385">
        <w:rPr>
          <w:rFonts w:cs="Times New Roman"/>
          <w:szCs w:val="24"/>
        </w:rPr>
        <w:t> </w:t>
      </w:r>
      <w:r w:rsidR="00EB45C7" w:rsidRPr="00C57B98">
        <w:rPr>
          <w:rFonts w:cs="Times New Roman"/>
          <w:szCs w:val="24"/>
        </w:rPr>
        <w:t>novembris) par konkrētiem darba laika organizēšanas aspektiem 7.</w:t>
      </w:r>
      <w:r w:rsidR="00A31385">
        <w:rPr>
          <w:rFonts w:cs="Times New Roman"/>
          <w:szCs w:val="24"/>
        </w:rPr>
        <w:t> </w:t>
      </w:r>
      <w:r w:rsidR="00EB45C7" w:rsidRPr="00C57B98">
        <w:rPr>
          <w:rFonts w:cs="Times New Roman"/>
          <w:szCs w:val="24"/>
        </w:rPr>
        <w:t xml:space="preserve">pantam un Eiropas Savienības Tiesas pastāvīgajai judikatūrai. </w:t>
      </w:r>
    </w:p>
    <w:p w14:paraId="5D5393A1" w14:textId="6AF78AC5" w:rsidR="00EB45C7" w:rsidRPr="00914AE7" w:rsidRDefault="00EB45C7" w:rsidP="007B7563">
      <w:pPr>
        <w:spacing w:after="0" w:line="240" w:lineRule="auto"/>
        <w:ind w:right="45" w:firstLine="567"/>
        <w:jc w:val="both"/>
        <w:rPr>
          <w:rFonts w:cs="Times New Roman"/>
          <w:b/>
          <w:bCs/>
          <w:szCs w:val="24"/>
        </w:rPr>
      </w:pPr>
      <w:r w:rsidRPr="00C57B98">
        <w:rPr>
          <w:rFonts w:cs="Times New Roman"/>
          <w:szCs w:val="24"/>
        </w:rPr>
        <w:t xml:space="preserve">Pārbaudes rezultātā prokurors vērsās ar iesniegumu Saeimā, norādot, ka </w:t>
      </w:r>
      <w:r w:rsidR="00A31385">
        <w:rPr>
          <w:rFonts w:cs="Times New Roman"/>
          <w:szCs w:val="24"/>
        </w:rPr>
        <w:t>D</w:t>
      </w:r>
      <w:r w:rsidRPr="00C57B98">
        <w:rPr>
          <w:rFonts w:cs="Times New Roman"/>
          <w:szCs w:val="24"/>
        </w:rPr>
        <w:t>irektīvas nepilnīga pārņemšana un ieviešana tikai vienā nacionālās tiesību sistēmas daļā noteiktos gadījumos var būt par pamatu pārkāpuma procedūras uzsākšanai pret Latvijas Republiku par</w:t>
      </w:r>
      <w:r w:rsidR="007B7563">
        <w:rPr>
          <w:rFonts w:cs="Times New Roman"/>
          <w:szCs w:val="24"/>
        </w:rPr>
        <w:t xml:space="preserve"> </w:t>
      </w:r>
      <w:r w:rsidRPr="00C57B98">
        <w:rPr>
          <w:rFonts w:cs="Times New Roman"/>
          <w:szCs w:val="24"/>
        </w:rPr>
        <w:t>Direktīvas</w:t>
      </w:r>
      <w:r w:rsidR="00A31385">
        <w:rPr>
          <w:rFonts w:cs="Times New Roman"/>
          <w:szCs w:val="24"/>
        </w:rPr>
        <w:t> </w:t>
      </w:r>
      <w:r w:rsidRPr="00C57B98">
        <w:rPr>
          <w:rFonts w:cs="Times New Roman"/>
          <w:szCs w:val="24"/>
        </w:rPr>
        <w:t xml:space="preserve">2003/88/EK ieviešanu nacionālajā tiesību sistēmā nepienācīgā kārtā. </w:t>
      </w:r>
    </w:p>
    <w:p w14:paraId="3DD781CE" w14:textId="6EC68DAD" w:rsidR="00A57D0B" w:rsidRDefault="00EB45C7" w:rsidP="00F3236A">
      <w:pPr>
        <w:spacing w:before="120" w:after="120" w:line="240" w:lineRule="auto"/>
        <w:ind w:firstLine="567"/>
        <w:contextualSpacing/>
        <w:jc w:val="both"/>
        <w:rPr>
          <w:rFonts w:cs="Times New Roman"/>
          <w:szCs w:val="24"/>
        </w:rPr>
      </w:pPr>
      <w:r w:rsidRPr="00C57B98">
        <w:rPr>
          <w:rFonts w:cs="Times New Roman"/>
          <w:szCs w:val="24"/>
        </w:rPr>
        <w:t>Saeimas Aizsardzības, iekšlietu un korupcijas novēršanas komisij</w:t>
      </w:r>
      <w:r w:rsidR="007B7563">
        <w:rPr>
          <w:rFonts w:cs="Times New Roman"/>
          <w:szCs w:val="24"/>
        </w:rPr>
        <w:t>a</w:t>
      </w:r>
      <w:r w:rsidRPr="00C57B98">
        <w:rPr>
          <w:rFonts w:cs="Times New Roman"/>
          <w:szCs w:val="24"/>
        </w:rPr>
        <w:t>, piedaloties departamenta prokuroram, pieņēma lēmumu iniciēt nepieciešamos likuma grozījumus, lai tas atbilstu starptautiskajām tiesību normām.</w:t>
      </w:r>
    </w:p>
    <w:p w14:paraId="52361BDC" w14:textId="77777777" w:rsidR="00A57D0B" w:rsidRDefault="00A57D0B" w:rsidP="00A57D0B">
      <w:pPr>
        <w:spacing w:after="0" w:line="240" w:lineRule="auto"/>
        <w:contextualSpacing/>
        <w:jc w:val="both"/>
        <w:rPr>
          <w:rFonts w:cs="Times New Roman"/>
          <w:szCs w:val="24"/>
        </w:rPr>
      </w:pPr>
    </w:p>
    <w:p w14:paraId="649CE15E" w14:textId="77777777" w:rsidR="00250955" w:rsidRDefault="007B7563" w:rsidP="00A57D0B">
      <w:pPr>
        <w:spacing w:before="120" w:after="0" w:line="240" w:lineRule="auto"/>
        <w:contextualSpacing/>
        <w:jc w:val="both"/>
        <w:rPr>
          <w:rFonts w:cs="Times New Roman"/>
          <w:szCs w:val="24"/>
        </w:rPr>
      </w:pPr>
      <w:r>
        <w:rPr>
          <w:rFonts w:cs="Times New Roman"/>
          <w:b/>
          <w:bCs/>
          <w:szCs w:val="24"/>
        </w:rPr>
        <w:t xml:space="preserve">[6] </w:t>
      </w:r>
      <w:r w:rsidR="00EB45C7" w:rsidRPr="00C57B98">
        <w:rPr>
          <w:rFonts w:cs="Times New Roman"/>
          <w:szCs w:val="24"/>
        </w:rPr>
        <w:t>Veicot prokurora pārbaudi</w:t>
      </w:r>
      <w:r>
        <w:rPr>
          <w:rFonts w:cs="Times New Roman"/>
          <w:szCs w:val="24"/>
        </w:rPr>
        <w:t>,</w:t>
      </w:r>
      <w:r w:rsidR="00EB45C7" w:rsidRPr="00C57B98">
        <w:rPr>
          <w:rFonts w:cs="Times New Roman"/>
          <w:szCs w:val="24"/>
        </w:rPr>
        <w:t xml:space="preserve"> tika konstatēts, ka</w:t>
      </w:r>
      <w:r>
        <w:rPr>
          <w:rFonts w:cs="Times New Roman"/>
          <w:szCs w:val="24"/>
        </w:rPr>
        <w:t>,</w:t>
      </w:r>
      <w:r w:rsidR="00EB45C7" w:rsidRPr="00C57B98">
        <w:rPr>
          <w:rFonts w:cs="Times New Roman"/>
          <w:szCs w:val="24"/>
        </w:rPr>
        <w:t xml:space="preserve"> iespējams, Satiksmes ministrijas atbildīgās amatpersonas atbalstījušas nelikumīgas valsts akciju sabiedrības “Latvijas dzelzceļš” pārvaldes institūcijas izveidošanu un ar to saistītu nelikumīgu amata atlīdzību, pabalstu un kompensāciju pielīgšanu, aprēķināšanu un izmaksu deviņu gadu ilgā laika posmā, ar ko valsts kapitālsabiedrībai nodarīts materiālais kaitējums ne mazāk kā 962 221,23</w:t>
      </w:r>
      <w:r>
        <w:rPr>
          <w:rFonts w:cs="Times New Roman"/>
          <w:szCs w:val="24"/>
        </w:rPr>
        <w:t> </w:t>
      </w:r>
      <w:r w:rsidR="00EB45C7" w:rsidRPr="00C57B98">
        <w:rPr>
          <w:rFonts w:cs="Times New Roman"/>
          <w:szCs w:val="24"/>
        </w:rPr>
        <w:t>EUR apmēra.</w:t>
      </w:r>
    </w:p>
    <w:p w14:paraId="295C8A31" w14:textId="3A914836" w:rsidR="00250955" w:rsidRDefault="00EB45C7" w:rsidP="00A57D0B">
      <w:pPr>
        <w:spacing w:after="120" w:line="240" w:lineRule="auto"/>
        <w:ind w:firstLine="720"/>
        <w:contextualSpacing/>
        <w:jc w:val="both"/>
        <w:rPr>
          <w:rFonts w:cs="Times New Roman"/>
          <w:szCs w:val="24"/>
        </w:rPr>
      </w:pPr>
      <w:r w:rsidRPr="00C57B98">
        <w:rPr>
          <w:rFonts w:cs="Times New Roman"/>
          <w:szCs w:val="24"/>
        </w:rPr>
        <w:t>Pārbaudes rezultātā uzsākts kriminālprocess pēc Krimināllikuma 24.</w:t>
      </w:r>
      <w:r w:rsidR="00250955">
        <w:rPr>
          <w:rFonts w:cs="Times New Roman"/>
          <w:szCs w:val="24"/>
        </w:rPr>
        <w:t> </w:t>
      </w:r>
      <w:r w:rsidRPr="00C57B98">
        <w:rPr>
          <w:rFonts w:cs="Times New Roman"/>
          <w:szCs w:val="24"/>
        </w:rPr>
        <w:t xml:space="preserve">nodaļas pazīmēm par noziedzīgiem nodarījumiem valsts institūciju dienestā, kas iespējami saistīti ar korupciju. </w:t>
      </w:r>
      <w:r w:rsidR="00250955">
        <w:rPr>
          <w:rFonts w:cs="Times New Roman"/>
          <w:szCs w:val="24"/>
        </w:rPr>
        <w:t xml:space="preserve">Pirmstiesas kriminālprocesā </w:t>
      </w:r>
      <w:r w:rsidRPr="00C57B98">
        <w:rPr>
          <w:rFonts w:cs="Times New Roman"/>
          <w:szCs w:val="24"/>
        </w:rPr>
        <w:t>izmeklēšanu veic Korupcijas novēršanas un apkarošanas birojs.</w:t>
      </w:r>
    </w:p>
    <w:p w14:paraId="728C2465" w14:textId="77777777" w:rsidR="00A57D0B" w:rsidRDefault="00A57D0B" w:rsidP="00A57D0B">
      <w:pPr>
        <w:spacing w:after="120" w:line="240" w:lineRule="auto"/>
        <w:ind w:firstLine="720"/>
        <w:contextualSpacing/>
        <w:jc w:val="both"/>
        <w:rPr>
          <w:rFonts w:cs="Times New Roman"/>
          <w:szCs w:val="24"/>
        </w:rPr>
      </w:pPr>
    </w:p>
    <w:p w14:paraId="30B9D1F6" w14:textId="57CF2B39" w:rsidR="00E31536" w:rsidRDefault="00250955" w:rsidP="00A57D0B">
      <w:pPr>
        <w:spacing w:after="120" w:line="240" w:lineRule="auto"/>
        <w:contextualSpacing/>
        <w:jc w:val="both"/>
        <w:rPr>
          <w:rFonts w:cs="Times New Roman"/>
          <w:szCs w:val="24"/>
        </w:rPr>
      </w:pPr>
      <w:r>
        <w:rPr>
          <w:rFonts w:cs="Times New Roman"/>
          <w:b/>
          <w:bCs/>
          <w:szCs w:val="24"/>
        </w:rPr>
        <w:t xml:space="preserve">[7] </w:t>
      </w:r>
      <w:r w:rsidR="00EB45C7" w:rsidRPr="00C57B98">
        <w:rPr>
          <w:rFonts w:cs="Times New Roman"/>
          <w:szCs w:val="24"/>
        </w:rPr>
        <w:t xml:space="preserve">Veicot prokurora pārbaudes saistībā ar </w:t>
      </w:r>
      <w:r>
        <w:rPr>
          <w:rFonts w:cs="Times New Roman"/>
          <w:szCs w:val="24"/>
        </w:rPr>
        <w:t>Senāta</w:t>
      </w:r>
      <w:r w:rsidR="00EB45C7" w:rsidRPr="00C57B98">
        <w:rPr>
          <w:rFonts w:cs="Times New Roman"/>
          <w:szCs w:val="24"/>
        </w:rPr>
        <w:t xml:space="preserve"> blakus lēmumu lietā Nr.</w:t>
      </w:r>
      <w:r>
        <w:rPr>
          <w:rFonts w:cs="Times New Roman"/>
          <w:szCs w:val="24"/>
        </w:rPr>
        <w:t> </w:t>
      </w:r>
      <w:r w:rsidR="00EB45C7" w:rsidRPr="00C57B98">
        <w:rPr>
          <w:rFonts w:cs="Times New Roman"/>
          <w:szCs w:val="24"/>
        </w:rPr>
        <w:t>C04169414, Nr.</w:t>
      </w:r>
      <w:r>
        <w:rPr>
          <w:rFonts w:cs="Times New Roman"/>
          <w:szCs w:val="24"/>
        </w:rPr>
        <w:t> </w:t>
      </w:r>
      <w:r w:rsidR="00EB45C7" w:rsidRPr="00C57B98">
        <w:rPr>
          <w:rFonts w:cs="Times New Roman"/>
          <w:szCs w:val="24"/>
        </w:rPr>
        <w:t>SKC-259/2019 un Rīgas pilsētas Latgales priekšpilsētas tiesas blakus lēmumu lietā Nr.</w:t>
      </w:r>
      <w:r>
        <w:rPr>
          <w:rFonts w:cs="Times New Roman"/>
          <w:szCs w:val="24"/>
        </w:rPr>
        <w:t> </w:t>
      </w:r>
      <w:r w:rsidR="00EB45C7" w:rsidRPr="00C57B98">
        <w:rPr>
          <w:rFonts w:cs="Times New Roman"/>
          <w:szCs w:val="24"/>
        </w:rPr>
        <w:t>C29258918</w:t>
      </w:r>
      <w:r w:rsidR="00E31536">
        <w:rPr>
          <w:rFonts w:cs="Times New Roman"/>
          <w:szCs w:val="24"/>
        </w:rPr>
        <w:t>,</w:t>
      </w:r>
      <w:r w:rsidR="00EB45C7" w:rsidRPr="00C57B98">
        <w:rPr>
          <w:rFonts w:cs="Times New Roman"/>
          <w:szCs w:val="24"/>
        </w:rPr>
        <w:t xml:space="preserve"> par iespējamiem noziedzīgiem nodarījumiem pret īpašumu tika uzsākt</w:t>
      </w:r>
      <w:r w:rsidR="00A73CF0">
        <w:rPr>
          <w:rFonts w:cs="Times New Roman"/>
          <w:szCs w:val="24"/>
        </w:rPr>
        <w:t xml:space="preserve">s </w:t>
      </w:r>
      <w:r w:rsidR="00EB45C7" w:rsidRPr="00C57B98">
        <w:rPr>
          <w:rFonts w:cs="Times New Roman"/>
          <w:szCs w:val="24"/>
        </w:rPr>
        <w:t>kriminālproces</w:t>
      </w:r>
      <w:r w:rsidR="00A73CF0">
        <w:rPr>
          <w:rFonts w:cs="Times New Roman"/>
          <w:szCs w:val="24"/>
        </w:rPr>
        <w:t>s</w:t>
      </w:r>
      <w:r w:rsidR="00EB45C7" w:rsidRPr="00C57B98">
        <w:rPr>
          <w:rFonts w:cs="Times New Roman"/>
          <w:szCs w:val="24"/>
        </w:rPr>
        <w:t xml:space="preserve"> Nr.</w:t>
      </w:r>
      <w:r>
        <w:rPr>
          <w:rFonts w:cs="Times New Roman"/>
          <w:szCs w:val="24"/>
        </w:rPr>
        <w:t> </w:t>
      </w:r>
      <w:r w:rsidR="00EB45C7" w:rsidRPr="00C57B98">
        <w:rPr>
          <w:rFonts w:cs="Times New Roman"/>
          <w:szCs w:val="24"/>
        </w:rPr>
        <w:t>1282000120</w:t>
      </w:r>
      <w:r>
        <w:rPr>
          <w:rFonts w:cs="Times New Roman"/>
          <w:szCs w:val="24"/>
        </w:rPr>
        <w:t xml:space="preserve"> </w:t>
      </w:r>
      <w:r w:rsidR="00EB45C7" w:rsidRPr="00C57B98">
        <w:rPr>
          <w:rFonts w:cs="Times New Roman"/>
          <w:szCs w:val="24"/>
        </w:rPr>
        <w:t xml:space="preserve">un </w:t>
      </w:r>
      <w:r w:rsidR="00A73CF0" w:rsidRPr="00C57B98">
        <w:rPr>
          <w:rFonts w:cs="Times New Roman"/>
          <w:szCs w:val="24"/>
        </w:rPr>
        <w:t xml:space="preserve">par iespējamu viltotu dokumentu izmantošanu civiltiesiska strīda izšķiršanas gaitā </w:t>
      </w:r>
      <w:r w:rsidR="00A73CF0">
        <w:rPr>
          <w:rFonts w:cs="Times New Roman"/>
          <w:szCs w:val="24"/>
        </w:rPr>
        <w:t xml:space="preserve">tika uzsākts kriminālprocess </w:t>
      </w:r>
      <w:r w:rsidR="00A73CF0" w:rsidRPr="00C57B98">
        <w:rPr>
          <w:rFonts w:cs="Times New Roman"/>
          <w:szCs w:val="24"/>
        </w:rPr>
        <w:t>Nr.</w:t>
      </w:r>
      <w:r w:rsidR="00A73CF0">
        <w:rPr>
          <w:rFonts w:cs="Times New Roman"/>
          <w:szCs w:val="24"/>
        </w:rPr>
        <w:t xml:space="preserve"> </w:t>
      </w:r>
      <w:r w:rsidR="00A73CF0" w:rsidRPr="00C57B98">
        <w:rPr>
          <w:rFonts w:cs="Times New Roman"/>
          <w:szCs w:val="24"/>
        </w:rPr>
        <w:t>12812000420</w:t>
      </w:r>
      <w:r w:rsidR="00A73CF0">
        <w:rPr>
          <w:rFonts w:cs="Times New Roman"/>
          <w:szCs w:val="24"/>
        </w:rPr>
        <w:t xml:space="preserve"> pēc </w:t>
      </w:r>
      <w:r w:rsidR="00EB45C7" w:rsidRPr="00C57B98">
        <w:rPr>
          <w:rFonts w:cs="Times New Roman"/>
          <w:szCs w:val="24"/>
        </w:rPr>
        <w:t>Krimināllikuma 275.</w:t>
      </w:r>
      <w:r w:rsidR="00A73CF0">
        <w:rPr>
          <w:rFonts w:cs="Times New Roman"/>
          <w:szCs w:val="24"/>
        </w:rPr>
        <w:t> </w:t>
      </w:r>
      <w:r w:rsidR="00EB45C7" w:rsidRPr="00C57B98">
        <w:rPr>
          <w:rFonts w:cs="Times New Roman"/>
          <w:szCs w:val="24"/>
        </w:rPr>
        <w:t>panta otrās daļa</w:t>
      </w:r>
      <w:r w:rsidR="00E31536">
        <w:rPr>
          <w:rFonts w:cs="Times New Roman"/>
          <w:szCs w:val="24"/>
        </w:rPr>
        <w:t>s</w:t>
      </w:r>
      <w:r w:rsidR="00EB45C7" w:rsidRPr="00C57B98">
        <w:rPr>
          <w:rFonts w:cs="Times New Roman"/>
          <w:szCs w:val="24"/>
        </w:rPr>
        <w:t>, kuros izmeklēšanu veic Valsts policijas Rīgas reģiona pārvalde.</w:t>
      </w:r>
    </w:p>
    <w:p w14:paraId="41B9FDC7" w14:textId="77777777" w:rsidR="00A57D0B" w:rsidRDefault="00A57D0B" w:rsidP="00A57D0B">
      <w:pPr>
        <w:spacing w:after="120" w:line="240" w:lineRule="auto"/>
        <w:contextualSpacing/>
        <w:jc w:val="both"/>
        <w:rPr>
          <w:rFonts w:cs="Times New Roman"/>
          <w:szCs w:val="24"/>
        </w:rPr>
      </w:pPr>
    </w:p>
    <w:p w14:paraId="17339FC4" w14:textId="593888EF" w:rsidR="00EB45C7" w:rsidRDefault="00E31536" w:rsidP="00E31536">
      <w:pPr>
        <w:spacing w:after="0" w:line="240" w:lineRule="auto"/>
        <w:contextualSpacing/>
        <w:jc w:val="both"/>
        <w:rPr>
          <w:rFonts w:cs="Times New Roman"/>
          <w:bCs/>
          <w:szCs w:val="24"/>
        </w:rPr>
      </w:pPr>
      <w:r>
        <w:rPr>
          <w:rFonts w:cs="Times New Roman"/>
          <w:b/>
          <w:bCs/>
          <w:szCs w:val="24"/>
        </w:rPr>
        <w:t xml:space="preserve">[8] </w:t>
      </w:r>
      <w:r w:rsidR="00EB45C7" w:rsidRPr="00C57B98">
        <w:rPr>
          <w:rFonts w:cs="Times New Roman"/>
          <w:bCs/>
          <w:szCs w:val="24"/>
        </w:rPr>
        <w:t>Sagatavots pieteikuma projekts iesniegšanai (pieteikuma iesniedzējs – ģenerālprokurors) Vidzemes rajona tiesā par reliģiskās organizācijas “Pirmā Evanģēliskā Jēzus draudze” darbības izbeigšanu. Pēc pieteikuma, kurš pamatots ar konstatētajiem likumpārkāpumiem</w:t>
      </w:r>
      <w:r w:rsidR="00917C9F">
        <w:rPr>
          <w:rFonts w:cs="Times New Roman"/>
          <w:bCs/>
          <w:szCs w:val="24"/>
        </w:rPr>
        <w:t>,</w:t>
      </w:r>
      <w:r w:rsidR="00EB45C7" w:rsidRPr="00C57B98">
        <w:rPr>
          <w:rFonts w:cs="Times New Roman"/>
          <w:bCs/>
          <w:szCs w:val="24"/>
        </w:rPr>
        <w:t xml:space="preserve"> tiesā ierosināta civillieta Nr.</w:t>
      </w:r>
      <w:r w:rsidR="00917C9F">
        <w:rPr>
          <w:rFonts w:cs="Times New Roman"/>
          <w:bCs/>
          <w:szCs w:val="24"/>
        </w:rPr>
        <w:t> </w:t>
      </w:r>
      <w:r w:rsidR="00EB45C7" w:rsidRPr="00C57B98">
        <w:rPr>
          <w:rFonts w:cs="Times New Roman"/>
          <w:bCs/>
          <w:szCs w:val="24"/>
        </w:rPr>
        <w:t>C71196120. Lieta atrodas izskatīšan</w:t>
      </w:r>
      <w:r w:rsidR="00917C9F">
        <w:rPr>
          <w:rFonts w:cs="Times New Roman"/>
          <w:bCs/>
          <w:szCs w:val="24"/>
        </w:rPr>
        <w:t>ā</w:t>
      </w:r>
      <w:r w:rsidR="00EB45C7" w:rsidRPr="00C57B98">
        <w:rPr>
          <w:rFonts w:cs="Times New Roman"/>
          <w:bCs/>
          <w:szCs w:val="24"/>
        </w:rPr>
        <w:t xml:space="preserve"> pirmās instances tiesā.</w:t>
      </w:r>
    </w:p>
    <w:p w14:paraId="68EA1C54" w14:textId="784DA4BE" w:rsidR="00917C9F" w:rsidRDefault="00917C9F" w:rsidP="00827A0C">
      <w:pPr>
        <w:spacing w:before="120" w:after="0" w:line="240" w:lineRule="auto"/>
        <w:contextualSpacing/>
        <w:jc w:val="both"/>
        <w:rPr>
          <w:rFonts w:cs="Times New Roman"/>
          <w:bCs/>
          <w:szCs w:val="24"/>
        </w:rPr>
      </w:pPr>
    </w:p>
    <w:p w14:paraId="2CDB27D3" w14:textId="35D8EB16" w:rsidR="00EB45C7" w:rsidRDefault="00917C9F" w:rsidP="00917C9F">
      <w:pPr>
        <w:spacing w:after="0" w:line="240" w:lineRule="auto"/>
        <w:contextualSpacing/>
        <w:jc w:val="both"/>
        <w:rPr>
          <w:rFonts w:cs="Times New Roman"/>
          <w:noProof/>
          <w:szCs w:val="24"/>
        </w:rPr>
      </w:pPr>
      <w:r>
        <w:rPr>
          <w:rFonts w:cs="Times New Roman"/>
          <w:b/>
          <w:szCs w:val="24"/>
        </w:rPr>
        <w:t xml:space="preserve">[9] </w:t>
      </w:r>
      <w:r w:rsidR="00EB45C7" w:rsidRPr="00C57B98">
        <w:rPr>
          <w:rFonts w:cs="Times New Roman"/>
          <w:szCs w:val="24"/>
        </w:rPr>
        <w:t>Iesniegts prokurora iesniegums, izskatot Ekonomikas ministrijas iesniegumu par iespējamu noziedzīgu nodarījumu, kas paredzēts Krimināllikuma 272.</w:t>
      </w:r>
      <w:r>
        <w:rPr>
          <w:rFonts w:cs="Times New Roman"/>
          <w:szCs w:val="24"/>
        </w:rPr>
        <w:t> </w:t>
      </w:r>
      <w:r w:rsidR="00EB45C7" w:rsidRPr="00C57B98">
        <w:rPr>
          <w:rFonts w:cs="Times New Roman"/>
          <w:szCs w:val="24"/>
        </w:rPr>
        <w:t xml:space="preserve">pantā </w:t>
      </w:r>
      <w:r>
        <w:rPr>
          <w:rFonts w:cs="Times New Roman"/>
          <w:szCs w:val="24"/>
        </w:rPr>
        <w:t>(</w:t>
      </w:r>
      <w:r w:rsidR="00EB45C7" w:rsidRPr="00C57B98">
        <w:rPr>
          <w:rFonts w:cs="Times New Roman"/>
          <w:szCs w:val="24"/>
        </w:rPr>
        <w:t>par apzināti nepatiesu ziņu sniegšanu valsts institūcijai</w:t>
      </w:r>
      <w:r>
        <w:rPr>
          <w:rFonts w:cs="Times New Roman"/>
          <w:szCs w:val="24"/>
        </w:rPr>
        <w:t>)</w:t>
      </w:r>
      <w:r w:rsidR="00EB45C7" w:rsidRPr="00C57B98">
        <w:rPr>
          <w:rFonts w:cs="Times New Roman"/>
          <w:szCs w:val="24"/>
        </w:rPr>
        <w:t>, proti, par Nacionālās drošības likuma 39.</w:t>
      </w:r>
      <w:r>
        <w:rPr>
          <w:rFonts w:cs="Times New Roman"/>
          <w:szCs w:val="24"/>
        </w:rPr>
        <w:t> </w:t>
      </w:r>
      <w:r w:rsidR="00EB45C7" w:rsidRPr="00C57B98">
        <w:rPr>
          <w:rFonts w:cs="Times New Roman"/>
          <w:szCs w:val="24"/>
        </w:rPr>
        <w:t>panta pirmās daļas 4.</w:t>
      </w:r>
      <w:r>
        <w:rPr>
          <w:rFonts w:cs="Times New Roman"/>
          <w:szCs w:val="24"/>
        </w:rPr>
        <w:t> </w:t>
      </w:r>
      <w:r w:rsidR="00EB45C7" w:rsidRPr="00C57B98">
        <w:rPr>
          <w:rFonts w:cs="Times New Roman"/>
          <w:szCs w:val="24"/>
        </w:rPr>
        <w:t>punkta prasību nepildīšanu, kas ierobežo Ekonomikas ministrijas spēju izpildīt tai normatīvajos aktos paredzēto funkciju. Likuma prasības neiev</w:t>
      </w:r>
      <w:r>
        <w:rPr>
          <w:rFonts w:cs="Times New Roman"/>
          <w:szCs w:val="24"/>
        </w:rPr>
        <w:t>ē</w:t>
      </w:r>
      <w:r w:rsidR="00EB45C7" w:rsidRPr="00C57B98">
        <w:rPr>
          <w:rFonts w:cs="Times New Roman"/>
          <w:szCs w:val="24"/>
        </w:rPr>
        <w:t>ro</w:t>
      </w:r>
      <w:r w:rsidR="0030206C">
        <w:rPr>
          <w:rFonts w:cs="Times New Roman"/>
          <w:szCs w:val="24"/>
        </w:rPr>
        <w:t>jošajai</w:t>
      </w:r>
      <w:r w:rsidR="00EB45C7" w:rsidRPr="00C57B98">
        <w:rPr>
          <w:rFonts w:cs="Times New Roman"/>
          <w:szCs w:val="24"/>
        </w:rPr>
        <w:t xml:space="preserve"> akciju sabiedrībai iesniegts prokurora iesniegums, ar kuru uzdots izpildīt Ekonomikas ministrijas informācijas pieprasījumu </w:t>
      </w:r>
      <w:r w:rsidR="00EB45C7" w:rsidRPr="00C57B98">
        <w:rPr>
          <w:rFonts w:cs="Times New Roman"/>
          <w:noProof/>
          <w:szCs w:val="24"/>
        </w:rPr>
        <w:t>un iz</w:t>
      </w:r>
      <w:r w:rsidR="00EB45C7" w:rsidRPr="00C57B98">
        <w:rPr>
          <w:rFonts w:cs="Times New Roman"/>
          <w:szCs w:val="24"/>
        </w:rPr>
        <w:t>sniegt ministrijai tās likumīgi pie</w:t>
      </w:r>
      <w:r w:rsidR="00EB45C7" w:rsidRPr="00C57B98">
        <w:rPr>
          <w:rFonts w:cs="Times New Roman"/>
          <w:noProof/>
          <w:szCs w:val="24"/>
        </w:rPr>
        <w:t xml:space="preserve">prasīto informāciju. Turpinājumā </w:t>
      </w:r>
      <w:r w:rsidR="00EB45C7" w:rsidRPr="00C57B98">
        <w:rPr>
          <w:rFonts w:cs="Times New Roman"/>
          <w:noProof/>
          <w:szCs w:val="24"/>
        </w:rPr>
        <w:lastRenderedPageBreak/>
        <w:t>Ekonomikas ministrija informēja, ka pieprasītā informācija no akciju sabiedrības ir saņemta. Prokurora iesniegumā norādītās prasības izpildītas.</w:t>
      </w:r>
    </w:p>
    <w:p w14:paraId="5DBF76D1" w14:textId="153E293D" w:rsidR="0030206C" w:rsidRDefault="0030206C" w:rsidP="00917C9F">
      <w:pPr>
        <w:spacing w:after="0" w:line="240" w:lineRule="auto"/>
        <w:contextualSpacing/>
        <w:jc w:val="both"/>
        <w:rPr>
          <w:rFonts w:cs="Times New Roman"/>
          <w:noProof/>
          <w:szCs w:val="24"/>
        </w:rPr>
      </w:pPr>
    </w:p>
    <w:p w14:paraId="4A13254B" w14:textId="1C87121A" w:rsidR="00EB45C7" w:rsidRDefault="0030206C" w:rsidP="0030206C">
      <w:pPr>
        <w:spacing w:after="0" w:line="240" w:lineRule="auto"/>
        <w:contextualSpacing/>
        <w:jc w:val="both"/>
        <w:rPr>
          <w:rFonts w:cs="Times New Roman"/>
          <w:szCs w:val="24"/>
        </w:rPr>
      </w:pPr>
      <w:r>
        <w:rPr>
          <w:rFonts w:cs="Times New Roman"/>
          <w:b/>
          <w:bCs/>
          <w:noProof/>
          <w:szCs w:val="24"/>
        </w:rPr>
        <w:t>[10]</w:t>
      </w:r>
      <w:r>
        <w:rPr>
          <w:rFonts w:cs="Times New Roman"/>
          <w:b/>
          <w:bCs/>
          <w:szCs w:val="24"/>
        </w:rPr>
        <w:t xml:space="preserve"> </w:t>
      </w:r>
      <w:r w:rsidR="00EB45C7" w:rsidRPr="00C57B98">
        <w:rPr>
          <w:rFonts w:cs="Times New Roman"/>
          <w:szCs w:val="24"/>
        </w:rPr>
        <w:t>Iesniegts pieteikums tiesā, kurā vienlaikus iekļauts pieteikums par nodibinājuma publiskās darbības aizliegumu līdz galīgā nolēmuma pieņemšanai lietā, par nodibinājuma “Tautas varas fronte” darbības izbeigšanu. Tiesā ierosināta civillieta Nr.</w:t>
      </w:r>
      <w:r>
        <w:rPr>
          <w:rFonts w:cs="Times New Roman"/>
          <w:szCs w:val="24"/>
        </w:rPr>
        <w:t> </w:t>
      </w:r>
      <w:r w:rsidR="00EB45C7" w:rsidRPr="00C57B98">
        <w:rPr>
          <w:rFonts w:cs="Times New Roman"/>
          <w:szCs w:val="24"/>
        </w:rPr>
        <w:t xml:space="preserve">C30805620, </w:t>
      </w:r>
      <w:r>
        <w:rPr>
          <w:rFonts w:cs="Times New Roman"/>
          <w:szCs w:val="24"/>
        </w:rPr>
        <w:t>tā</w:t>
      </w:r>
      <w:r w:rsidR="00EB45C7" w:rsidRPr="00C57B98">
        <w:rPr>
          <w:rFonts w:cs="Times New Roman"/>
          <w:szCs w:val="24"/>
        </w:rPr>
        <w:t xml:space="preserve"> atrodas izskatīšan</w:t>
      </w:r>
      <w:r>
        <w:rPr>
          <w:rFonts w:cs="Times New Roman"/>
          <w:szCs w:val="24"/>
        </w:rPr>
        <w:t xml:space="preserve">ā </w:t>
      </w:r>
      <w:r w:rsidR="00EB45C7" w:rsidRPr="00C57B98">
        <w:rPr>
          <w:rFonts w:cs="Times New Roman"/>
          <w:szCs w:val="24"/>
        </w:rPr>
        <w:t>pirmās instances tiesā. Pieteikums par pagaidu noregulējumu tiesā apmierināts.</w:t>
      </w:r>
    </w:p>
    <w:p w14:paraId="04CE3655" w14:textId="760707E8" w:rsidR="0030206C" w:rsidRDefault="0030206C" w:rsidP="0030206C">
      <w:pPr>
        <w:spacing w:after="0" w:line="240" w:lineRule="auto"/>
        <w:contextualSpacing/>
        <w:jc w:val="both"/>
        <w:rPr>
          <w:rFonts w:cs="Times New Roman"/>
          <w:szCs w:val="24"/>
        </w:rPr>
      </w:pPr>
    </w:p>
    <w:p w14:paraId="4F279509" w14:textId="707AD90D" w:rsidR="00EB45C7" w:rsidRDefault="0030206C" w:rsidP="0030206C">
      <w:pPr>
        <w:spacing w:after="0" w:line="240" w:lineRule="auto"/>
        <w:contextualSpacing/>
        <w:jc w:val="both"/>
        <w:rPr>
          <w:rFonts w:cs="Times New Roman"/>
          <w:szCs w:val="24"/>
        </w:rPr>
      </w:pPr>
      <w:r>
        <w:rPr>
          <w:rFonts w:cs="Times New Roman"/>
          <w:b/>
          <w:bCs/>
          <w:szCs w:val="24"/>
        </w:rPr>
        <w:t xml:space="preserve">[11] </w:t>
      </w:r>
      <w:r w:rsidR="00EB45C7" w:rsidRPr="00C57B98">
        <w:rPr>
          <w:rFonts w:cs="Times New Roman"/>
          <w:szCs w:val="24"/>
        </w:rPr>
        <w:t>Veicot prokurora pārbaudi pēc Dzīvnieku Tiesību Aizsardzības biedrības iesniegtās sūdzības par Ķekavas novadā esošajā nekustamajā īpašumā konstatētu patvaļīgu būvniecību, tika konstatēts, ka būves tiek ekspluatētas bez attiecīgu dokumentu noformēšanas. Konstatēto likumpārkāpumu novēršanai Ķekavas novada būvvaldei iesniegts prokurora iesniegums, uzdodot nodrošināt Būvniecības likuma 18.</w:t>
      </w:r>
      <w:r w:rsidR="003631E3">
        <w:rPr>
          <w:rFonts w:cs="Times New Roman"/>
          <w:szCs w:val="24"/>
        </w:rPr>
        <w:t> </w:t>
      </w:r>
      <w:r w:rsidR="00EB45C7" w:rsidRPr="00C57B98">
        <w:rPr>
          <w:rFonts w:cs="Times New Roman"/>
          <w:szCs w:val="24"/>
        </w:rPr>
        <w:t>panta piekt</w:t>
      </w:r>
      <w:r w:rsidR="003631E3">
        <w:rPr>
          <w:rFonts w:cs="Times New Roman"/>
          <w:szCs w:val="24"/>
        </w:rPr>
        <w:t>ās</w:t>
      </w:r>
      <w:r w:rsidR="00EB45C7" w:rsidRPr="00C57B98">
        <w:rPr>
          <w:rFonts w:cs="Times New Roman"/>
          <w:szCs w:val="24"/>
        </w:rPr>
        <w:t xml:space="preserve"> daļ</w:t>
      </w:r>
      <w:r w:rsidR="003631E3">
        <w:rPr>
          <w:rFonts w:cs="Times New Roman"/>
          <w:szCs w:val="24"/>
        </w:rPr>
        <w:t>as prasību izpildi</w:t>
      </w:r>
      <w:r w:rsidR="00EB45C7" w:rsidRPr="00C57B98">
        <w:rPr>
          <w:rFonts w:cs="Times New Roman"/>
          <w:szCs w:val="24"/>
        </w:rPr>
        <w:t>. Iesniegumā norādītais izpildes termiņš vēl nav iestājies.</w:t>
      </w:r>
    </w:p>
    <w:p w14:paraId="33E5C2C2" w14:textId="106D49D9" w:rsidR="003631E3" w:rsidRDefault="003631E3" w:rsidP="0030206C">
      <w:pPr>
        <w:spacing w:after="0" w:line="240" w:lineRule="auto"/>
        <w:contextualSpacing/>
        <w:jc w:val="both"/>
        <w:rPr>
          <w:rFonts w:cs="Times New Roman"/>
          <w:szCs w:val="24"/>
        </w:rPr>
      </w:pPr>
    </w:p>
    <w:p w14:paraId="155F0228" w14:textId="1FFB99A1" w:rsidR="00EB45C7" w:rsidRPr="003631E3" w:rsidRDefault="003631E3" w:rsidP="003631E3">
      <w:pPr>
        <w:spacing w:after="0" w:line="240" w:lineRule="auto"/>
        <w:contextualSpacing/>
        <w:jc w:val="both"/>
        <w:rPr>
          <w:rFonts w:cs="Times New Roman"/>
          <w:b/>
          <w:bCs/>
          <w:szCs w:val="24"/>
        </w:rPr>
      </w:pPr>
      <w:r>
        <w:rPr>
          <w:rFonts w:cs="Times New Roman"/>
          <w:b/>
          <w:bCs/>
          <w:szCs w:val="24"/>
        </w:rPr>
        <w:t xml:space="preserve">[12] </w:t>
      </w:r>
      <w:r w:rsidR="00EB45C7" w:rsidRPr="00C57B98">
        <w:rPr>
          <w:rFonts w:cs="Times New Roman"/>
          <w:szCs w:val="24"/>
        </w:rPr>
        <w:t>Iesniegts prokurora iesniegums Rīgas domes Satiksmes departamentam par nepieciešamību pārtraukt satiksmes organizācijas tehnisko līdzekļu prettiesisku izvietošanu un pieprasīts novērst šādas darbības sekas (noņemt normatīvajiem aktiem neatbilstoši izvietoto ceļa apzīmējumu), kuru rezultātā personai nelikumīgi piemērots administratīvais sods. Prokurora iesniegumā izteiktās prasības tika izpildītas.</w:t>
      </w:r>
    </w:p>
    <w:p w14:paraId="10A7FF1E" w14:textId="3AFDB654" w:rsidR="001D2DD0" w:rsidRDefault="003631E3" w:rsidP="001D2DD0">
      <w:pPr>
        <w:spacing w:after="0" w:line="240" w:lineRule="auto"/>
        <w:ind w:firstLine="720"/>
        <w:jc w:val="both"/>
        <w:rPr>
          <w:rFonts w:cs="Times New Roman"/>
          <w:szCs w:val="24"/>
        </w:rPr>
      </w:pPr>
      <w:r>
        <w:rPr>
          <w:rFonts w:cs="Times New Roman"/>
          <w:szCs w:val="24"/>
        </w:rPr>
        <w:t>Attiecīgi Rīgas</w:t>
      </w:r>
      <w:r w:rsidR="00EB45C7" w:rsidRPr="00C57B98">
        <w:rPr>
          <w:rFonts w:cs="Times New Roman"/>
          <w:szCs w:val="24"/>
        </w:rPr>
        <w:t xml:space="preserve"> apgabaltiesas Krimināllietu tiesu kolēģijā </w:t>
      </w:r>
      <w:r w:rsidR="001D2DD0">
        <w:rPr>
          <w:rFonts w:cs="Times New Roman"/>
          <w:szCs w:val="24"/>
        </w:rPr>
        <w:t xml:space="preserve">prokurors </w:t>
      </w:r>
      <w:r w:rsidR="00EB45C7" w:rsidRPr="00C57B98">
        <w:rPr>
          <w:rFonts w:cs="Times New Roman"/>
          <w:szCs w:val="24"/>
        </w:rPr>
        <w:t>iesnie</w:t>
      </w:r>
      <w:r w:rsidR="001D2DD0">
        <w:rPr>
          <w:rFonts w:cs="Times New Roman"/>
          <w:szCs w:val="24"/>
        </w:rPr>
        <w:t xml:space="preserve">dza </w:t>
      </w:r>
      <w:r w:rsidR="00EB45C7" w:rsidRPr="00C57B98">
        <w:rPr>
          <w:rFonts w:cs="Times New Roman"/>
          <w:szCs w:val="24"/>
        </w:rPr>
        <w:t>pieteikum</w:t>
      </w:r>
      <w:r w:rsidR="001D2DD0">
        <w:rPr>
          <w:rFonts w:cs="Times New Roman"/>
          <w:szCs w:val="24"/>
        </w:rPr>
        <w:t>u</w:t>
      </w:r>
      <w:r w:rsidR="00EB45C7" w:rsidRPr="00C57B98">
        <w:rPr>
          <w:rFonts w:cs="Times New Roman"/>
          <w:szCs w:val="24"/>
        </w:rPr>
        <w:t xml:space="preserve"> par administratīvā pārkāpuma lietas atjaunošanu sakarā ar jaunatklātiem apstākļiem. </w:t>
      </w:r>
      <w:bookmarkStart w:id="59" w:name="_Hlk61275863"/>
      <w:r w:rsidR="00EB45C7" w:rsidRPr="00C57B98">
        <w:rPr>
          <w:rFonts w:cs="Times New Roman"/>
          <w:szCs w:val="24"/>
        </w:rPr>
        <w:t>Pieteikumā tika lūgts atcelt apstrīdētos nolēmumus, norādot, ka administratīvi sodītā persona nav izdarījusi administratīvo pārkāpumu.</w:t>
      </w:r>
      <w:bookmarkEnd w:id="59"/>
      <w:r w:rsidR="00EB45C7" w:rsidRPr="00C57B98">
        <w:rPr>
          <w:rFonts w:cs="Times New Roman"/>
          <w:szCs w:val="24"/>
        </w:rPr>
        <w:t xml:space="preserve"> Ar Rīgas apgabaltiesas Krimināllietu tiesas kolēģijas 2020.</w:t>
      </w:r>
      <w:r w:rsidR="001D2DD0">
        <w:rPr>
          <w:rFonts w:cs="Times New Roman"/>
          <w:szCs w:val="24"/>
        </w:rPr>
        <w:t> </w:t>
      </w:r>
      <w:r w:rsidR="00EB45C7" w:rsidRPr="00C57B98">
        <w:rPr>
          <w:rFonts w:cs="Times New Roman"/>
          <w:szCs w:val="24"/>
        </w:rPr>
        <w:t>gada 30.</w:t>
      </w:r>
      <w:r w:rsidR="001D2DD0">
        <w:rPr>
          <w:rFonts w:cs="Times New Roman"/>
          <w:szCs w:val="24"/>
        </w:rPr>
        <w:t> </w:t>
      </w:r>
      <w:r w:rsidR="00EB45C7" w:rsidRPr="00C57B98">
        <w:rPr>
          <w:rFonts w:cs="Times New Roman"/>
          <w:szCs w:val="24"/>
        </w:rPr>
        <w:t>jūnija lēmumu administratīvā pārkāpuma lietā Nr.</w:t>
      </w:r>
      <w:r w:rsidR="001D2DD0">
        <w:rPr>
          <w:rFonts w:cs="Times New Roman"/>
          <w:szCs w:val="24"/>
        </w:rPr>
        <w:t> </w:t>
      </w:r>
      <w:r w:rsidR="00EB45C7" w:rsidRPr="00C57B98">
        <w:rPr>
          <w:rFonts w:cs="Times New Roman"/>
          <w:szCs w:val="24"/>
        </w:rPr>
        <w:t>1A30037119</w:t>
      </w:r>
      <w:r w:rsidR="001D2DD0">
        <w:rPr>
          <w:rFonts w:cs="Times New Roman"/>
          <w:szCs w:val="24"/>
        </w:rPr>
        <w:t xml:space="preserve"> </w:t>
      </w:r>
      <w:r w:rsidR="00EB45C7" w:rsidRPr="00C57B98">
        <w:rPr>
          <w:rFonts w:cs="Times New Roman"/>
          <w:szCs w:val="24"/>
        </w:rPr>
        <w:t xml:space="preserve">prokurora pieteikums </w:t>
      </w:r>
      <w:r w:rsidR="001D2DD0">
        <w:rPr>
          <w:rFonts w:cs="Times New Roman"/>
          <w:szCs w:val="24"/>
        </w:rPr>
        <w:t xml:space="preserve">apmierināts </w:t>
      </w:r>
      <w:r w:rsidR="00EB45C7" w:rsidRPr="00C57B98">
        <w:rPr>
          <w:rFonts w:cs="Times New Roman"/>
          <w:szCs w:val="24"/>
        </w:rPr>
        <w:t>un apstrīdētie nolēmumi pilnībā atcelti, tajā skaitā arī  personai nepamatoti uzliktais administratīvais naudas sods.</w:t>
      </w:r>
      <w:bookmarkStart w:id="60" w:name="_Hlk60849226"/>
    </w:p>
    <w:p w14:paraId="324887C3" w14:textId="186D1B86" w:rsidR="001D2DD0" w:rsidRDefault="001D2DD0" w:rsidP="001D2DD0">
      <w:pPr>
        <w:spacing w:after="0" w:line="240" w:lineRule="auto"/>
        <w:jc w:val="both"/>
        <w:rPr>
          <w:rFonts w:cs="Times New Roman"/>
          <w:szCs w:val="24"/>
        </w:rPr>
      </w:pPr>
    </w:p>
    <w:p w14:paraId="41B241CB" w14:textId="424A23DB" w:rsidR="00EB45C7" w:rsidRDefault="001D2DD0" w:rsidP="001D2DD0">
      <w:pPr>
        <w:spacing w:after="0" w:line="240" w:lineRule="auto"/>
        <w:jc w:val="both"/>
        <w:rPr>
          <w:rFonts w:cs="Times New Roman"/>
          <w:szCs w:val="24"/>
        </w:rPr>
      </w:pPr>
      <w:r>
        <w:rPr>
          <w:rFonts w:cs="Times New Roman"/>
          <w:b/>
          <w:bCs/>
          <w:szCs w:val="24"/>
        </w:rPr>
        <w:t xml:space="preserve">[13] </w:t>
      </w:r>
      <w:r w:rsidR="00EB45C7" w:rsidRPr="00C57B98">
        <w:rPr>
          <w:rFonts w:cs="Times New Roman"/>
          <w:szCs w:val="24"/>
        </w:rPr>
        <w:t xml:space="preserve">Rīgas </w:t>
      </w:r>
      <w:r>
        <w:rPr>
          <w:rFonts w:cs="Times New Roman"/>
          <w:szCs w:val="24"/>
        </w:rPr>
        <w:t xml:space="preserve">pilsētas </w:t>
      </w:r>
      <w:r w:rsidR="00EB45C7" w:rsidRPr="00C57B98">
        <w:rPr>
          <w:rFonts w:cs="Times New Roman"/>
          <w:szCs w:val="24"/>
        </w:rPr>
        <w:t>Vidzemes priekšpilsētas tiesā iesniegta un uzturēta prasība civillietā Nr.</w:t>
      </w:r>
      <w:r w:rsidR="00F047E3">
        <w:rPr>
          <w:rFonts w:cs="Times New Roman"/>
          <w:szCs w:val="24"/>
        </w:rPr>
        <w:t> </w:t>
      </w:r>
      <w:r w:rsidR="00EB45C7" w:rsidRPr="00C57B98">
        <w:rPr>
          <w:rFonts w:cs="Times New Roman"/>
          <w:szCs w:val="24"/>
        </w:rPr>
        <w:t>C30856419 par nodibinājuma “Rīgas uzņēmējdarbības tehniskās skolas atbalsta fonds” darbības izbeigšanu. Prasība</w:t>
      </w:r>
      <w:r w:rsidR="00F047E3">
        <w:rPr>
          <w:rFonts w:cs="Times New Roman"/>
          <w:szCs w:val="24"/>
        </w:rPr>
        <w:t xml:space="preserve"> tika </w:t>
      </w:r>
      <w:r w:rsidR="00EB45C7" w:rsidRPr="00C57B98">
        <w:rPr>
          <w:rFonts w:cs="Times New Roman"/>
          <w:szCs w:val="24"/>
        </w:rPr>
        <w:t>celta Civilprocesa likuma 90.</w:t>
      </w:r>
      <w:r w:rsidR="00F047E3">
        <w:rPr>
          <w:rFonts w:cs="Times New Roman"/>
          <w:szCs w:val="24"/>
        </w:rPr>
        <w:t> </w:t>
      </w:r>
      <w:r w:rsidR="00EB45C7" w:rsidRPr="00C57B98">
        <w:rPr>
          <w:rFonts w:cs="Times New Roman"/>
          <w:szCs w:val="24"/>
        </w:rPr>
        <w:t>panta otrās daļas 3.</w:t>
      </w:r>
      <w:r w:rsidR="00F047E3">
        <w:rPr>
          <w:rFonts w:cs="Times New Roman"/>
          <w:szCs w:val="24"/>
        </w:rPr>
        <w:t> </w:t>
      </w:r>
      <w:r w:rsidR="00EB45C7" w:rsidRPr="00C57B98">
        <w:rPr>
          <w:rFonts w:cs="Times New Roman"/>
          <w:szCs w:val="24"/>
        </w:rPr>
        <w:t>punkta kārtībā</w:t>
      </w:r>
      <w:r w:rsidR="00F047E3">
        <w:rPr>
          <w:rFonts w:cs="Times New Roman"/>
          <w:szCs w:val="24"/>
        </w:rPr>
        <w:t xml:space="preserve"> </w:t>
      </w:r>
      <w:r w:rsidR="00EB45C7" w:rsidRPr="00C57B98">
        <w:rPr>
          <w:rFonts w:cs="Times New Roman"/>
          <w:szCs w:val="24"/>
        </w:rPr>
        <w:t xml:space="preserve">saistībā ar nodibinājuma darbību, kas </w:t>
      </w:r>
      <w:bookmarkEnd w:id="60"/>
      <w:r w:rsidR="00EB45C7" w:rsidRPr="00C57B98">
        <w:rPr>
          <w:rFonts w:cs="Times New Roman"/>
          <w:szCs w:val="24"/>
        </w:rPr>
        <w:t>ir pretrunā Biedrību un nodibinājumu likuma 5.</w:t>
      </w:r>
      <w:r w:rsidR="00F047E3">
        <w:rPr>
          <w:rFonts w:cs="Times New Roman"/>
          <w:szCs w:val="24"/>
        </w:rPr>
        <w:t> </w:t>
      </w:r>
      <w:r w:rsidR="00EB45C7" w:rsidRPr="00C57B98">
        <w:rPr>
          <w:rFonts w:cs="Times New Roman"/>
          <w:szCs w:val="24"/>
        </w:rPr>
        <w:t xml:space="preserve">panta pirmās daļas noteikumiem un kura pēc prokurora rakstveida iesnieguma saņemšanas noteiktajā termiņā pārkāpumus nenovērsa. Ar Rīgas </w:t>
      </w:r>
      <w:r w:rsidR="00F047E3">
        <w:rPr>
          <w:rFonts w:cs="Times New Roman"/>
          <w:szCs w:val="24"/>
        </w:rPr>
        <w:t xml:space="preserve">pilsētas </w:t>
      </w:r>
      <w:r w:rsidR="00EB45C7" w:rsidRPr="00C57B98">
        <w:rPr>
          <w:rFonts w:cs="Times New Roman"/>
          <w:szCs w:val="24"/>
        </w:rPr>
        <w:t>Vidzemes priekšpilsētas tiesas 2020.</w:t>
      </w:r>
      <w:r w:rsidR="00F047E3">
        <w:rPr>
          <w:rFonts w:cs="Times New Roman"/>
          <w:szCs w:val="24"/>
        </w:rPr>
        <w:t> </w:t>
      </w:r>
      <w:r w:rsidR="00EB45C7" w:rsidRPr="00C57B98">
        <w:rPr>
          <w:rFonts w:cs="Times New Roman"/>
          <w:szCs w:val="24"/>
        </w:rPr>
        <w:t>gada 25.</w:t>
      </w:r>
      <w:r w:rsidR="00F047E3">
        <w:rPr>
          <w:rFonts w:cs="Times New Roman"/>
          <w:szCs w:val="24"/>
        </w:rPr>
        <w:t> </w:t>
      </w:r>
      <w:r w:rsidR="00EB45C7" w:rsidRPr="00C57B98">
        <w:rPr>
          <w:rFonts w:cs="Times New Roman"/>
          <w:szCs w:val="24"/>
        </w:rPr>
        <w:t>maija spriedumu prasība pilnībā apmierināta</w:t>
      </w:r>
      <w:bookmarkStart w:id="61" w:name="_Hlk61268020"/>
      <w:r w:rsidR="00EB45C7" w:rsidRPr="00C57B98">
        <w:rPr>
          <w:rFonts w:cs="Times New Roman"/>
          <w:szCs w:val="24"/>
        </w:rPr>
        <w:t>.</w:t>
      </w:r>
      <w:bookmarkEnd w:id="61"/>
    </w:p>
    <w:p w14:paraId="314E5789" w14:textId="2580E77B" w:rsidR="00F047E3" w:rsidRDefault="00F047E3" w:rsidP="001D2DD0">
      <w:pPr>
        <w:spacing w:after="0" w:line="240" w:lineRule="auto"/>
        <w:jc w:val="both"/>
        <w:rPr>
          <w:rFonts w:cs="Times New Roman"/>
          <w:szCs w:val="24"/>
        </w:rPr>
      </w:pPr>
    </w:p>
    <w:p w14:paraId="141405C7" w14:textId="498E04DF" w:rsidR="00EB45C7" w:rsidRDefault="00F047E3" w:rsidP="00F047E3">
      <w:pPr>
        <w:spacing w:after="0" w:line="240" w:lineRule="auto"/>
        <w:jc w:val="both"/>
        <w:rPr>
          <w:rFonts w:cs="Times New Roman"/>
          <w:szCs w:val="24"/>
        </w:rPr>
      </w:pPr>
      <w:r>
        <w:rPr>
          <w:rFonts w:cs="Times New Roman"/>
          <w:b/>
          <w:bCs/>
          <w:szCs w:val="24"/>
        </w:rPr>
        <w:t xml:space="preserve">[14] </w:t>
      </w:r>
      <w:r w:rsidR="00EB45C7" w:rsidRPr="00C57B98">
        <w:rPr>
          <w:rFonts w:cs="Times New Roman"/>
          <w:szCs w:val="24"/>
        </w:rPr>
        <w:t>Departamenta prokurors</w:t>
      </w:r>
      <w:r>
        <w:rPr>
          <w:rFonts w:cs="Times New Roman"/>
          <w:szCs w:val="24"/>
        </w:rPr>
        <w:t xml:space="preserve"> </w:t>
      </w:r>
      <w:r w:rsidR="00EB45C7" w:rsidRPr="00C57B98">
        <w:rPr>
          <w:rFonts w:cs="Times New Roman"/>
          <w:szCs w:val="24"/>
        </w:rPr>
        <w:t>piedalījies visās tiesu instancēs</w:t>
      </w:r>
      <w:r w:rsidR="007173CC">
        <w:rPr>
          <w:rFonts w:cs="Times New Roman"/>
          <w:szCs w:val="24"/>
        </w:rPr>
        <w:t xml:space="preserve"> </w:t>
      </w:r>
      <w:r w:rsidR="007173CC" w:rsidRPr="00C57B98">
        <w:rPr>
          <w:rFonts w:cs="Times New Roman"/>
          <w:szCs w:val="24"/>
        </w:rPr>
        <w:t>kā</w:t>
      </w:r>
      <w:r w:rsidR="007173CC">
        <w:rPr>
          <w:rFonts w:cs="Times New Roman"/>
          <w:szCs w:val="24"/>
        </w:rPr>
        <w:t xml:space="preserve"> </w:t>
      </w:r>
      <w:r w:rsidR="007173CC" w:rsidRPr="00C57B98">
        <w:rPr>
          <w:rFonts w:cs="Times New Roman"/>
          <w:szCs w:val="24"/>
        </w:rPr>
        <w:t xml:space="preserve">atbildētājas </w:t>
      </w:r>
      <w:r w:rsidR="007173CC">
        <w:rPr>
          <w:rFonts w:cs="Times New Roman"/>
          <w:szCs w:val="24"/>
        </w:rPr>
        <w:t xml:space="preserve">– prokuratūras – </w:t>
      </w:r>
      <w:r w:rsidR="007173CC" w:rsidRPr="00C57B98">
        <w:rPr>
          <w:rFonts w:cs="Times New Roman"/>
          <w:szCs w:val="24"/>
        </w:rPr>
        <w:t xml:space="preserve">pārstāvis </w:t>
      </w:r>
      <w:r w:rsidR="007173CC">
        <w:rPr>
          <w:rFonts w:cs="Times New Roman"/>
          <w:szCs w:val="24"/>
        </w:rPr>
        <w:t xml:space="preserve">lietā </w:t>
      </w:r>
      <w:r w:rsidR="00EB45C7" w:rsidRPr="00C57B98">
        <w:rPr>
          <w:rFonts w:cs="Times New Roman"/>
          <w:szCs w:val="24"/>
        </w:rPr>
        <w:t>par prokurora atbrīvošanu no ieņemamā amata un amata attiecību izbeigšanu saistībā ar nevainojamas reputācijas zudumu, kas saistīts ar to, ka prokurors, atrodoties transporta līdzeklī kopā ar savu dzīvesbiedru, pēc notikušā ceļu satiksmes negadījuma neveicināja patiesības noskaidrošanu un vainīgo personu saukšanu pie likumā noteiktās atbildības, par ko arī plaši tika atspoguļots masu informācijas līdzekļos. 2020.</w:t>
      </w:r>
      <w:r w:rsidR="007173CC">
        <w:rPr>
          <w:rFonts w:cs="Times New Roman"/>
          <w:szCs w:val="24"/>
        </w:rPr>
        <w:t> </w:t>
      </w:r>
      <w:r w:rsidR="00EB45C7" w:rsidRPr="00C57B98">
        <w:rPr>
          <w:rFonts w:cs="Times New Roman"/>
          <w:szCs w:val="24"/>
        </w:rPr>
        <w:t>gada 30.</w:t>
      </w:r>
      <w:r w:rsidR="007173CC">
        <w:rPr>
          <w:rFonts w:cs="Times New Roman"/>
          <w:szCs w:val="24"/>
        </w:rPr>
        <w:t> </w:t>
      </w:r>
      <w:r w:rsidR="00EB45C7" w:rsidRPr="00C57B98">
        <w:rPr>
          <w:rFonts w:cs="Times New Roman"/>
          <w:szCs w:val="24"/>
        </w:rPr>
        <w:t>oktobrī Senāt</w:t>
      </w:r>
      <w:r w:rsidR="00597EB8">
        <w:rPr>
          <w:rFonts w:cs="Times New Roman"/>
          <w:szCs w:val="24"/>
        </w:rPr>
        <w:t>a</w:t>
      </w:r>
      <w:r w:rsidR="00EB45C7" w:rsidRPr="00C57B98">
        <w:rPr>
          <w:rFonts w:cs="Times New Roman"/>
          <w:szCs w:val="24"/>
        </w:rPr>
        <w:t xml:space="preserve"> </w:t>
      </w:r>
      <w:r w:rsidR="00597EB8" w:rsidRPr="00C57B98">
        <w:rPr>
          <w:rFonts w:cs="Times New Roman"/>
          <w:szCs w:val="24"/>
        </w:rPr>
        <w:t>Administratīvo lietu departament</w:t>
      </w:r>
      <w:r w:rsidR="00597EB8">
        <w:rPr>
          <w:rFonts w:cs="Times New Roman"/>
          <w:szCs w:val="24"/>
        </w:rPr>
        <w:t>s</w:t>
      </w:r>
      <w:r w:rsidR="00597EB8" w:rsidRPr="00C57B98">
        <w:rPr>
          <w:rFonts w:cs="Times New Roman"/>
          <w:szCs w:val="24"/>
        </w:rPr>
        <w:t xml:space="preserve"> </w:t>
      </w:r>
      <w:r w:rsidR="00EB45C7" w:rsidRPr="00C57B98">
        <w:rPr>
          <w:rFonts w:cs="Times New Roman"/>
          <w:szCs w:val="24"/>
        </w:rPr>
        <w:t>lietā Nr.</w:t>
      </w:r>
      <w:r w:rsidR="007173CC">
        <w:rPr>
          <w:rFonts w:cs="Times New Roman"/>
          <w:szCs w:val="24"/>
        </w:rPr>
        <w:t> </w:t>
      </w:r>
      <w:r w:rsidR="00EB45C7" w:rsidRPr="00C57B98">
        <w:rPr>
          <w:rFonts w:cs="Times New Roman"/>
          <w:szCs w:val="24"/>
        </w:rPr>
        <w:t>A420237517 taisīja galīgo spriedumu</w:t>
      </w:r>
      <w:r w:rsidR="00AB3B23">
        <w:rPr>
          <w:rFonts w:cs="Times New Roman"/>
          <w:szCs w:val="24"/>
        </w:rPr>
        <w:t xml:space="preserve">, bijušās </w:t>
      </w:r>
      <w:r w:rsidR="00EB45C7" w:rsidRPr="00C57B98">
        <w:rPr>
          <w:rFonts w:cs="Times New Roman"/>
          <w:szCs w:val="24"/>
        </w:rPr>
        <w:t xml:space="preserve">prokurores </w:t>
      </w:r>
      <w:r w:rsidR="00AB3B23">
        <w:rPr>
          <w:rFonts w:cs="Times New Roman"/>
          <w:szCs w:val="24"/>
        </w:rPr>
        <w:t xml:space="preserve">kasācijas </w:t>
      </w:r>
      <w:r w:rsidR="00EB45C7" w:rsidRPr="00C57B98">
        <w:rPr>
          <w:rFonts w:cs="Times New Roman"/>
          <w:szCs w:val="24"/>
        </w:rPr>
        <w:t>sūdzīb</w:t>
      </w:r>
      <w:r w:rsidR="00AB3B23">
        <w:rPr>
          <w:rFonts w:cs="Times New Roman"/>
          <w:szCs w:val="24"/>
        </w:rPr>
        <w:t xml:space="preserve">u </w:t>
      </w:r>
      <w:r w:rsidR="00EB45C7" w:rsidRPr="00C57B98">
        <w:rPr>
          <w:rFonts w:cs="Times New Roman"/>
          <w:szCs w:val="24"/>
        </w:rPr>
        <w:t>pilnībā noraidot un prokuratūras pieņemto lēmumu atzīstot par pamatotu un likuma prasībām atbilstošu.</w:t>
      </w:r>
    </w:p>
    <w:p w14:paraId="76D7E487" w14:textId="5367044E" w:rsidR="00AB3B23" w:rsidRDefault="00AB3B23" w:rsidP="00F047E3">
      <w:pPr>
        <w:spacing w:after="0" w:line="240" w:lineRule="auto"/>
        <w:jc w:val="both"/>
        <w:rPr>
          <w:rFonts w:cs="Times New Roman"/>
          <w:szCs w:val="24"/>
        </w:rPr>
      </w:pPr>
    </w:p>
    <w:p w14:paraId="139AA903" w14:textId="6BE31906" w:rsidR="00EB45C7" w:rsidRDefault="00AB3B23" w:rsidP="00AB3B23">
      <w:pPr>
        <w:spacing w:after="0" w:line="240" w:lineRule="auto"/>
        <w:jc w:val="both"/>
        <w:rPr>
          <w:rFonts w:cs="Times New Roman"/>
          <w:szCs w:val="24"/>
        </w:rPr>
      </w:pPr>
      <w:r>
        <w:rPr>
          <w:rFonts w:cs="Times New Roman"/>
          <w:b/>
          <w:bCs/>
          <w:szCs w:val="24"/>
        </w:rPr>
        <w:t>[15]</w:t>
      </w:r>
      <w:bookmarkStart w:id="62" w:name="_Hlk60849675"/>
      <w:r>
        <w:rPr>
          <w:rFonts w:cs="Times New Roman"/>
          <w:b/>
          <w:bCs/>
          <w:szCs w:val="24"/>
        </w:rPr>
        <w:t xml:space="preserve"> </w:t>
      </w:r>
      <w:r w:rsidR="00EB45C7" w:rsidRPr="00C57B98">
        <w:rPr>
          <w:rFonts w:cs="Times New Roman"/>
          <w:szCs w:val="24"/>
        </w:rPr>
        <w:t>Veicot prokurora pārbaudi</w:t>
      </w:r>
      <w:r w:rsidR="00E24967">
        <w:rPr>
          <w:rFonts w:cs="Times New Roman"/>
          <w:szCs w:val="24"/>
        </w:rPr>
        <w:t>,</w:t>
      </w:r>
      <w:r w:rsidR="00EB45C7" w:rsidRPr="00C57B98">
        <w:rPr>
          <w:rFonts w:cs="Times New Roman"/>
          <w:szCs w:val="24"/>
        </w:rPr>
        <w:t xml:space="preserve"> tika konstatēts, ka biedrības “Sabiedrībai.eu” darbība neatbilst vairāk</w:t>
      </w:r>
      <w:r w:rsidR="00E24967">
        <w:rPr>
          <w:rFonts w:cs="Times New Roman"/>
          <w:szCs w:val="24"/>
        </w:rPr>
        <w:t>u</w:t>
      </w:r>
      <w:r w:rsidR="00EB45C7" w:rsidRPr="00C57B98">
        <w:rPr>
          <w:rFonts w:cs="Times New Roman"/>
          <w:szCs w:val="24"/>
        </w:rPr>
        <w:t xml:space="preserve"> normatīvo aktu prasībām</w:t>
      </w:r>
      <w:r w:rsidR="00E24967">
        <w:rPr>
          <w:rFonts w:cs="Times New Roman"/>
          <w:szCs w:val="24"/>
        </w:rPr>
        <w:t>,</w:t>
      </w:r>
      <w:r w:rsidR="00EB45C7" w:rsidRPr="00C57B98">
        <w:rPr>
          <w:rFonts w:cs="Times New Roman"/>
          <w:szCs w:val="24"/>
        </w:rPr>
        <w:t xml:space="preserve"> t</w:t>
      </w:r>
      <w:r w:rsidR="00E24967">
        <w:rPr>
          <w:rFonts w:cs="Times New Roman"/>
          <w:szCs w:val="24"/>
        </w:rPr>
        <w:t>ai skaitā</w:t>
      </w:r>
      <w:r w:rsidR="00EB45C7" w:rsidRPr="00C57B98">
        <w:rPr>
          <w:rFonts w:cs="Times New Roman"/>
          <w:szCs w:val="24"/>
        </w:rPr>
        <w:t xml:space="preserve"> juridiskajā adresē </w:t>
      </w:r>
      <w:r w:rsidR="00E24967">
        <w:rPr>
          <w:rFonts w:cs="Times New Roman"/>
          <w:szCs w:val="24"/>
        </w:rPr>
        <w:t xml:space="preserve">tā </w:t>
      </w:r>
      <w:r w:rsidR="00EB45C7" w:rsidRPr="00C57B98">
        <w:rPr>
          <w:rFonts w:cs="Times New Roman"/>
          <w:szCs w:val="24"/>
        </w:rPr>
        <w:t>nav sasniedzama. Pēc prokurora iesniegum</w:t>
      </w:r>
      <w:r w:rsidR="00E24967">
        <w:rPr>
          <w:rFonts w:cs="Times New Roman"/>
          <w:szCs w:val="24"/>
        </w:rPr>
        <w:t xml:space="preserve">ā </w:t>
      </w:r>
      <w:r w:rsidR="00EB45C7" w:rsidRPr="00C57B98">
        <w:rPr>
          <w:rFonts w:cs="Times New Roman"/>
          <w:szCs w:val="24"/>
        </w:rPr>
        <w:t xml:space="preserve">minēto prasību neizpildīšanas </w:t>
      </w:r>
      <w:r w:rsidR="00E24967">
        <w:rPr>
          <w:rFonts w:cs="Times New Roman"/>
          <w:szCs w:val="24"/>
        </w:rPr>
        <w:t xml:space="preserve">tika </w:t>
      </w:r>
      <w:r w:rsidR="00EB45C7" w:rsidRPr="00C57B98">
        <w:rPr>
          <w:rFonts w:cs="Times New Roman"/>
          <w:szCs w:val="24"/>
        </w:rPr>
        <w:t>iesniegta prasība Rīgas pilsētas Pārdaugavas tiesā, kurā ierosināta civillieta Nr.</w:t>
      </w:r>
      <w:r w:rsidR="00E24967">
        <w:rPr>
          <w:rFonts w:cs="Times New Roman"/>
          <w:szCs w:val="24"/>
        </w:rPr>
        <w:t> </w:t>
      </w:r>
      <w:r w:rsidR="00EB45C7" w:rsidRPr="00C57B98">
        <w:rPr>
          <w:rFonts w:cs="Times New Roman"/>
          <w:szCs w:val="24"/>
        </w:rPr>
        <w:t>C68510819 par biedrības darbības izbeigšanu. Ar Rīgas pilsētas Pārdaugavas tiesas 2020.</w:t>
      </w:r>
      <w:r w:rsidR="00E24967">
        <w:rPr>
          <w:rFonts w:cs="Times New Roman"/>
          <w:szCs w:val="24"/>
        </w:rPr>
        <w:t> </w:t>
      </w:r>
      <w:r w:rsidR="00EB45C7" w:rsidRPr="00C57B98">
        <w:rPr>
          <w:rFonts w:cs="Times New Roman"/>
          <w:szCs w:val="24"/>
        </w:rPr>
        <w:t>gada 27.</w:t>
      </w:r>
      <w:r w:rsidR="00E24967">
        <w:rPr>
          <w:rFonts w:cs="Times New Roman"/>
          <w:szCs w:val="24"/>
        </w:rPr>
        <w:t> </w:t>
      </w:r>
      <w:r w:rsidR="00EB45C7" w:rsidRPr="00C57B98">
        <w:rPr>
          <w:rFonts w:cs="Times New Roman"/>
          <w:szCs w:val="24"/>
        </w:rPr>
        <w:t>maija spriedumu prokurora prasība pilnībā apmierināta.</w:t>
      </w:r>
      <w:bookmarkEnd w:id="62"/>
    </w:p>
    <w:p w14:paraId="0243EC7A" w14:textId="02D3AA03" w:rsidR="00E24967" w:rsidRDefault="00E24967" w:rsidP="00AB3B23">
      <w:pPr>
        <w:spacing w:after="0" w:line="240" w:lineRule="auto"/>
        <w:jc w:val="both"/>
        <w:rPr>
          <w:rFonts w:cs="Times New Roman"/>
          <w:szCs w:val="24"/>
        </w:rPr>
      </w:pPr>
    </w:p>
    <w:p w14:paraId="0E30FACC" w14:textId="594282B7" w:rsidR="00EB45C7" w:rsidRDefault="00E24967" w:rsidP="00C83E9C">
      <w:pPr>
        <w:spacing w:after="0" w:line="240" w:lineRule="auto"/>
        <w:jc w:val="both"/>
        <w:rPr>
          <w:rFonts w:cs="Times New Roman"/>
          <w:szCs w:val="24"/>
        </w:rPr>
      </w:pPr>
      <w:r>
        <w:rPr>
          <w:rFonts w:cs="Times New Roman"/>
          <w:b/>
          <w:bCs/>
          <w:szCs w:val="24"/>
        </w:rPr>
        <w:t>[16]</w:t>
      </w:r>
      <w:r w:rsidR="00C83E9C">
        <w:rPr>
          <w:rFonts w:cs="Times New Roman"/>
          <w:b/>
          <w:bCs/>
          <w:szCs w:val="24"/>
        </w:rPr>
        <w:t xml:space="preserve"> </w:t>
      </w:r>
      <w:r w:rsidR="00EB45C7" w:rsidRPr="00C57B98">
        <w:rPr>
          <w:rFonts w:cs="Times New Roman"/>
          <w:szCs w:val="24"/>
        </w:rPr>
        <w:t>Valsts kontroles finanšu revīzijas laikā tika konstatēti fakti, kuri norādīja uz iespējama noziedzīga nodarījuma izdarīšanu Dagdas novada pašvaldības Andzeļu pagasta pārvaldē saistībā ar atradnē „Mihalini II” esošo pazemes aktīvu – smilts 11</w:t>
      </w:r>
      <w:r w:rsidR="009F420A">
        <w:rPr>
          <w:rFonts w:cs="Times New Roman"/>
          <w:szCs w:val="24"/>
        </w:rPr>
        <w:t> </w:t>
      </w:r>
      <w:r w:rsidR="00EB45C7" w:rsidRPr="00C57B98">
        <w:rPr>
          <w:rFonts w:cs="Times New Roman"/>
          <w:szCs w:val="24"/>
        </w:rPr>
        <w:t>729</w:t>
      </w:r>
      <w:r w:rsidR="009F420A">
        <w:rPr>
          <w:rFonts w:cs="Times New Roman"/>
          <w:szCs w:val="24"/>
        </w:rPr>
        <w:t> </w:t>
      </w:r>
      <w:r w:rsidR="00EB45C7" w:rsidRPr="00C57B98">
        <w:rPr>
          <w:rFonts w:cs="Times New Roman"/>
          <w:szCs w:val="24"/>
        </w:rPr>
        <w:t>EUR vērtībā atsavināšanu bez maksas kādai sabiedrībai ar ierobežotu atbildību</w:t>
      </w:r>
      <w:r w:rsidR="00C83E9C">
        <w:rPr>
          <w:rFonts w:cs="Times New Roman"/>
          <w:szCs w:val="24"/>
        </w:rPr>
        <w:t>,</w:t>
      </w:r>
      <w:r w:rsidR="00EB45C7" w:rsidRPr="00C57B98">
        <w:rPr>
          <w:rFonts w:cs="Times New Roman"/>
          <w:szCs w:val="24"/>
        </w:rPr>
        <w:t xml:space="preserve"> t.i., to dāvināšanu, kas saskaņā ar Publiskas personas finanšu līdzekļu un mantas izšķērdēšanas likuma 7.</w:t>
      </w:r>
      <w:r w:rsidR="00C83E9C">
        <w:rPr>
          <w:rFonts w:cs="Times New Roman"/>
          <w:szCs w:val="24"/>
        </w:rPr>
        <w:t> </w:t>
      </w:r>
      <w:r w:rsidR="00EB45C7" w:rsidRPr="00C57B98">
        <w:rPr>
          <w:rFonts w:cs="Times New Roman"/>
          <w:szCs w:val="24"/>
        </w:rPr>
        <w:t>panta pirmo daļu ir aizliegta. Valsts policijas Latgales reģiona pārvaldē tika uzsākts kriminālprocess Nr.</w:t>
      </w:r>
      <w:r w:rsidR="00C83E9C">
        <w:rPr>
          <w:rFonts w:cs="Times New Roman"/>
          <w:szCs w:val="24"/>
        </w:rPr>
        <w:t> </w:t>
      </w:r>
      <w:r w:rsidR="00EB45C7" w:rsidRPr="00C57B98">
        <w:rPr>
          <w:rFonts w:cs="Times New Roman"/>
          <w:szCs w:val="24"/>
        </w:rPr>
        <w:t>11240012816, kurš tika izbeigts saistībā ar Krimināllikuma 319.</w:t>
      </w:r>
      <w:r w:rsidR="00C83E9C">
        <w:rPr>
          <w:rFonts w:cs="Times New Roman"/>
          <w:szCs w:val="24"/>
        </w:rPr>
        <w:t> </w:t>
      </w:r>
      <w:r w:rsidR="00EB45C7" w:rsidRPr="00C57B98">
        <w:rPr>
          <w:rFonts w:cs="Times New Roman"/>
          <w:szCs w:val="24"/>
        </w:rPr>
        <w:t>pantā paredzētā noziedzīgā nodarījuma noilguma iestāšanos. Valsts kontrole lūdza Krāslavas rajona prokuratūru izvērtēt nepieciešamību novērst radušos kaitējumu. Krāslavas prokuratūrā tika atzīts, ka nav pamata vērsties tiesā zaudējumu piedziņai civiltiesisk</w:t>
      </w:r>
      <w:r w:rsidR="00C83E9C">
        <w:rPr>
          <w:rFonts w:cs="Times New Roman"/>
          <w:szCs w:val="24"/>
        </w:rPr>
        <w:t>aj</w:t>
      </w:r>
      <w:r w:rsidR="00EB45C7" w:rsidRPr="00C57B98">
        <w:rPr>
          <w:rFonts w:cs="Times New Roman"/>
          <w:szCs w:val="24"/>
        </w:rPr>
        <w:t>ā kārtībā, jo lēmumu par zemes līguma noslēgšanu ar SIA pieņēma Dagdas novada pašvaldības domes deputāti koleģiāli. Valsts kontrole iesniedza sūdzību Latgales tiesas apgabala prokuratūrā, kur</w:t>
      </w:r>
      <w:r w:rsidR="009F420A">
        <w:rPr>
          <w:rFonts w:cs="Times New Roman"/>
          <w:szCs w:val="24"/>
        </w:rPr>
        <w:t xml:space="preserve">as </w:t>
      </w:r>
      <w:r w:rsidR="00EB45C7" w:rsidRPr="00C57B98">
        <w:rPr>
          <w:rFonts w:cs="Times New Roman"/>
          <w:szCs w:val="24"/>
        </w:rPr>
        <w:t>virsprokurors norādīja, ka izmeklēšanas gaitā nav secināts, ka kādas konkrētas Dagdas novada pašvaldības amatpersonas ir izdarījušas Krimināllikuma 319.</w:t>
      </w:r>
      <w:r w:rsidR="00C83E9C">
        <w:rPr>
          <w:rFonts w:cs="Times New Roman"/>
          <w:szCs w:val="24"/>
        </w:rPr>
        <w:t> </w:t>
      </w:r>
      <w:r w:rsidR="00EB45C7" w:rsidRPr="00C57B98">
        <w:rPr>
          <w:rFonts w:cs="Times New Roman"/>
          <w:szCs w:val="24"/>
        </w:rPr>
        <w:t>panta pirmajā daļā paredzēt</w:t>
      </w:r>
      <w:r w:rsidR="00C83E9C">
        <w:rPr>
          <w:rFonts w:cs="Times New Roman"/>
          <w:szCs w:val="24"/>
        </w:rPr>
        <w:t>o</w:t>
      </w:r>
      <w:r w:rsidR="00EB45C7" w:rsidRPr="00C57B98">
        <w:rPr>
          <w:rFonts w:cs="Times New Roman"/>
          <w:szCs w:val="24"/>
        </w:rPr>
        <w:t xml:space="preserve"> noziedzīg</w:t>
      </w:r>
      <w:r w:rsidR="00C83E9C">
        <w:rPr>
          <w:rFonts w:cs="Times New Roman"/>
          <w:szCs w:val="24"/>
        </w:rPr>
        <w:t>o</w:t>
      </w:r>
      <w:r w:rsidR="00EB45C7" w:rsidRPr="00C57B98">
        <w:rPr>
          <w:rFonts w:cs="Times New Roman"/>
          <w:szCs w:val="24"/>
        </w:rPr>
        <w:t xml:space="preserve"> nodarījumu. Pēc prokurora pārbaudes veikšanas un ņemot vērā, ka kriminālprocess tika izbeigts</w:t>
      </w:r>
      <w:r w:rsidR="00C83E9C">
        <w:rPr>
          <w:rFonts w:cs="Times New Roman"/>
          <w:szCs w:val="24"/>
        </w:rPr>
        <w:t>,</w:t>
      </w:r>
      <w:r w:rsidR="00EB45C7" w:rsidRPr="00C57B98">
        <w:rPr>
          <w:rFonts w:cs="Times New Roman"/>
          <w:szCs w:val="24"/>
        </w:rPr>
        <w:t xml:space="preserve"> pamatojoties uz nereabilitējošiem apstākļiem, Personu un valsts tiesību aizsardzības departamenta prokurors cēla tiesā prasību pret Dagdas novada domes konkrēto lēmumu pieņēmušajiem</w:t>
      </w:r>
      <w:r w:rsidR="00C83E9C">
        <w:rPr>
          <w:rFonts w:cs="Times New Roman"/>
          <w:szCs w:val="24"/>
        </w:rPr>
        <w:t xml:space="preserve"> </w:t>
      </w:r>
      <w:r w:rsidR="00EB45C7" w:rsidRPr="00C57B98">
        <w:rPr>
          <w:rFonts w:cs="Times New Roman"/>
          <w:szCs w:val="24"/>
        </w:rPr>
        <w:t>deputātiem par nodarīto zaudējumu atlīdzību. Prasība Daugavpils tiesā un Latgales apgabaltiesā tika noraidīta, taču, izskatot prokurora iesniegto kasācijas protestu, ar Senāta 2020.</w:t>
      </w:r>
      <w:r w:rsidR="005973EF">
        <w:rPr>
          <w:rFonts w:cs="Times New Roman"/>
          <w:szCs w:val="24"/>
        </w:rPr>
        <w:t> </w:t>
      </w:r>
      <w:r w:rsidR="00EB45C7" w:rsidRPr="00C57B98">
        <w:rPr>
          <w:rFonts w:cs="Times New Roman"/>
          <w:szCs w:val="24"/>
        </w:rPr>
        <w:t>gada 26.</w:t>
      </w:r>
      <w:r w:rsidR="005973EF">
        <w:rPr>
          <w:rFonts w:cs="Times New Roman"/>
          <w:szCs w:val="24"/>
        </w:rPr>
        <w:t> </w:t>
      </w:r>
      <w:r w:rsidR="00EB45C7" w:rsidRPr="00C57B98">
        <w:rPr>
          <w:rFonts w:cs="Times New Roman"/>
          <w:szCs w:val="24"/>
        </w:rPr>
        <w:t>oktobra spriedumu lietā Nr.</w:t>
      </w:r>
      <w:r w:rsidR="005973EF">
        <w:rPr>
          <w:rFonts w:cs="Times New Roman"/>
          <w:szCs w:val="24"/>
        </w:rPr>
        <w:t> </w:t>
      </w:r>
      <w:r w:rsidR="00EB45C7" w:rsidRPr="00C57B98">
        <w:rPr>
          <w:rFonts w:cs="Times New Roman"/>
          <w:szCs w:val="24"/>
        </w:rPr>
        <w:t>SKC-123/2020 spriedums tika atcelts un lieta nodota jaunai izskatīšanai apelācijas instanc</w:t>
      </w:r>
      <w:r w:rsidR="009F420A">
        <w:rPr>
          <w:rFonts w:cs="Times New Roman"/>
          <w:szCs w:val="24"/>
        </w:rPr>
        <w:t>es tiesai</w:t>
      </w:r>
      <w:r w:rsidR="00EB45C7" w:rsidRPr="00C57B98">
        <w:rPr>
          <w:rFonts w:cs="Times New Roman"/>
          <w:szCs w:val="24"/>
        </w:rPr>
        <w:t>.</w:t>
      </w:r>
    </w:p>
    <w:p w14:paraId="2AC5F37D" w14:textId="071AC553" w:rsidR="005973EF" w:rsidRDefault="005973EF" w:rsidP="00C83E9C">
      <w:pPr>
        <w:spacing w:after="0" w:line="240" w:lineRule="auto"/>
        <w:jc w:val="both"/>
        <w:rPr>
          <w:rFonts w:cs="Times New Roman"/>
          <w:szCs w:val="24"/>
        </w:rPr>
      </w:pPr>
    </w:p>
    <w:p w14:paraId="07D4A654" w14:textId="426C626C" w:rsidR="00E405D8" w:rsidRDefault="005973EF" w:rsidP="005973EF">
      <w:pPr>
        <w:spacing w:after="0" w:line="240" w:lineRule="auto"/>
        <w:jc w:val="both"/>
        <w:rPr>
          <w:rFonts w:cs="Times New Roman"/>
          <w:szCs w:val="24"/>
        </w:rPr>
      </w:pPr>
      <w:r>
        <w:rPr>
          <w:rFonts w:cs="Times New Roman"/>
          <w:b/>
          <w:bCs/>
          <w:szCs w:val="24"/>
        </w:rPr>
        <w:t xml:space="preserve">[17] </w:t>
      </w:r>
      <w:r w:rsidR="00EB45C7" w:rsidRPr="00C57B98">
        <w:rPr>
          <w:rFonts w:cs="Times New Roman"/>
          <w:szCs w:val="24"/>
        </w:rPr>
        <w:t>Veicot prokurora pārbaudi</w:t>
      </w:r>
      <w:r>
        <w:rPr>
          <w:rFonts w:cs="Times New Roman"/>
          <w:szCs w:val="24"/>
        </w:rPr>
        <w:t>,</w:t>
      </w:r>
      <w:r w:rsidR="00EB45C7" w:rsidRPr="00C57B98">
        <w:rPr>
          <w:rFonts w:cs="Times New Roman"/>
          <w:szCs w:val="24"/>
        </w:rPr>
        <w:t xml:space="preserve"> tika konstatēts, ka Mobinga apkarošanas biedrības darbība neatbilst vairāk</w:t>
      </w:r>
      <w:r>
        <w:rPr>
          <w:rFonts w:cs="Times New Roman"/>
          <w:szCs w:val="24"/>
        </w:rPr>
        <w:t>u</w:t>
      </w:r>
      <w:r w:rsidR="00EB45C7" w:rsidRPr="00C57B98">
        <w:rPr>
          <w:rFonts w:cs="Times New Roman"/>
          <w:szCs w:val="24"/>
        </w:rPr>
        <w:t xml:space="preserve"> normatīvo aktu prasībām, t</w:t>
      </w:r>
      <w:r>
        <w:rPr>
          <w:rFonts w:cs="Times New Roman"/>
          <w:szCs w:val="24"/>
        </w:rPr>
        <w:t xml:space="preserve">ai skaitā </w:t>
      </w:r>
      <w:r w:rsidR="00EB45C7" w:rsidRPr="00C57B98">
        <w:rPr>
          <w:rFonts w:cs="Times New Roman"/>
          <w:szCs w:val="24"/>
        </w:rPr>
        <w:t xml:space="preserve">biedrība juridiskajā adresē nav sasniedzama. </w:t>
      </w:r>
      <w:r w:rsidRPr="00C57B98">
        <w:rPr>
          <w:rFonts w:cs="Times New Roman"/>
          <w:szCs w:val="24"/>
        </w:rPr>
        <w:t>Pēc prokurora iesniegum</w:t>
      </w:r>
      <w:r>
        <w:rPr>
          <w:rFonts w:cs="Times New Roman"/>
          <w:szCs w:val="24"/>
        </w:rPr>
        <w:t xml:space="preserve">ā </w:t>
      </w:r>
      <w:r w:rsidRPr="00C57B98">
        <w:rPr>
          <w:rFonts w:cs="Times New Roman"/>
          <w:szCs w:val="24"/>
        </w:rPr>
        <w:t xml:space="preserve">minēto prasību neizpildīšanas </w:t>
      </w:r>
      <w:r>
        <w:rPr>
          <w:rFonts w:cs="Times New Roman"/>
          <w:szCs w:val="24"/>
        </w:rPr>
        <w:t xml:space="preserve">tika </w:t>
      </w:r>
      <w:r w:rsidRPr="00C57B98">
        <w:rPr>
          <w:rFonts w:cs="Times New Roman"/>
          <w:szCs w:val="24"/>
        </w:rPr>
        <w:t>iesniegta prasība</w:t>
      </w:r>
      <w:r w:rsidR="00EB45C7" w:rsidRPr="00C57B98">
        <w:rPr>
          <w:rFonts w:cs="Times New Roman"/>
          <w:szCs w:val="24"/>
        </w:rPr>
        <w:t xml:space="preserve"> Rīgas pilsētas Vidzemes priekšpilsētas tiesā, kurā tika ierosināta civillieta Nr.</w:t>
      </w:r>
      <w:r>
        <w:rPr>
          <w:rFonts w:cs="Times New Roman"/>
          <w:szCs w:val="24"/>
        </w:rPr>
        <w:t> </w:t>
      </w:r>
      <w:r w:rsidR="00EB45C7" w:rsidRPr="00C57B98">
        <w:rPr>
          <w:rFonts w:cs="Times New Roman"/>
          <w:szCs w:val="24"/>
        </w:rPr>
        <w:t>C30856019 par biedrības darbības izbeigšanu. Ar Rīgas pilsētas Vidzemes priekšpilsētas tiesas 2020.</w:t>
      </w:r>
      <w:r>
        <w:rPr>
          <w:rFonts w:cs="Times New Roman"/>
          <w:szCs w:val="24"/>
        </w:rPr>
        <w:t> </w:t>
      </w:r>
      <w:r w:rsidR="00EB45C7" w:rsidRPr="00C57B98">
        <w:rPr>
          <w:rFonts w:cs="Times New Roman"/>
          <w:szCs w:val="24"/>
        </w:rPr>
        <w:t>gada 21.</w:t>
      </w:r>
      <w:r w:rsidR="00E405D8">
        <w:rPr>
          <w:rFonts w:cs="Times New Roman"/>
          <w:szCs w:val="24"/>
        </w:rPr>
        <w:t> </w:t>
      </w:r>
      <w:r w:rsidR="00EB45C7" w:rsidRPr="00C57B98">
        <w:rPr>
          <w:rFonts w:cs="Times New Roman"/>
          <w:szCs w:val="24"/>
        </w:rPr>
        <w:t>decembra spriedumu prokurora prasība pilnībā apmierināta.</w:t>
      </w:r>
    </w:p>
    <w:p w14:paraId="5308A146" w14:textId="77777777" w:rsidR="00826B1C" w:rsidRDefault="00826B1C" w:rsidP="005973EF">
      <w:pPr>
        <w:spacing w:after="0" w:line="240" w:lineRule="auto"/>
        <w:jc w:val="both"/>
        <w:rPr>
          <w:rFonts w:cs="Times New Roman"/>
          <w:szCs w:val="24"/>
        </w:rPr>
      </w:pPr>
    </w:p>
    <w:p w14:paraId="2BF51A45" w14:textId="004765D3" w:rsidR="00EB45C7" w:rsidRDefault="00E405D8" w:rsidP="00E405D8">
      <w:pPr>
        <w:spacing w:after="0" w:line="240" w:lineRule="auto"/>
        <w:jc w:val="both"/>
        <w:rPr>
          <w:rFonts w:cs="Times New Roman"/>
          <w:szCs w:val="24"/>
        </w:rPr>
      </w:pPr>
      <w:r>
        <w:rPr>
          <w:rFonts w:cs="Times New Roman"/>
          <w:b/>
          <w:bCs/>
          <w:szCs w:val="24"/>
        </w:rPr>
        <w:t xml:space="preserve">[18] </w:t>
      </w:r>
      <w:r w:rsidR="00EB45C7" w:rsidRPr="00C57B98">
        <w:rPr>
          <w:rFonts w:cs="Times New Roman"/>
          <w:szCs w:val="24"/>
        </w:rPr>
        <w:t>Prokurora veiktās pārbaudes rezultātā tika konstatēts, ka biedrība “Vecozolu kaimiņi” darbība neatbilst normatīvo aktu prasībām, t</w:t>
      </w:r>
      <w:r>
        <w:rPr>
          <w:rFonts w:cs="Times New Roman"/>
          <w:szCs w:val="24"/>
        </w:rPr>
        <w:t>ai skaitā</w:t>
      </w:r>
      <w:r w:rsidR="00EB45C7" w:rsidRPr="00C57B98">
        <w:rPr>
          <w:rFonts w:cs="Times New Roman"/>
          <w:szCs w:val="24"/>
        </w:rPr>
        <w:t xml:space="preserve"> biedrība juridiskajā adresē nav sasniedzama. Pēc prokurora brīdinājuma iesniegšanas un tajā minēto prasību neizpildīšanas</w:t>
      </w:r>
      <w:r>
        <w:rPr>
          <w:rFonts w:cs="Times New Roman"/>
          <w:szCs w:val="24"/>
        </w:rPr>
        <w:t xml:space="preserve"> tika </w:t>
      </w:r>
      <w:r w:rsidR="00EB45C7" w:rsidRPr="00C57B98">
        <w:rPr>
          <w:rFonts w:cs="Times New Roman"/>
          <w:szCs w:val="24"/>
        </w:rPr>
        <w:t xml:space="preserve">iesniegta prasība </w:t>
      </w:r>
      <w:bookmarkStart w:id="63" w:name="_Hlk61273180"/>
      <w:r w:rsidR="00EB45C7" w:rsidRPr="00C57B98">
        <w:rPr>
          <w:rFonts w:cs="Times New Roman"/>
          <w:szCs w:val="24"/>
        </w:rPr>
        <w:t>Rīgas rajona tiesā, kurā 2020.</w:t>
      </w:r>
      <w:r>
        <w:rPr>
          <w:rFonts w:cs="Times New Roman"/>
          <w:szCs w:val="24"/>
        </w:rPr>
        <w:t> </w:t>
      </w:r>
      <w:r w:rsidR="00EB45C7" w:rsidRPr="00C57B98">
        <w:rPr>
          <w:rFonts w:cs="Times New Roman"/>
          <w:szCs w:val="24"/>
        </w:rPr>
        <w:t>gada 30.</w:t>
      </w:r>
      <w:r>
        <w:rPr>
          <w:rFonts w:cs="Times New Roman"/>
          <w:szCs w:val="24"/>
        </w:rPr>
        <w:t> </w:t>
      </w:r>
      <w:r w:rsidR="00EB45C7" w:rsidRPr="00C57B98">
        <w:rPr>
          <w:rFonts w:cs="Times New Roman"/>
          <w:szCs w:val="24"/>
        </w:rPr>
        <w:t>decembrī tika ierosināta civillieta Nr.</w:t>
      </w:r>
      <w:r>
        <w:rPr>
          <w:rFonts w:cs="Times New Roman"/>
          <w:szCs w:val="24"/>
        </w:rPr>
        <w:t> </w:t>
      </w:r>
      <w:r w:rsidR="00EB45C7" w:rsidRPr="00C57B98">
        <w:rPr>
          <w:rFonts w:cs="Times New Roman"/>
          <w:szCs w:val="24"/>
        </w:rPr>
        <w:t xml:space="preserve">C33274821 par biedrības darbības izbeigšanu. </w:t>
      </w:r>
    </w:p>
    <w:p w14:paraId="4E1A0B5F" w14:textId="5C57FD32" w:rsidR="00E405D8" w:rsidRDefault="00E405D8" w:rsidP="00E405D8">
      <w:pPr>
        <w:spacing w:after="0" w:line="240" w:lineRule="auto"/>
        <w:jc w:val="both"/>
        <w:rPr>
          <w:rFonts w:cs="Times New Roman"/>
          <w:szCs w:val="24"/>
        </w:rPr>
      </w:pPr>
    </w:p>
    <w:p w14:paraId="3E1DD575" w14:textId="7C6C1E5A" w:rsidR="00EB45C7" w:rsidRDefault="00E405D8" w:rsidP="00E405D8">
      <w:pPr>
        <w:spacing w:after="0" w:line="240" w:lineRule="auto"/>
        <w:jc w:val="both"/>
        <w:rPr>
          <w:rFonts w:cs="Times New Roman"/>
          <w:szCs w:val="24"/>
        </w:rPr>
      </w:pPr>
      <w:r>
        <w:rPr>
          <w:rFonts w:cs="Times New Roman"/>
          <w:b/>
          <w:bCs/>
          <w:szCs w:val="24"/>
        </w:rPr>
        <w:t xml:space="preserve">[19] </w:t>
      </w:r>
      <w:r w:rsidR="00EB45C7" w:rsidRPr="00C57B98">
        <w:rPr>
          <w:rFonts w:cs="Times New Roman"/>
          <w:szCs w:val="24"/>
        </w:rPr>
        <w:t>Veicot</w:t>
      </w:r>
      <w:r>
        <w:rPr>
          <w:rFonts w:cs="Times New Roman"/>
          <w:szCs w:val="24"/>
        </w:rPr>
        <w:t xml:space="preserve"> </w:t>
      </w:r>
      <w:r w:rsidR="00EB45C7" w:rsidRPr="00C57B98">
        <w:rPr>
          <w:rFonts w:cs="Times New Roman"/>
          <w:szCs w:val="24"/>
        </w:rPr>
        <w:t>Rīgas Centrālcietumā atrodošās personas iesnieguma</w:t>
      </w:r>
      <w:r>
        <w:rPr>
          <w:rFonts w:cs="Times New Roman"/>
          <w:szCs w:val="24"/>
        </w:rPr>
        <w:t xml:space="preserve"> </w:t>
      </w:r>
      <w:r w:rsidR="00EB45C7" w:rsidRPr="00C57B98">
        <w:rPr>
          <w:rFonts w:cs="Times New Roman"/>
          <w:szCs w:val="24"/>
        </w:rPr>
        <w:t>pārbaudi</w:t>
      </w:r>
      <w:r>
        <w:rPr>
          <w:rFonts w:cs="Times New Roman"/>
          <w:szCs w:val="24"/>
        </w:rPr>
        <w:t xml:space="preserve">, </w:t>
      </w:r>
      <w:r w:rsidR="00EB45C7" w:rsidRPr="00C57B98">
        <w:rPr>
          <w:rFonts w:cs="Times New Roman"/>
          <w:szCs w:val="24"/>
        </w:rPr>
        <w:t>tika konstatēts, ka persona, kura atradusies ieslodzījuma vietā, Vidzemes rajona tiesā ar 2020.</w:t>
      </w:r>
      <w:r>
        <w:rPr>
          <w:rFonts w:cs="Times New Roman"/>
          <w:szCs w:val="24"/>
        </w:rPr>
        <w:t> </w:t>
      </w:r>
      <w:r w:rsidR="00EB45C7" w:rsidRPr="00C57B98">
        <w:rPr>
          <w:rFonts w:cs="Times New Roman"/>
          <w:szCs w:val="24"/>
        </w:rPr>
        <w:t>gada 5.</w:t>
      </w:r>
      <w:r>
        <w:rPr>
          <w:rFonts w:cs="Times New Roman"/>
          <w:szCs w:val="24"/>
        </w:rPr>
        <w:t> </w:t>
      </w:r>
      <w:r w:rsidR="00EB45C7" w:rsidRPr="00C57B98">
        <w:rPr>
          <w:rFonts w:cs="Times New Roman"/>
          <w:szCs w:val="24"/>
        </w:rPr>
        <w:t>februāra spriedumu administratīvā pārkāpuma lietā ir tikusi atzīta par vainīgu L</w:t>
      </w:r>
      <w:r>
        <w:rPr>
          <w:rFonts w:cs="Times New Roman"/>
          <w:szCs w:val="24"/>
        </w:rPr>
        <w:t>APK</w:t>
      </w:r>
      <w:r w:rsidR="005C4E40">
        <w:rPr>
          <w:rFonts w:cs="Times New Roman"/>
          <w:szCs w:val="24"/>
        </w:rPr>
        <w:t xml:space="preserve"> </w:t>
      </w:r>
      <w:r w:rsidR="00EB45C7" w:rsidRPr="00C57B98">
        <w:rPr>
          <w:rFonts w:cs="Times New Roman"/>
          <w:szCs w:val="24"/>
        </w:rPr>
        <w:t>175.</w:t>
      </w:r>
      <w:r w:rsidR="00EB45C7" w:rsidRPr="00C57B98">
        <w:rPr>
          <w:rFonts w:cs="Times New Roman"/>
          <w:szCs w:val="24"/>
          <w:vertAlign w:val="superscript"/>
        </w:rPr>
        <w:t>1</w:t>
      </w:r>
      <w:r w:rsidR="005C4E40">
        <w:rPr>
          <w:rFonts w:cs="Times New Roman"/>
          <w:szCs w:val="24"/>
          <w:vertAlign w:val="superscript"/>
        </w:rPr>
        <w:t> </w:t>
      </w:r>
      <w:r w:rsidR="00EB45C7" w:rsidRPr="00C57B98">
        <w:rPr>
          <w:rFonts w:cs="Times New Roman"/>
          <w:szCs w:val="24"/>
        </w:rPr>
        <w:t>pantā (necieņa pret izmeklēšanas iestādēm, kas izpaudusies kā neierašanās bez attaisnojoša iemesla pēc izmeklētāja aicinājuma) paredzēt</w:t>
      </w:r>
      <w:r w:rsidR="005C4E40">
        <w:rPr>
          <w:rFonts w:cs="Times New Roman"/>
          <w:szCs w:val="24"/>
        </w:rPr>
        <w:t>ā</w:t>
      </w:r>
      <w:r w:rsidR="00EB45C7" w:rsidRPr="00C57B98">
        <w:rPr>
          <w:rFonts w:cs="Times New Roman"/>
          <w:szCs w:val="24"/>
        </w:rPr>
        <w:t xml:space="preserve"> administratīvā pārkāpuma izdarīšanā un sodīta ar naudas sodu 40</w:t>
      </w:r>
      <w:r w:rsidR="005C4E40">
        <w:rPr>
          <w:rFonts w:cs="Times New Roman"/>
          <w:szCs w:val="24"/>
        </w:rPr>
        <w:t> </w:t>
      </w:r>
      <w:r w:rsidR="00EB45C7" w:rsidRPr="00C57B98">
        <w:rPr>
          <w:rFonts w:cs="Times New Roman"/>
          <w:szCs w:val="24"/>
        </w:rPr>
        <w:t xml:space="preserve">EUR apmērā, jo nebija ieradusies pie Valsts policijas Vidzemes reģiona pārvaldes Kārtības policijas nodaļas Cēsu iecirkņa inspektores. Par šo faktu </w:t>
      </w:r>
      <w:bookmarkStart w:id="64" w:name="_Hlk60847779"/>
      <w:bookmarkStart w:id="65" w:name="_Hlk60847003"/>
      <w:bookmarkEnd w:id="63"/>
      <w:r w:rsidR="00EB45C7" w:rsidRPr="00C57B98">
        <w:rPr>
          <w:rFonts w:cs="Times New Roman"/>
          <w:szCs w:val="24"/>
        </w:rPr>
        <w:t>Vidzemes apgabaltiesā iesniegts pieteikums par administratīvā pārkāpuma lietas Nr.</w:t>
      </w:r>
      <w:r w:rsidR="005C4E40">
        <w:rPr>
          <w:rFonts w:cs="Times New Roman"/>
          <w:szCs w:val="24"/>
        </w:rPr>
        <w:t> </w:t>
      </w:r>
      <w:r w:rsidR="00EB45C7" w:rsidRPr="00C57B98">
        <w:rPr>
          <w:rFonts w:cs="Times New Roman"/>
          <w:szCs w:val="24"/>
        </w:rPr>
        <w:t>171004520 jaunu izskatīšanu sakarā ar jaunatklātiem apstākļiem. Pieteikumā lūgts atcelt Vidzemes rajona tiesas 2020.</w:t>
      </w:r>
      <w:r w:rsidR="005C4E40">
        <w:rPr>
          <w:rFonts w:cs="Times New Roman"/>
          <w:szCs w:val="24"/>
        </w:rPr>
        <w:t> </w:t>
      </w:r>
      <w:r w:rsidR="00EB45C7" w:rsidRPr="00C57B98">
        <w:rPr>
          <w:rFonts w:cs="Times New Roman"/>
          <w:szCs w:val="24"/>
        </w:rPr>
        <w:t>gada 5.</w:t>
      </w:r>
      <w:r w:rsidR="005C4E40">
        <w:rPr>
          <w:rFonts w:cs="Times New Roman"/>
          <w:szCs w:val="24"/>
        </w:rPr>
        <w:t> </w:t>
      </w:r>
      <w:r w:rsidR="00EB45C7" w:rsidRPr="00C57B98">
        <w:rPr>
          <w:rFonts w:cs="Times New Roman"/>
          <w:szCs w:val="24"/>
        </w:rPr>
        <w:t>februāra spriedumu un izbeigt lietu, jo</w:t>
      </w:r>
      <w:r w:rsidR="005C4E40">
        <w:rPr>
          <w:rFonts w:cs="Times New Roman"/>
          <w:szCs w:val="24"/>
        </w:rPr>
        <w:t>,</w:t>
      </w:r>
      <w:r w:rsidR="00EB45C7" w:rsidRPr="00C57B98">
        <w:rPr>
          <w:rFonts w:cs="Times New Roman"/>
          <w:szCs w:val="24"/>
        </w:rPr>
        <w:t xml:space="preserve"> pieņemot nolēmumu, tiesai nav bijuši zināmi apstākļi, kas norāda, ka administratīvi sodītā persona nav izdarījusi administratīvo pārkāpumu. Vidzemes apgabaltiesa administratīvā pārkāpuma lietā Nr.</w:t>
      </w:r>
      <w:r w:rsidR="005C4E40">
        <w:rPr>
          <w:rFonts w:cs="Times New Roman"/>
          <w:szCs w:val="24"/>
        </w:rPr>
        <w:t> </w:t>
      </w:r>
      <w:r w:rsidR="00EB45C7" w:rsidRPr="00C57B98">
        <w:rPr>
          <w:rFonts w:cs="Times New Roman"/>
          <w:szCs w:val="24"/>
        </w:rPr>
        <w:t>171004520 pieņēma izskatīšanai pieteikumu sakarā ar jaunatklātiem apstākļiem.</w:t>
      </w:r>
      <w:bookmarkEnd w:id="64"/>
    </w:p>
    <w:p w14:paraId="5AD5636C" w14:textId="77777777" w:rsidR="00207D31" w:rsidRPr="00E405D8" w:rsidRDefault="00207D31" w:rsidP="00E405D8">
      <w:pPr>
        <w:spacing w:after="0" w:line="240" w:lineRule="auto"/>
        <w:jc w:val="both"/>
        <w:rPr>
          <w:rFonts w:cs="Times New Roman"/>
          <w:b/>
          <w:bCs/>
          <w:szCs w:val="24"/>
        </w:rPr>
      </w:pPr>
    </w:p>
    <w:bookmarkEnd w:id="65"/>
    <w:p w14:paraId="635D78DF" w14:textId="1AAD9842" w:rsidR="00EB45C7" w:rsidRDefault="00EB45C7" w:rsidP="006907FE">
      <w:pPr>
        <w:spacing w:after="0" w:line="240" w:lineRule="auto"/>
        <w:ind w:firstLine="567"/>
        <w:jc w:val="both"/>
        <w:rPr>
          <w:rFonts w:cs="Times New Roman"/>
          <w:szCs w:val="24"/>
        </w:rPr>
      </w:pPr>
      <w:r w:rsidRPr="00C57B98">
        <w:rPr>
          <w:rFonts w:cs="Times New Roman"/>
          <w:szCs w:val="24"/>
        </w:rPr>
        <w:t>Prokuratūrā 2020.</w:t>
      </w:r>
      <w:r w:rsidR="00207D31">
        <w:rPr>
          <w:rFonts w:cs="Times New Roman"/>
          <w:szCs w:val="24"/>
        </w:rPr>
        <w:t> </w:t>
      </w:r>
      <w:r w:rsidRPr="00C57B98">
        <w:rPr>
          <w:rFonts w:cs="Times New Roman"/>
          <w:szCs w:val="24"/>
        </w:rPr>
        <w:t>gadā pieņemti 388</w:t>
      </w:r>
      <w:r w:rsidR="00207D31">
        <w:rPr>
          <w:rFonts w:cs="Times New Roman"/>
          <w:szCs w:val="24"/>
        </w:rPr>
        <w:t> </w:t>
      </w:r>
      <w:r w:rsidRPr="00C57B98">
        <w:rPr>
          <w:rFonts w:cs="Times New Roman"/>
          <w:szCs w:val="24"/>
        </w:rPr>
        <w:t>apmeklētāji, kas salīdzin</w:t>
      </w:r>
      <w:r w:rsidR="00207D31">
        <w:rPr>
          <w:rFonts w:cs="Times New Roman"/>
          <w:szCs w:val="24"/>
        </w:rPr>
        <w:t>ājumā</w:t>
      </w:r>
      <w:r w:rsidRPr="00C57B98">
        <w:rPr>
          <w:rFonts w:cs="Times New Roman"/>
          <w:szCs w:val="24"/>
        </w:rPr>
        <w:t xml:space="preserve"> ar 2019.</w:t>
      </w:r>
      <w:r w:rsidR="00207D31">
        <w:rPr>
          <w:rFonts w:cs="Times New Roman"/>
          <w:szCs w:val="24"/>
        </w:rPr>
        <w:t> </w:t>
      </w:r>
      <w:r w:rsidRPr="00C57B98">
        <w:rPr>
          <w:rFonts w:cs="Times New Roman"/>
          <w:szCs w:val="24"/>
        </w:rPr>
        <w:t>gadā pieņemtajiem 1067 apmeklētajiem ir par 679</w:t>
      </w:r>
      <w:r w:rsidR="00207D31">
        <w:rPr>
          <w:rFonts w:cs="Times New Roman"/>
          <w:szCs w:val="24"/>
        </w:rPr>
        <w:t> </w:t>
      </w:r>
      <w:r w:rsidRPr="00C57B98">
        <w:rPr>
          <w:rFonts w:cs="Times New Roman"/>
          <w:szCs w:val="24"/>
        </w:rPr>
        <w:t>apmeklētajiem jeb 63,6 %</w:t>
      </w:r>
      <w:r w:rsidR="00207D31" w:rsidRPr="00207D31">
        <w:rPr>
          <w:rFonts w:cs="Times New Roman"/>
          <w:szCs w:val="24"/>
        </w:rPr>
        <w:t xml:space="preserve"> </w:t>
      </w:r>
      <w:r w:rsidR="00207D31" w:rsidRPr="00C57B98">
        <w:rPr>
          <w:rFonts w:cs="Times New Roman"/>
          <w:szCs w:val="24"/>
        </w:rPr>
        <w:t>mazāk</w:t>
      </w:r>
      <w:r w:rsidRPr="00C57B98">
        <w:rPr>
          <w:rFonts w:cs="Times New Roman"/>
          <w:szCs w:val="24"/>
        </w:rPr>
        <w:t xml:space="preserve">. Apmeklētāju </w:t>
      </w:r>
      <w:r w:rsidRPr="00C57B98">
        <w:rPr>
          <w:rFonts w:cs="Times New Roman"/>
          <w:szCs w:val="24"/>
        </w:rPr>
        <w:lastRenderedPageBreak/>
        <w:t>skaita samazinājums prokuratūrā saistīt</w:t>
      </w:r>
      <w:r w:rsidR="006907FE">
        <w:rPr>
          <w:rFonts w:cs="Times New Roman"/>
          <w:szCs w:val="24"/>
        </w:rPr>
        <w:t xml:space="preserve">s ar </w:t>
      </w:r>
      <w:r w:rsidR="00E426FF" w:rsidRPr="00C57B98">
        <w:rPr>
          <w:rFonts w:cs="Times New Roman"/>
          <w:szCs w:val="24"/>
        </w:rPr>
        <w:t>C</w:t>
      </w:r>
      <w:r w:rsidR="00E426FF">
        <w:rPr>
          <w:rFonts w:cs="Times New Roman"/>
          <w:szCs w:val="24"/>
        </w:rPr>
        <w:t>ovid</w:t>
      </w:r>
      <w:r w:rsidR="00E426FF" w:rsidRPr="00C57B98">
        <w:rPr>
          <w:rFonts w:cs="Times New Roman"/>
          <w:szCs w:val="24"/>
        </w:rPr>
        <w:t>-19 izplatīb</w:t>
      </w:r>
      <w:r w:rsidR="00E426FF">
        <w:rPr>
          <w:rFonts w:cs="Times New Roman"/>
          <w:szCs w:val="24"/>
        </w:rPr>
        <w:t>as ierobežošanai izsludināto ārkārtēj</w:t>
      </w:r>
      <w:r w:rsidR="006907FE">
        <w:rPr>
          <w:rFonts w:cs="Times New Roman"/>
          <w:szCs w:val="24"/>
        </w:rPr>
        <w:t>o</w:t>
      </w:r>
      <w:r w:rsidR="00E426FF">
        <w:rPr>
          <w:rFonts w:cs="Times New Roman"/>
          <w:szCs w:val="24"/>
        </w:rPr>
        <w:t xml:space="preserve"> situācij</w:t>
      </w:r>
      <w:r w:rsidR="006907FE">
        <w:rPr>
          <w:rFonts w:cs="Times New Roman"/>
          <w:szCs w:val="24"/>
        </w:rPr>
        <w:t>u</w:t>
      </w:r>
      <w:r w:rsidR="00E426FF">
        <w:rPr>
          <w:rFonts w:cs="Times New Roman"/>
          <w:szCs w:val="24"/>
        </w:rPr>
        <w:t xml:space="preserve"> valstī</w:t>
      </w:r>
      <w:r w:rsidRPr="00C57B98">
        <w:rPr>
          <w:rFonts w:cs="Times New Roman"/>
          <w:szCs w:val="24"/>
        </w:rPr>
        <w:t xml:space="preserve"> un </w:t>
      </w:r>
      <w:r w:rsidR="006907FE">
        <w:rPr>
          <w:rFonts w:cs="Times New Roman"/>
          <w:szCs w:val="24"/>
        </w:rPr>
        <w:t xml:space="preserve">attiecīgi </w:t>
      </w:r>
      <w:r w:rsidRPr="00C57B98">
        <w:rPr>
          <w:rFonts w:cs="Times New Roman"/>
          <w:szCs w:val="24"/>
        </w:rPr>
        <w:t>ģenerālprokurora 2020.</w:t>
      </w:r>
      <w:r w:rsidR="006907FE">
        <w:rPr>
          <w:rFonts w:cs="Times New Roman"/>
          <w:szCs w:val="24"/>
        </w:rPr>
        <w:t> </w:t>
      </w:r>
      <w:r w:rsidRPr="00C57B98">
        <w:rPr>
          <w:rFonts w:cs="Times New Roman"/>
          <w:szCs w:val="24"/>
        </w:rPr>
        <w:t>gada 10.</w:t>
      </w:r>
      <w:r w:rsidR="006907FE">
        <w:rPr>
          <w:rFonts w:cs="Times New Roman"/>
          <w:szCs w:val="24"/>
        </w:rPr>
        <w:t> </w:t>
      </w:r>
      <w:r w:rsidRPr="00C57B98">
        <w:rPr>
          <w:rFonts w:cs="Times New Roman"/>
          <w:szCs w:val="24"/>
        </w:rPr>
        <w:t>jūnijā pieņemto rīkojumu “Par epidemioloģiskās drošības pasākumiem”, k</w:t>
      </w:r>
      <w:r w:rsidR="006907FE">
        <w:rPr>
          <w:rFonts w:cs="Times New Roman"/>
          <w:szCs w:val="24"/>
        </w:rPr>
        <w:t>as</w:t>
      </w:r>
      <w:r w:rsidRPr="00C57B98">
        <w:rPr>
          <w:rFonts w:cs="Times New Roman"/>
          <w:szCs w:val="24"/>
        </w:rPr>
        <w:t xml:space="preserve"> izdots</w:t>
      </w:r>
      <w:r w:rsidR="006907FE">
        <w:rPr>
          <w:rFonts w:cs="Times New Roman"/>
          <w:szCs w:val="24"/>
        </w:rPr>
        <w:t>,</w:t>
      </w:r>
      <w:r w:rsidRPr="00C57B98">
        <w:rPr>
          <w:rFonts w:cs="Times New Roman"/>
          <w:szCs w:val="24"/>
        </w:rPr>
        <w:t xml:space="preserve"> ievērojot Ministru Kabineta 2020.</w:t>
      </w:r>
      <w:r w:rsidR="006907FE">
        <w:rPr>
          <w:rFonts w:cs="Times New Roman"/>
          <w:szCs w:val="24"/>
        </w:rPr>
        <w:t> </w:t>
      </w:r>
      <w:r w:rsidRPr="00C57B98">
        <w:rPr>
          <w:rFonts w:cs="Times New Roman"/>
          <w:szCs w:val="24"/>
        </w:rPr>
        <w:t>gada 9.</w:t>
      </w:r>
      <w:r w:rsidR="006907FE">
        <w:rPr>
          <w:rFonts w:cs="Times New Roman"/>
          <w:szCs w:val="24"/>
        </w:rPr>
        <w:t> </w:t>
      </w:r>
      <w:r w:rsidRPr="00C57B98">
        <w:rPr>
          <w:rFonts w:cs="Times New Roman"/>
          <w:szCs w:val="24"/>
        </w:rPr>
        <w:t>jūnija noteikumus Nr.</w:t>
      </w:r>
      <w:r w:rsidR="006907FE">
        <w:rPr>
          <w:rFonts w:cs="Times New Roman"/>
          <w:szCs w:val="24"/>
        </w:rPr>
        <w:t> </w:t>
      </w:r>
      <w:r w:rsidRPr="00C57B98">
        <w:rPr>
          <w:rFonts w:cs="Times New Roman"/>
          <w:szCs w:val="24"/>
        </w:rPr>
        <w:t xml:space="preserve">360. </w:t>
      </w:r>
    </w:p>
    <w:p w14:paraId="10B6E6E8" w14:textId="77777777" w:rsidR="006907FE" w:rsidRPr="00C57B98" w:rsidRDefault="006907FE" w:rsidP="006907FE">
      <w:pPr>
        <w:spacing w:after="0" w:line="240" w:lineRule="auto"/>
        <w:ind w:firstLine="567"/>
        <w:jc w:val="both"/>
        <w:rPr>
          <w:rFonts w:cs="Times New Roman"/>
          <w:szCs w:val="24"/>
        </w:rPr>
      </w:pPr>
    </w:p>
    <w:p w14:paraId="37ECFD17" w14:textId="67ECEAA4" w:rsidR="007D460E" w:rsidRDefault="00EB45C7" w:rsidP="00B80834">
      <w:pPr>
        <w:spacing w:after="0" w:line="240" w:lineRule="auto"/>
        <w:ind w:firstLine="567"/>
        <w:jc w:val="both"/>
        <w:rPr>
          <w:rFonts w:cs="Times New Roman"/>
          <w:szCs w:val="24"/>
        </w:rPr>
      </w:pPr>
      <w:r w:rsidRPr="00C57B98">
        <w:rPr>
          <w:rFonts w:cs="Times New Roman"/>
          <w:szCs w:val="24"/>
        </w:rPr>
        <w:t>Prokuratūrā kopš Trauksmes celšanas likuma stāšanās spēkā 2019.</w:t>
      </w:r>
      <w:r w:rsidR="006907FE">
        <w:rPr>
          <w:rFonts w:cs="Times New Roman"/>
          <w:szCs w:val="24"/>
        </w:rPr>
        <w:t> </w:t>
      </w:r>
      <w:r w:rsidRPr="00C57B98">
        <w:rPr>
          <w:rFonts w:cs="Times New Roman"/>
          <w:szCs w:val="24"/>
        </w:rPr>
        <w:t>gada 1.</w:t>
      </w:r>
      <w:r w:rsidR="006907FE">
        <w:rPr>
          <w:rFonts w:cs="Times New Roman"/>
          <w:szCs w:val="24"/>
        </w:rPr>
        <w:t> </w:t>
      </w:r>
      <w:r w:rsidRPr="00C57B98">
        <w:rPr>
          <w:rFonts w:cs="Times New Roman"/>
          <w:szCs w:val="24"/>
        </w:rPr>
        <w:t>maij</w:t>
      </w:r>
      <w:r w:rsidR="006907FE">
        <w:rPr>
          <w:rFonts w:cs="Times New Roman"/>
          <w:szCs w:val="24"/>
        </w:rPr>
        <w:t xml:space="preserve">ā </w:t>
      </w:r>
      <w:r w:rsidRPr="00C57B98">
        <w:rPr>
          <w:rFonts w:cs="Times New Roman"/>
          <w:szCs w:val="24"/>
        </w:rPr>
        <w:t xml:space="preserve">saņemti un izvērtēti </w:t>
      </w:r>
      <w:r w:rsidRPr="005F1D2E">
        <w:rPr>
          <w:rFonts w:cs="Times New Roman"/>
          <w:szCs w:val="24"/>
        </w:rPr>
        <w:t>66</w:t>
      </w:r>
      <w:r w:rsidR="00AB0686">
        <w:rPr>
          <w:rFonts w:cs="Times New Roman"/>
          <w:szCs w:val="24"/>
        </w:rPr>
        <w:t> </w:t>
      </w:r>
      <w:r w:rsidRPr="00C57B98">
        <w:rPr>
          <w:rFonts w:cs="Times New Roman"/>
          <w:szCs w:val="24"/>
        </w:rPr>
        <w:t xml:space="preserve">iesniegumi, kas noformēti kā trauksmes cēlēju ziņojumi, pieņemot lēmumus par to atbilstību noteiktajām trauksmes celšanas pazīmēm, kā arī </w:t>
      </w:r>
      <w:r w:rsidRPr="005F1D2E">
        <w:rPr>
          <w:rFonts w:cs="Times New Roman"/>
          <w:szCs w:val="24"/>
        </w:rPr>
        <w:t>50</w:t>
      </w:r>
      <w:r w:rsidR="00AB0686">
        <w:rPr>
          <w:rFonts w:cs="Times New Roman"/>
          <w:szCs w:val="24"/>
        </w:rPr>
        <w:t> </w:t>
      </w:r>
      <w:r w:rsidRPr="00C57B98">
        <w:rPr>
          <w:rFonts w:cs="Times New Roman"/>
          <w:szCs w:val="24"/>
        </w:rPr>
        <w:t xml:space="preserve">personām sniegtas mutiskas konsultācijas par jautājumiem, kas saistīti ar trauksmes celšanu, tai skaitā </w:t>
      </w:r>
      <w:r w:rsidRPr="005F1D2E">
        <w:rPr>
          <w:rFonts w:cs="Times New Roman"/>
          <w:szCs w:val="24"/>
        </w:rPr>
        <w:t>42</w:t>
      </w:r>
      <w:r w:rsidR="00AB0686">
        <w:rPr>
          <w:rFonts w:cs="Times New Roman"/>
          <w:szCs w:val="24"/>
        </w:rPr>
        <w:t> </w:t>
      </w:r>
      <w:r w:rsidRPr="00C57B98">
        <w:rPr>
          <w:rFonts w:cs="Times New Roman"/>
          <w:szCs w:val="24"/>
        </w:rPr>
        <w:t xml:space="preserve">ziņojumi saņemti un </w:t>
      </w:r>
      <w:r w:rsidRPr="005F1D2E">
        <w:rPr>
          <w:rFonts w:cs="Times New Roman"/>
          <w:szCs w:val="24"/>
        </w:rPr>
        <w:t>27</w:t>
      </w:r>
      <w:r w:rsidR="00AB0686">
        <w:rPr>
          <w:rFonts w:cs="Times New Roman"/>
          <w:szCs w:val="24"/>
        </w:rPr>
        <w:t> </w:t>
      </w:r>
      <w:r w:rsidRPr="00C57B98">
        <w:rPr>
          <w:rFonts w:cs="Times New Roman"/>
          <w:szCs w:val="24"/>
        </w:rPr>
        <w:t>konsultācijas sniegtas 2020.</w:t>
      </w:r>
      <w:r w:rsidR="00AB0686">
        <w:rPr>
          <w:rFonts w:cs="Times New Roman"/>
          <w:szCs w:val="24"/>
        </w:rPr>
        <w:t> </w:t>
      </w:r>
      <w:r w:rsidRPr="00C57B98">
        <w:rPr>
          <w:rFonts w:cs="Times New Roman"/>
          <w:szCs w:val="24"/>
        </w:rPr>
        <w:t xml:space="preserve">gadā. No minētajiem iesniegumiem </w:t>
      </w:r>
      <w:r w:rsidRPr="005F1D2E">
        <w:rPr>
          <w:rFonts w:cs="Times New Roman"/>
          <w:szCs w:val="24"/>
        </w:rPr>
        <w:t>4</w:t>
      </w:r>
      <w:r w:rsidRPr="00C57B98">
        <w:rPr>
          <w:rFonts w:cs="Times New Roman"/>
          <w:szCs w:val="24"/>
        </w:rPr>
        <w:t xml:space="preserve"> atzīti par trauksmes cēlēju ziņojumiem. Par pārkāpumiem, kas atklāti prokuratūrā pēc trauksmes cēlēju ziņojumu iesniegšanas</w:t>
      </w:r>
      <w:r w:rsidR="00AB0686">
        <w:rPr>
          <w:rFonts w:cs="Times New Roman"/>
          <w:szCs w:val="24"/>
        </w:rPr>
        <w:t>,</w:t>
      </w:r>
      <w:r w:rsidRPr="00C57B98">
        <w:rPr>
          <w:rFonts w:cs="Times New Roman"/>
          <w:szCs w:val="24"/>
        </w:rPr>
        <w:t xml:space="preserve"> informēta arī sabiedrība, tīmekļvietnē </w:t>
      </w:r>
      <w:hyperlink r:id="rId188" w:history="1">
        <w:r w:rsidRPr="00C57B98">
          <w:rPr>
            <w:rStyle w:val="Hyperlink"/>
            <w:rFonts w:eastAsia="Times New Roman" w:cs="Times New Roman"/>
            <w:i/>
            <w:iCs/>
            <w:szCs w:val="24"/>
            <w:lang w:eastAsia="lv-LV"/>
          </w:rPr>
          <w:t>http://prokuratura.lv/lv/trauksmes-celejs/sabiedribas-informesana-par-atklatiem-parkapumiem-saistiba-ar-trauksmes-celeja-iesniegumiem</w:t>
        </w:r>
      </w:hyperlink>
      <w:r w:rsidRPr="00C57B98">
        <w:rPr>
          <w:rFonts w:cs="Times New Roman"/>
          <w:szCs w:val="24"/>
        </w:rPr>
        <w:t xml:space="preserve">  </w:t>
      </w:r>
      <w:bookmarkStart w:id="66" w:name="_Hlk63710700"/>
    </w:p>
    <w:p w14:paraId="06F272DE" w14:textId="77777777" w:rsidR="00B80834" w:rsidRDefault="00B80834" w:rsidP="00B80834">
      <w:pPr>
        <w:spacing w:after="0" w:line="240" w:lineRule="auto"/>
        <w:ind w:firstLine="567"/>
        <w:jc w:val="both"/>
        <w:rPr>
          <w:rFonts w:cs="Times New Roman"/>
          <w:szCs w:val="24"/>
        </w:rPr>
      </w:pPr>
    </w:p>
    <w:p w14:paraId="7F03C6BF" w14:textId="46D3D5C4" w:rsidR="007D460E" w:rsidRDefault="008A1A54" w:rsidP="00CF4214">
      <w:pPr>
        <w:spacing w:after="0" w:line="240" w:lineRule="auto"/>
        <w:jc w:val="both"/>
        <w:rPr>
          <w:rFonts w:cs="Times New Roman"/>
          <w:b/>
          <w:bCs/>
          <w:szCs w:val="24"/>
        </w:rPr>
      </w:pPr>
      <w:r>
        <w:rPr>
          <w:rFonts w:cs="Times New Roman"/>
          <w:b/>
          <w:bCs/>
          <w:szCs w:val="24"/>
        </w:rPr>
        <w:t xml:space="preserve">Ģenerālprokuratūras </w:t>
      </w:r>
      <w:r w:rsidR="00827A0C">
        <w:rPr>
          <w:rFonts w:cs="Times New Roman"/>
          <w:b/>
          <w:bCs/>
          <w:szCs w:val="24"/>
        </w:rPr>
        <w:t>Personu un valsts tiesību aizsardzības departamenta virsprokurors J. Pēda</w:t>
      </w:r>
    </w:p>
    <w:p w14:paraId="53DDA69D" w14:textId="2FA1B8EF" w:rsidR="00215305" w:rsidRDefault="00827A0C" w:rsidP="00CF4214">
      <w:pPr>
        <w:spacing w:after="0" w:line="240" w:lineRule="auto"/>
        <w:jc w:val="both"/>
        <w:rPr>
          <w:rFonts w:cs="Times New Roman"/>
          <w:b/>
          <w:bCs/>
          <w:szCs w:val="24"/>
        </w:rPr>
      </w:pPr>
      <w:r>
        <w:rPr>
          <w:rFonts w:cs="Times New Roman"/>
          <w:b/>
          <w:bCs/>
          <w:szCs w:val="24"/>
        </w:rPr>
        <w:t>Rīgā</w:t>
      </w:r>
      <w:r w:rsidR="008A1A54">
        <w:rPr>
          <w:rFonts w:cs="Times New Roman"/>
          <w:b/>
          <w:bCs/>
          <w:szCs w:val="24"/>
        </w:rPr>
        <w:t xml:space="preserve"> </w:t>
      </w:r>
      <w:r>
        <w:rPr>
          <w:rFonts w:cs="Times New Roman"/>
          <w:b/>
          <w:bCs/>
          <w:szCs w:val="24"/>
        </w:rPr>
        <w:t>2021. gada 1. februārī</w:t>
      </w:r>
    </w:p>
    <w:p w14:paraId="61C1C577" w14:textId="47ADC7C2" w:rsidR="007D460E" w:rsidRPr="00215305" w:rsidRDefault="00215305" w:rsidP="00215305">
      <w:pPr>
        <w:rPr>
          <w:rFonts w:cs="Times New Roman"/>
          <w:b/>
          <w:bCs/>
          <w:szCs w:val="24"/>
        </w:rPr>
      </w:pPr>
      <w:r>
        <w:rPr>
          <w:rFonts w:cs="Times New Roman"/>
          <w:b/>
          <w:bCs/>
          <w:szCs w:val="24"/>
        </w:rPr>
        <w:br w:type="page"/>
      </w:r>
    </w:p>
    <w:p w14:paraId="0AD7B8AA" w14:textId="4A22BE04" w:rsidR="005572FE" w:rsidRPr="00577BF3" w:rsidRDefault="005572FE" w:rsidP="002E106F">
      <w:pPr>
        <w:spacing w:after="0" w:line="240" w:lineRule="auto"/>
        <w:jc w:val="center"/>
        <w:rPr>
          <w:rFonts w:cs="Times New Roman"/>
          <w:b/>
          <w:sz w:val="32"/>
          <w:szCs w:val="32"/>
        </w:rPr>
      </w:pPr>
      <w:bookmarkStart w:id="67" w:name="_Hlk63756493"/>
      <w:bookmarkStart w:id="68" w:name="_Hlk64381629"/>
      <w:bookmarkEnd w:id="66"/>
      <w:r w:rsidRPr="00577BF3">
        <w:rPr>
          <w:rFonts w:cs="Times New Roman"/>
          <w:b/>
          <w:sz w:val="32"/>
          <w:szCs w:val="32"/>
        </w:rPr>
        <w:lastRenderedPageBreak/>
        <w:t>Ģenerālprokuratūras Darbības analīzes un vadības departamenta un tā nodaļu pārskats par 2020. gada darba rezultātiem</w:t>
      </w:r>
    </w:p>
    <w:p w14:paraId="5FB58776" w14:textId="77777777" w:rsidR="00FF0CE0" w:rsidRPr="00F62B7E" w:rsidRDefault="00FF0CE0" w:rsidP="00CF4214">
      <w:pPr>
        <w:spacing w:after="0" w:line="240" w:lineRule="auto"/>
        <w:jc w:val="center"/>
        <w:rPr>
          <w:rFonts w:cs="Times New Roman"/>
          <w:b/>
          <w:szCs w:val="24"/>
        </w:rPr>
      </w:pPr>
    </w:p>
    <w:p w14:paraId="30106986" w14:textId="5C364E53" w:rsidR="005572FE" w:rsidRPr="00526E02" w:rsidRDefault="00C57A73" w:rsidP="00526E02">
      <w:pPr>
        <w:spacing w:after="0" w:line="240" w:lineRule="auto"/>
        <w:jc w:val="center"/>
        <w:rPr>
          <w:rFonts w:cs="Times New Roman"/>
          <w:b/>
          <w:bCs/>
          <w:sz w:val="28"/>
          <w:szCs w:val="28"/>
        </w:rPr>
      </w:pPr>
      <w:r w:rsidRPr="00526E02">
        <w:rPr>
          <w:rFonts w:cs="Times New Roman"/>
          <w:b/>
          <w:bCs/>
          <w:sz w:val="28"/>
          <w:szCs w:val="28"/>
        </w:rPr>
        <w:t>I. </w:t>
      </w:r>
      <w:r w:rsidR="005572FE" w:rsidRPr="00526E02">
        <w:rPr>
          <w:rFonts w:cs="Times New Roman"/>
          <w:b/>
          <w:bCs/>
          <w:sz w:val="28"/>
          <w:szCs w:val="28"/>
        </w:rPr>
        <w:t>Strukturālais modelis un prokuroru personālsastāvs</w:t>
      </w:r>
    </w:p>
    <w:p w14:paraId="78D1D5A4" w14:textId="77777777" w:rsidR="00C57A73" w:rsidRPr="00A521DC" w:rsidRDefault="00C57A73" w:rsidP="00CF4214">
      <w:pPr>
        <w:pStyle w:val="ListParagraph"/>
        <w:spacing w:after="0" w:line="240" w:lineRule="auto"/>
        <w:ind w:left="1077"/>
        <w:rPr>
          <w:rFonts w:cs="Times New Roman"/>
          <w:b/>
          <w:szCs w:val="24"/>
        </w:rPr>
      </w:pPr>
    </w:p>
    <w:p w14:paraId="00AD00A4" w14:textId="4B9BDADF" w:rsidR="005572FE" w:rsidRPr="00577BF3" w:rsidRDefault="005572FE" w:rsidP="00CF4214">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sidR="006371CF">
        <w:rPr>
          <w:rFonts w:cs="Times New Roman"/>
          <w:szCs w:val="24"/>
        </w:rPr>
        <w:t xml:space="preserve">2020. gada 28. oktobra redakcijā </w:t>
      </w:r>
      <w:r w:rsidRPr="00577BF3">
        <w:rPr>
          <w:rFonts w:cs="Times New Roman"/>
          <w:szCs w:val="24"/>
        </w:rPr>
        <w:t xml:space="preserve">Ģenerālprokuratūras Darbības analīzes un vadības departaments un tā nodaļas 2020. gadā darbojās </w:t>
      </w:r>
      <w:r w:rsidR="008C3CBA" w:rsidRPr="00577BF3">
        <w:rPr>
          <w:rFonts w:cs="Times New Roman"/>
          <w:szCs w:val="24"/>
        </w:rPr>
        <w:t>pie</w:t>
      </w:r>
      <w:r w:rsidRPr="00577BF3">
        <w:rPr>
          <w:rFonts w:cs="Times New Roman"/>
          <w:szCs w:val="24"/>
        </w:rPr>
        <w:t xml:space="preserve"> šād</w:t>
      </w:r>
      <w:r w:rsidR="00944FCA" w:rsidRPr="00577BF3">
        <w:rPr>
          <w:rFonts w:cs="Times New Roman"/>
          <w:szCs w:val="24"/>
        </w:rPr>
        <w:t xml:space="preserve">a </w:t>
      </w:r>
      <w:r w:rsidRPr="00577BF3">
        <w:rPr>
          <w:rFonts w:cs="Times New Roman"/>
          <w:szCs w:val="24"/>
        </w:rPr>
        <w:t>prokurora amata vietu sadalījum</w:t>
      </w:r>
      <w:r w:rsidR="00944FCA" w:rsidRPr="00577BF3">
        <w:rPr>
          <w:rFonts w:cs="Times New Roman"/>
          <w:szCs w:val="24"/>
        </w:rPr>
        <w:t>a</w:t>
      </w:r>
      <w:r w:rsidRPr="00577BF3">
        <w:rPr>
          <w:rFonts w:cs="Times New Roman"/>
          <w:szCs w:val="24"/>
        </w:rPr>
        <w:t>:</w:t>
      </w:r>
    </w:p>
    <w:bookmarkEnd w:id="67"/>
    <w:p w14:paraId="07FE4795" w14:textId="2302321D" w:rsidR="005572FE" w:rsidRPr="00577BF3" w:rsidRDefault="005572FE" w:rsidP="00B16727">
      <w:pPr>
        <w:pStyle w:val="ListParagraph"/>
        <w:numPr>
          <w:ilvl w:val="0"/>
          <w:numId w:val="1"/>
        </w:numPr>
        <w:spacing w:after="0" w:line="240" w:lineRule="auto"/>
        <w:jc w:val="both"/>
        <w:rPr>
          <w:rFonts w:cs="Times New Roman"/>
          <w:szCs w:val="24"/>
        </w:rPr>
      </w:pPr>
      <w:r w:rsidRPr="00577BF3">
        <w:rPr>
          <w:rFonts w:cs="Times New Roman"/>
          <w:szCs w:val="24"/>
        </w:rPr>
        <w:t>Darbības analīzes un vadības departaments – 1 prokurora amata vieta (1 virsprokurora štata vieta);</w:t>
      </w:r>
    </w:p>
    <w:p w14:paraId="410CD4DB" w14:textId="4188EF67" w:rsidR="005572FE" w:rsidRPr="00577BF3" w:rsidRDefault="00884316" w:rsidP="00B16727">
      <w:pPr>
        <w:pStyle w:val="ListParagraph"/>
        <w:numPr>
          <w:ilvl w:val="0"/>
          <w:numId w:val="1"/>
        </w:numPr>
        <w:spacing w:after="0" w:line="240" w:lineRule="auto"/>
        <w:jc w:val="both"/>
        <w:rPr>
          <w:rFonts w:cs="Times New Roman"/>
          <w:szCs w:val="24"/>
        </w:rPr>
      </w:pPr>
      <w:r w:rsidRPr="00577BF3">
        <w:rPr>
          <w:rFonts w:cs="Times New Roman"/>
          <w:szCs w:val="24"/>
        </w:rPr>
        <w:t xml:space="preserve">Metodikas </w:t>
      </w:r>
      <w:r w:rsidR="005572FE" w:rsidRPr="00577BF3">
        <w:rPr>
          <w:rFonts w:cs="Times New Roman"/>
          <w:szCs w:val="24"/>
        </w:rPr>
        <w:t xml:space="preserve">nodaļa – </w:t>
      </w:r>
      <w:r w:rsidRPr="00577BF3">
        <w:rPr>
          <w:rFonts w:cs="Times New Roman"/>
          <w:szCs w:val="24"/>
        </w:rPr>
        <w:t>6 </w:t>
      </w:r>
      <w:r w:rsidR="005572FE" w:rsidRPr="00577BF3">
        <w:rPr>
          <w:rFonts w:cs="Times New Roman"/>
        </w:rPr>
        <w:t>prokurora</w:t>
      </w:r>
      <w:r w:rsidR="005572FE" w:rsidRPr="00577BF3">
        <w:rPr>
          <w:rFonts w:cs="Times New Roman"/>
          <w:szCs w:val="24"/>
        </w:rPr>
        <w:t xml:space="preserve"> amata vietas (1 virsprokurora un </w:t>
      </w:r>
      <w:r w:rsidRPr="00577BF3">
        <w:rPr>
          <w:rFonts w:cs="Times New Roman"/>
        </w:rPr>
        <w:t>5 </w:t>
      </w:r>
      <w:r w:rsidR="005572FE" w:rsidRPr="00577BF3">
        <w:rPr>
          <w:rFonts w:cs="Times New Roman"/>
        </w:rPr>
        <w:t>prokurora</w:t>
      </w:r>
      <w:r w:rsidR="005572FE" w:rsidRPr="00577BF3">
        <w:rPr>
          <w:rFonts w:cs="Times New Roman"/>
          <w:szCs w:val="24"/>
        </w:rPr>
        <w:t xml:space="preserve"> štata vietas);</w:t>
      </w:r>
    </w:p>
    <w:p w14:paraId="244E9D9B" w14:textId="164F6DFD" w:rsidR="005572FE" w:rsidRPr="00577BF3" w:rsidRDefault="00884316" w:rsidP="00B16727">
      <w:pPr>
        <w:pStyle w:val="ListParagraph"/>
        <w:numPr>
          <w:ilvl w:val="0"/>
          <w:numId w:val="1"/>
        </w:numPr>
        <w:spacing w:after="0" w:line="240" w:lineRule="auto"/>
        <w:ind w:left="714" w:hanging="357"/>
        <w:jc w:val="both"/>
        <w:rPr>
          <w:rFonts w:cs="Times New Roman"/>
          <w:szCs w:val="24"/>
        </w:rPr>
      </w:pPr>
      <w:r w:rsidRPr="00577BF3">
        <w:rPr>
          <w:rFonts w:cs="Times New Roman"/>
          <w:szCs w:val="24"/>
        </w:rPr>
        <w:t xml:space="preserve">Starptautiskās sadarbības </w:t>
      </w:r>
      <w:r w:rsidR="005572FE" w:rsidRPr="00577BF3">
        <w:rPr>
          <w:rFonts w:cs="Times New Roman"/>
          <w:szCs w:val="24"/>
        </w:rPr>
        <w:t xml:space="preserve">nodaļa – </w:t>
      </w:r>
      <w:r w:rsidRPr="00577BF3">
        <w:rPr>
          <w:rFonts w:cs="Times New Roman"/>
          <w:szCs w:val="24"/>
        </w:rPr>
        <w:t>11 </w:t>
      </w:r>
      <w:r w:rsidR="005572FE" w:rsidRPr="00577BF3">
        <w:rPr>
          <w:rFonts w:cs="Times New Roman"/>
          <w:szCs w:val="24"/>
        </w:rPr>
        <w:t xml:space="preserve">prokurora amata vietas (1 virsprokurora un </w:t>
      </w:r>
      <w:r w:rsidRPr="00577BF3">
        <w:rPr>
          <w:rFonts w:cs="Times New Roman"/>
          <w:szCs w:val="24"/>
        </w:rPr>
        <w:t>10 </w:t>
      </w:r>
      <w:r w:rsidR="005572FE" w:rsidRPr="00577BF3">
        <w:rPr>
          <w:rFonts w:cs="Times New Roman"/>
          <w:szCs w:val="24"/>
        </w:rPr>
        <w:t>prokurora štata vietas)</w:t>
      </w:r>
      <w:r w:rsidRPr="00577BF3">
        <w:rPr>
          <w:rFonts w:cs="Times New Roman"/>
          <w:szCs w:val="24"/>
        </w:rPr>
        <w:t>.</w:t>
      </w:r>
    </w:p>
    <w:p w14:paraId="492497B1" w14:textId="77777777" w:rsidR="00FF6F6C" w:rsidRPr="00577BF3" w:rsidRDefault="00FF6F6C" w:rsidP="00CF4214">
      <w:pPr>
        <w:spacing w:after="0" w:line="240" w:lineRule="auto"/>
        <w:ind w:firstLine="720"/>
        <w:jc w:val="both"/>
        <w:rPr>
          <w:rFonts w:cs="Times New Roman"/>
          <w:lang w:eastAsia="lv-LV"/>
        </w:rPr>
      </w:pPr>
    </w:p>
    <w:p w14:paraId="41B5EC33" w14:textId="130B5222" w:rsidR="00640459" w:rsidRPr="00577BF3" w:rsidRDefault="0026520F" w:rsidP="00CF4214">
      <w:pPr>
        <w:spacing w:after="0" w:line="240" w:lineRule="auto"/>
        <w:ind w:firstLine="720"/>
        <w:jc w:val="both"/>
        <w:rPr>
          <w:rFonts w:cs="Times New Roman"/>
          <w:lang w:eastAsia="lv-LV"/>
        </w:rPr>
      </w:pPr>
      <w:r w:rsidRPr="00577BF3">
        <w:rPr>
          <w:rFonts w:cs="Times New Roman"/>
          <w:lang w:eastAsia="lv-LV"/>
        </w:rPr>
        <w:t xml:space="preserve">Darbības analīzes un vadības departamentā līdz 2020. gada 31. oktobrim darbojās arī Prokuroru personāla un profesionālās izaugsmes nodaļa, kura </w:t>
      </w:r>
      <w:r w:rsidR="004E31F5" w:rsidRPr="00577BF3">
        <w:rPr>
          <w:rFonts w:cs="Times New Roman"/>
          <w:lang w:eastAsia="lv-LV"/>
        </w:rPr>
        <w:t xml:space="preserve">pēc prokuroru darba prioritāšu izvērtēšanas </w:t>
      </w:r>
      <w:r w:rsidRPr="00577BF3">
        <w:rPr>
          <w:rFonts w:cs="Times New Roman"/>
          <w:lang w:eastAsia="lv-LV"/>
        </w:rPr>
        <w:t>n</w:t>
      </w:r>
      <w:r w:rsidR="00BF2013" w:rsidRPr="00577BF3">
        <w:rPr>
          <w:rFonts w:cs="Times New Roman"/>
          <w:lang w:eastAsia="lv-LV"/>
        </w:rPr>
        <w:t xml:space="preserve">olūkā nodrošināt racionālu valsts budžeta līdzekļu izmantošanu, kā arī radīt vienmērīgāku prokuroru darba slodzes sadalījumu tika </w:t>
      </w:r>
      <w:r w:rsidR="004E31F5" w:rsidRPr="00577BF3">
        <w:rPr>
          <w:rFonts w:cs="Times New Roman"/>
          <w:lang w:eastAsia="lv-LV"/>
        </w:rPr>
        <w:t>likvidēta</w:t>
      </w:r>
      <w:r w:rsidR="00734419" w:rsidRPr="00577BF3">
        <w:rPr>
          <w:rFonts w:cs="Times New Roman"/>
          <w:lang w:eastAsia="lv-LV"/>
        </w:rPr>
        <w:t xml:space="preserve">, </w:t>
      </w:r>
      <w:r w:rsidR="00C00AFF" w:rsidRPr="00577BF3">
        <w:rPr>
          <w:rFonts w:cs="Times New Roman"/>
          <w:lang w:eastAsia="lv-LV"/>
        </w:rPr>
        <w:t xml:space="preserve">šīs nodaļas </w:t>
      </w:r>
      <w:r w:rsidR="000B50DB" w:rsidRPr="00577BF3">
        <w:rPr>
          <w:rFonts w:cs="Times New Roman"/>
          <w:lang w:eastAsia="lv-LV"/>
        </w:rPr>
        <w:t>9 </w:t>
      </w:r>
      <w:r w:rsidR="00640459" w:rsidRPr="00577BF3">
        <w:rPr>
          <w:rFonts w:cs="Times New Roman"/>
          <w:lang w:eastAsia="lv-LV"/>
        </w:rPr>
        <w:t>prokurora amata vietas</w:t>
      </w:r>
      <w:r w:rsidR="006E036C" w:rsidRPr="00577BF3">
        <w:rPr>
          <w:rFonts w:cs="Times New Roman"/>
          <w:lang w:eastAsia="lv-LV"/>
        </w:rPr>
        <w:t xml:space="preserve"> </w:t>
      </w:r>
      <w:r w:rsidR="00640459" w:rsidRPr="00577BF3">
        <w:rPr>
          <w:rFonts w:cs="Times New Roman"/>
          <w:lang w:eastAsia="lv-LV"/>
        </w:rPr>
        <w:t>pēc nepieciešamības ieviešot citās prokuratūras struktūrvienībās.</w:t>
      </w:r>
      <w:r w:rsidR="004E31F5" w:rsidRPr="00577BF3">
        <w:rPr>
          <w:rFonts w:cs="Times New Roman"/>
          <w:lang w:eastAsia="lv-LV"/>
        </w:rPr>
        <w:t xml:space="preserve"> </w:t>
      </w:r>
    </w:p>
    <w:p w14:paraId="04192510" w14:textId="4137ECA7" w:rsidR="006A56BB" w:rsidRPr="00577BF3" w:rsidRDefault="00FF6F6C" w:rsidP="00741F4C">
      <w:pPr>
        <w:spacing w:after="0" w:line="240" w:lineRule="auto"/>
        <w:ind w:firstLine="567"/>
        <w:jc w:val="both"/>
        <w:rPr>
          <w:rFonts w:cs="Times New Roman"/>
          <w:lang w:eastAsia="lv-LV"/>
        </w:rPr>
      </w:pPr>
      <w:r w:rsidRPr="00577BF3">
        <w:rPr>
          <w:rFonts w:cs="Times New Roman"/>
          <w:szCs w:val="24"/>
        </w:rPr>
        <w:t xml:space="preserve">Darbības analīzes un vadības </w:t>
      </w:r>
      <w:r w:rsidRPr="00577BF3">
        <w:rPr>
          <w:rFonts w:cs="Times New Roman"/>
          <w:lang w:eastAsia="lv-LV"/>
        </w:rPr>
        <w:t xml:space="preserve">departamenta prokurora </w:t>
      </w:r>
      <w:r w:rsidR="007D460E">
        <w:rPr>
          <w:rFonts w:cs="Times New Roman"/>
          <w:lang w:eastAsia="lv-LV"/>
        </w:rPr>
        <w:t>amata</w:t>
      </w:r>
      <w:r w:rsidRPr="00577BF3">
        <w:rPr>
          <w:rFonts w:cs="Times New Roman"/>
          <w:lang w:eastAsia="lv-LV"/>
        </w:rPr>
        <w:t xml:space="preserve"> vietu skaits 2020. gada laikā veikto strukturālo reformu rezultātā kopumā samazināts par 10 prokurora </w:t>
      </w:r>
      <w:r w:rsidR="007D460E">
        <w:rPr>
          <w:rFonts w:cs="Times New Roman"/>
          <w:lang w:eastAsia="lv-LV"/>
        </w:rPr>
        <w:t>amata</w:t>
      </w:r>
      <w:r w:rsidR="007415CA">
        <w:rPr>
          <w:rFonts w:cs="Times New Roman"/>
          <w:lang w:eastAsia="lv-LV"/>
        </w:rPr>
        <w:t xml:space="preserve"> </w:t>
      </w:r>
      <w:r w:rsidRPr="00577BF3">
        <w:rPr>
          <w:rFonts w:cs="Times New Roman"/>
          <w:lang w:eastAsia="lv-LV"/>
        </w:rPr>
        <w:t>vietām salīdzinājumā ar stāvokli uz 2020. gada 1. janvāri</w:t>
      </w:r>
      <w:r w:rsidR="00741F4C" w:rsidRPr="00577BF3">
        <w:rPr>
          <w:rFonts w:cs="Times New Roman"/>
          <w:lang w:eastAsia="lv-LV"/>
        </w:rPr>
        <w:t xml:space="preserve">. </w:t>
      </w:r>
    </w:p>
    <w:p w14:paraId="4DD57424" w14:textId="73C243F0" w:rsidR="00CB15D3" w:rsidRDefault="00F97DFE" w:rsidP="006501B4">
      <w:pPr>
        <w:spacing w:after="0" w:line="240" w:lineRule="auto"/>
        <w:ind w:firstLine="567"/>
        <w:jc w:val="both"/>
        <w:rPr>
          <w:rFonts w:cs="Times New Roman"/>
          <w:lang w:eastAsia="lv-LV"/>
        </w:rPr>
      </w:pPr>
      <w:r>
        <w:rPr>
          <w:rFonts w:cs="Times New Roman"/>
          <w:lang w:eastAsia="lv-LV"/>
        </w:rPr>
        <w:t>2020. gadā, l</w:t>
      </w:r>
      <w:r w:rsidRPr="00577BF3">
        <w:rPr>
          <w:rFonts w:cs="Times New Roman"/>
          <w:lang w:eastAsia="lv-LV"/>
        </w:rPr>
        <w:t xml:space="preserve">ikvidējot Latvijas Republikas pārstāvja </w:t>
      </w:r>
      <w:proofErr w:type="spellStart"/>
      <w:r w:rsidRPr="00577BF3">
        <w:rPr>
          <w:rFonts w:cs="Times New Roman"/>
          <w:lang w:eastAsia="lv-LV"/>
        </w:rPr>
        <w:t>Eirojustā</w:t>
      </w:r>
      <w:proofErr w:type="spellEnd"/>
      <w:r w:rsidRPr="00577BF3">
        <w:rPr>
          <w:rFonts w:cs="Times New Roman"/>
          <w:lang w:eastAsia="lv-LV"/>
        </w:rPr>
        <w:t xml:space="preserve"> vietnieka </w:t>
      </w:r>
      <w:r>
        <w:rPr>
          <w:rFonts w:cs="Times New Roman"/>
          <w:lang w:eastAsia="lv-LV"/>
        </w:rPr>
        <w:t>štata</w:t>
      </w:r>
      <w:r w:rsidRPr="00577BF3">
        <w:rPr>
          <w:rFonts w:cs="Times New Roman"/>
          <w:lang w:eastAsia="lv-LV"/>
        </w:rPr>
        <w:t xml:space="preserve"> vietu, kas saskaņā ar Prokuratūras likuma 58.</w:t>
      </w:r>
      <w:r w:rsidRPr="00577BF3">
        <w:rPr>
          <w:rFonts w:cs="Times New Roman"/>
          <w:vertAlign w:val="superscript"/>
          <w:lang w:eastAsia="lv-LV"/>
        </w:rPr>
        <w:t>3</w:t>
      </w:r>
      <w:r w:rsidRPr="00577BF3">
        <w:rPr>
          <w:rFonts w:cs="Times New Roman"/>
          <w:lang w:eastAsia="lv-LV"/>
        </w:rPr>
        <w:t> panta piektajā daļā noteikto atbilst Ģenerālprokuratūras nodaļas virsprokurora amatam, un nosakot, ka viņa pienākumus vienlaicīgi veic Darbības analīzes un vadības departamenta Starptautiskās sadarbības nodaļas virsprokurors</w:t>
      </w:r>
      <w:r>
        <w:rPr>
          <w:rFonts w:cs="Times New Roman"/>
          <w:lang w:eastAsia="lv-LV"/>
        </w:rPr>
        <w:t xml:space="preserve">, </w:t>
      </w:r>
      <w:r w:rsidR="00C376B5" w:rsidRPr="00577BF3">
        <w:rPr>
          <w:rFonts w:cs="Times New Roman"/>
          <w:lang w:eastAsia="lv-LV"/>
        </w:rPr>
        <w:t xml:space="preserve">Ģenerālprokuratūras kopējais prokurora </w:t>
      </w:r>
      <w:r w:rsidR="007D460E">
        <w:rPr>
          <w:rFonts w:cs="Times New Roman"/>
          <w:lang w:eastAsia="lv-LV"/>
        </w:rPr>
        <w:t>amata</w:t>
      </w:r>
      <w:r w:rsidR="00C376B5" w:rsidRPr="00577BF3">
        <w:rPr>
          <w:rFonts w:cs="Times New Roman"/>
          <w:lang w:eastAsia="lv-LV"/>
        </w:rPr>
        <w:t xml:space="preserve"> vietu</w:t>
      </w:r>
      <w:r w:rsidR="000C1F90">
        <w:rPr>
          <w:rFonts w:cs="Times New Roman"/>
          <w:lang w:eastAsia="lv-LV"/>
        </w:rPr>
        <w:t xml:space="preserve"> </w:t>
      </w:r>
      <w:r w:rsidR="00C630AF">
        <w:rPr>
          <w:rFonts w:cs="Times New Roman"/>
          <w:lang w:eastAsia="lv-LV"/>
        </w:rPr>
        <w:t>skaits</w:t>
      </w:r>
      <w:r w:rsidR="002B6CB3">
        <w:rPr>
          <w:rFonts w:cs="Times New Roman"/>
          <w:lang w:eastAsia="lv-LV"/>
        </w:rPr>
        <w:t xml:space="preserve"> </w:t>
      </w:r>
      <w:bookmarkStart w:id="69" w:name="_Hlk63785553"/>
      <w:r>
        <w:rPr>
          <w:rFonts w:cs="Times New Roman"/>
          <w:lang w:eastAsia="lv-LV"/>
        </w:rPr>
        <w:t xml:space="preserve">samazināts vēl par 1 prokurora </w:t>
      </w:r>
      <w:bookmarkEnd w:id="69"/>
      <w:r>
        <w:rPr>
          <w:rFonts w:cs="Times New Roman"/>
          <w:lang w:eastAsia="lv-LV"/>
        </w:rPr>
        <w:t xml:space="preserve">amata vietu </w:t>
      </w:r>
      <w:r w:rsidR="00C376B5" w:rsidRPr="00577BF3">
        <w:rPr>
          <w:rFonts w:cs="Times New Roman"/>
          <w:lang w:eastAsia="lv-LV"/>
        </w:rPr>
        <w:t>salīdzinājumā ar stāvokli uz</w:t>
      </w:r>
      <w:r>
        <w:rPr>
          <w:rFonts w:cs="Times New Roman"/>
          <w:lang w:eastAsia="lv-LV"/>
        </w:rPr>
        <w:t xml:space="preserve"> </w:t>
      </w:r>
      <w:r w:rsidR="007368E6">
        <w:rPr>
          <w:rFonts w:cs="Times New Roman"/>
          <w:lang w:eastAsia="lv-LV"/>
        </w:rPr>
        <w:t>2020. gada 1.janvāri</w:t>
      </w:r>
      <w:r w:rsidR="00CB15D3">
        <w:rPr>
          <w:rFonts w:cs="Times New Roman"/>
          <w:lang w:eastAsia="lv-LV"/>
        </w:rPr>
        <w:t>.</w:t>
      </w:r>
    </w:p>
    <w:p w14:paraId="0A750439" w14:textId="32D26E12" w:rsidR="005B02BF" w:rsidRPr="00577BF3" w:rsidRDefault="00D637C0" w:rsidP="006501B4">
      <w:pPr>
        <w:spacing w:after="0" w:line="240" w:lineRule="auto"/>
        <w:ind w:firstLine="567"/>
        <w:jc w:val="both"/>
        <w:rPr>
          <w:rFonts w:cs="Times New Roman"/>
          <w:lang w:eastAsia="lv-LV"/>
        </w:rPr>
      </w:pPr>
      <w:r w:rsidRPr="00577BF3">
        <w:rPr>
          <w:rFonts w:cs="Times New Roman"/>
          <w:lang w:eastAsia="lv-LV"/>
        </w:rPr>
        <w:t xml:space="preserve"> </w:t>
      </w:r>
    </w:p>
    <w:p w14:paraId="7C3DCEF7" w14:textId="19CD6084" w:rsidR="003A17E1" w:rsidRPr="00526E02" w:rsidRDefault="005B02BF" w:rsidP="00526E02">
      <w:pPr>
        <w:spacing w:after="0" w:line="240" w:lineRule="auto"/>
        <w:jc w:val="center"/>
        <w:rPr>
          <w:rFonts w:eastAsia="Times New Roman" w:cs="Times New Roman"/>
          <w:b/>
          <w:bCs/>
          <w:sz w:val="28"/>
          <w:szCs w:val="28"/>
          <w:lang w:eastAsia="lv-LV"/>
        </w:rPr>
      </w:pPr>
      <w:r w:rsidRPr="00526E02">
        <w:rPr>
          <w:rFonts w:eastAsia="Times New Roman" w:cs="Times New Roman"/>
          <w:b/>
          <w:bCs/>
          <w:sz w:val="28"/>
          <w:szCs w:val="28"/>
          <w:lang w:eastAsia="lv-LV"/>
        </w:rPr>
        <w:t>II. </w:t>
      </w:r>
      <w:r w:rsidR="003A17E1" w:rsidRPr="00526E02">
        <w:rPr>
          <w:rFonts w:eastAsia="Times New Roman" w:cs="Times New Roman"/>
          <w:b/>
          <w:bCs/>
          <w:sz w:val="28"/>
          <w:szCs w:val="28"/>
          <w:lang w:eastAsia="lv-LV"/>
        </w:rPr>
        <w:t xml:space="preserve">Metodikas nodaļas </w:t>
      </w:r>
      <w:r w:rsidR="00E72815">
        <w:rPr>
          <w:rFonts w:eastAsia="Times New Roman" w:cs="Times New Roman"/>
          <w:b/>
          <w:bCs/>
          <w:sz w:val="28"/>
          <w:szCs w:val="28"/>
          <w:lang w:eastAsia="lv-LV"/>
        </w:rPr>
        <w:t xml:space="preserve">prokuroru </w:t>
      </w:r>
      <w:r w:rsidR="003A17E1" w:rsidRPr="00526E02">
        <w:rPr>
          <w:rFonts w:eastAsia="Times New Roman" w:cs="Times New Roman"/>
          <w:b/>
          <w:bCs/>
          <w:sz w:val="28"/>
          <w:szCs w:val="28"/>
          <w:lang w:eastAsia="lv-LV"/>
        </w:rPr>
        <w:t>darba rādītāji</w:t>
      </w:r>
    </w:p>
    <w:p w14:paraId="3815EDB4" w14:textId="77777777" w:rsidR="00526E02" w:rsidRPr="00526E02" w:rsidRDefault="00526E02" w:rsidP="00526E02">
      <w:pPr>
        <w:pStyle w:val="ListParagraph"/>
        <w:spacing w:after="0" w:line="240" w:lineRule="auto"/>
        <w:ind w:left="1080"/>
        <w:jc w:val="center"/>
        <w:rPr>
          <w:rFonts w:eastAsia="Times New Roman" w:cs="Times New Roman"/>
          <w:b/>
          <w:bCs/>
          <w:szCs w:val="24"/>
          <w:lang w:eastAsia="lv-LV"/>
        </w:rPr>
      </w:pPr>
    </w:p>
    <w:p w14:paraId="6A39C7DF" w14:textId="5D87114C" w:rsidR="003A17E1" w:rsidRPr="00577BF3" w:rsidRDefault="003A17E1" w:rsidP="00CF4214">
      <w:pPr>
        <w:spacing w:after="0" w:line="240" w:lineRule="auto"/>
        <w:ind w:firstLine="720"/>
        <w:jc w:val="both"/>
        <w:rPr>
          <w:rFonts w:eastAsia="Times New Roman" w:cs="Times New Roman"/>
          <w:color w:val="000000" w:themeColor="text1"/>
          <w:szCs w:val="24"/>
          <w:lang w:eastAsia="lv-LV"/>
        </w:rPr>
      </w:pPr>
      <w:r w:rsidRPr="00577BF3">
        <w:rPr>
          <w:rFonts w:eastAsia="Times New Roman" w:cs="Times New Roman"/>
          <w:color w:val="000000" w:themeColor="text1"/>
          <w:szCs w:val="24"/>
          <w:lang w:eastAsia="lv-LV"/>
        </w:rPr>
        <w:t xml:space="preserve">Metodikas nodaļas prokurori, tostarp arī prokurors, kurš </w:t>
      </w:r>
      <w:r w:rsidR="001D5946" w:rsidRPr="00577BF3">
        <w:rPr>
          <w:rFonts w:eastAsia="Times New Roman" w:cs="Times New Roman"/>
          <w:color w:val="000000" w:themeColor="text1"/>
          <w:szCs w:val="24"/>
          <w:lang w:eastAsia="lv-LV"/>
        </w:rPr>
        <w:t>īsteno</w:t>
      </w:r>
      <w:r w:rsidRPr="00577BF3">
        <w:rPr>
          <w:rFonts w:eastAsia="Times New Roman" w:cs="Times New Roman"/>
          <w:color w:val="000000" w:themeColor="text1"/>
          <w:szCs w:val="24"/>
          <w:lang w:eastAsia="lv-LV"/>
        </w:rPr>
        <w:t xml:space="preserve"> amatā augstāka prokurora pilnvaras un turpina uzturēt valsts apsūdzību atsevišķos kriminālprocesos, veic</w:t>
      </w:r>
      <w:r w:rsidR="00AD3C5E" w:rsidRPr="00577BF3">
        <w:rPr>
          <w:rFonts w:eastAsia="Times New Roman" w:cs="Times New Roman"/>
          <w:color w:val="000000" w:themeColor="text1"/>
          <w:szCs w:val="24"/>
          <w:lang w:eastAsia="lv-LV"/>
        </w:rPr>
        <w:t xml:space="preserve"> uzdevumus</w:t>
      </w:r>
      <w:r w:rsidRPr="00577BF3">
        <w:rPr>
          <w:rFonts w:eastAsia="Times New Roman" w:cs="Times New Roman"/>
          <w:color w:val="000000" w:themeColor="text1"/>
          <w:szCs w:val="24"/>
          <w:lang w:eastAsia="lv-LV"/>
        </w:rPr>
        <w:t>, kas saistīt</w:t>
      </w:r>
      <w:r w:rsidR="00AD3C5E" w:rsidRPr="00577BF3">
        <w:rPr>
          <w:rFonts w:eastAsia="Times New Roman" w:cs="Times New Roman"/>
          <w:color w:val="000000" w:themeColor="text1"/>
          <w:szCs w:val="24"/>
          <w:lang w:eastAsia="lv-LV"/>
        </w:rPr>
        <w:t>i</w:t>
      </w:r>
      <w:r w:rsidRPr="00577BF3">
        <w:rPr>
          <w:rFonts w:eastAsia="Times New Roman" w:cs="Times New Roman"/>
          <w:color w:val="000000" w:themeColor="text1"/>
          <w:szCs w:val="24"/>
          <w:lang w:eastAsia="lv-LV"/>
        </w:rPr>
        <w:t xml:space="preserve"> ar vienotas prakses un likumu normu izpratnes veidošanu prokuratūrā, prokuroru praktiskajā darbā pieļauto kļūdu un nepilnību apzināšanu, </w:t>
      </w:r>
      <w:r w:rsidR="00AD3C5E" w:rsidRPr="00577BF3">
        <w:rPr>
          <w:rFonts w:eastAsia="Times New Roman" w:cs="Times New Roman"/>
          <w:color w:val="000000" w:themeColor="text1"/>
          <w:szCs w:val="24"/>
          <w:lang w:eastAsia="lv-LV"/>
        </w:rPr>
        <w:t xml:space="preserve">apkopošanu, </w:t>
      </w:r>
      <w:r w:rsidRPr="00577BF3">
        <w:rPr>
          <w:rFonts w:eastAsia="Times New Roman" w:cs="Times New Roman"/>
          <w:color w:val="000000" w:themeColor="text1"/>
          <w:szCs w:val="24"/>
          <w:lang w:eastAsia="lv-LV"/>
        </w:rPr>
        <w:t>analīzi un turpmāku ieteikumu izstrādi,  dienesta vēstuļu</w:t>
      </w:r>
      <w:r w:rsidR="00AD3C5E" w:rsidRPr="00577BF3">
        <w:rPr>
          <w:rFonts w:eastAsia="Times New Roman" w:cs="Times New Roman"/>
          <w:color w:val="000000" w:themeColor="text1"/>
          <w:szCs w:val="24"/>
          <w:lang w:eastAsia="lv-LV"/>
        </w:rPr>
        <w:t xml:space="preserve"> </w:t>
      </w:r>
      <w:r w:rsidRPr="00577BF3">
        <w:rPr>
          <w:rFonts w:eastAsia="Times New Roman" w:cs="Times New Roman"/>
          <w:color w:val="000000" w:themeColor="text1"/>
          <w:szCs w:val="24"/>
          <w:lang w:eastAsia="lv-LV"/>
        </w:rPr>
        <w:t xml:space="preserve">sagatavošanu prokuroriem un citām institūcijām. </w:t>
      </w:r>
    </w:p>
    <w:p w14:paraId="0637D8E9" w14:textId="401A1312" w:rsidR="00F81633" w:rsidRPr="00577BF3" w:rsidRDefault="003A17E1" w:rsidP="00CF4214">
      <w:pPr>
        <w:spacing w:after="0" w:line="240" w:lineRule="auto"/>
        <w:ind w:firstLine="720"/>
        <w:jc w:val="both"/>
        <w:rPr>
          <w:rFonts w:eastAsia="Times New Roman" w:cs="Times New Roman"/>
          <w:color w:val="000000" w:themeColor="text1"/>
          <w:szCs w:val="24"/>
          <w:lang w:eastAsia="lv-LV"/>
        </w:rPr>
      </w:pPr>
      <w:r w:rsidRPr="00577BF3">
        <w:rPr>
          <w:rFonts w:eastAsia="Times New Roman" w:cs="Times New Roman"/>
          <w:color w:val="000000" w:themeColor="text1"/>
          <w:szCs w:val="24"/>
          <w:lang w:eastAsia="lv-LV"/>
        </w:rPr>
        <w:t>Metodikas nodaļas prokuroru</w:t>
      </w:r>
      <w:r w:rsidR="006511A9" w:rsidRPr="00577BF3">
        <w:rPr>
          <w:rFonts w:eastAsia="Times New Roman" w:cs="Times New Roman"/>
          <w:color w:val="000000" w:themeColor="text1"/>
          <w:szCs w:val="24"/>
          <w:lang w:eastAsia="lv-LV"/>
        </w:rPr>
        <w:t xml:space="preserve"> darba rezultātā </w:t>
      </w:r>
      <w:r w:rsidRPr="00577BF3">
        <w:rPr>
          <w:rFonts w:eastAsia="Times New Roman" w:cs="Times New Roman"/>
          <w:color w:val="000000" w:themeColor="text1"/>
          <w:szCs w:val="24"/>
          <w:lang w:eastAsia="lv-LV"/>
        </w:rPr>
        <w:t>tiek nodrošināta iespēja reaģēt uz atšķirīgu</w:t>
      </w:r>
      <w:r w:rsidR="006B794C" w:rsidRPr="00577BF3">
        <w:rPr>
          <w:rFonts w:eastAsia="Times New Roman" w:cs="Times New Roman"/>
          <w:color w:val="000000" w:themeColor="text1"/>
          <w:szCs w:val="24"/>
          <w:lang w:eastAsia="lv-LV"/>
        </w:rPr>
        <w:t xml:space="preserve"> tiesību</w:t>
      </w:r>
      <w:r w:rsidRPr="00577BF3">
        <w:rPr>
          <w:rFonts w:eastAsia="Times New Roman" w:cs="Times New Roman"/>
          <w:color w:val="000000" w:themeColor="text1"/>
          <w:szCs w:val="24"/>
          <w:lang w:eastAsia="lv-LV"/>
        </w:rPr>
        <w:t xml:space="preserve"> normu piemērošanu, savlaicīgi apzināt kļūdainus </w:t>
      </w:r>
      <w:r w:rsidR="001B4755" w:rsidRPr="00577BF3">
        <w:rPr>
          <w:rFonts w:eastAsia="Times New Roman" w:cs="Times New Roman"/>
          <w:color w:val="000000" w:themeColor="text1"/>
          <w:szCs w:val="24"/>
          <w:lang w:eastAsia="lv-LV"/>
        </w:rPr>
        <w:t>to</w:t>
      </w:r>
      <w:r w:rsidRPr="00577BF3">
        <w:rPr>
          <w:rFonts w:eastAsia="Times New Roman" w:cs="Times New Roman"/>
          <w:color w:val="000000" w:themeColor="text1"/>
          <w:szCs w:val="24"/>
          <w:lang w:eastAsia="lv-LV"/>
        </w:rPr>
        <w:t xml:space="preserve"> piemērošanas gadījumus un veidot vienotu tiesību aktiem atbilstošu praksi, nepieciešamības gadījumā ierosinot veikt grozījumus normatīvajos aktos. </w:t>
      </w:r>
    </w:p>
    <w:p w14:paraId="67332C9E" w14:textId="16ED0F1D" w:rsidR="003A17E1" w:rsidRPr="00577BF3" w:rsidRDefault="003A17E1" w:rsidP="00477AA2">
      <w:pPr>
        <w:spacing w:after="0" w:line="240" w:lineRule="auto"/>
        <w:ind w:firstLine="720"/>
        <w:jc w:val="both"/>
        <w:rPr>
          <w:rFonts w:eastAsia="Times New Roman" w:cs="Times New Roman"/>
          <w:color w:val="000000" w:themeColor="text1"/>
          <w:szCs w:val="24"/>
          <w:lang w:eastAsia="lv-LV"/>
        </w:rPr>
      </w:pPr>
      <w:r w:rsidRPr="00577BF3">
        <w:rPr>
          <w:rFonts w:eastAsia="Times New Roman" w:cs="Times New Roman"/>
          <w:color w:val="000000" w:themeColor="text1"/>
          <w:szCs w:val="24"/>
          <w:lang w:eastAsia="lv-LV"/>
        </w:rPr>
        <w:t xml:space="preserve">Būtisks Metodikas nodaļas prokuroru darbs saistīts ar citu institūciju izstrādāto tiesību aktu </w:t>
      </w:r>
      <w:r w:rsidR="002E5CCD" w:rsidRPr="00577BF3">
        <w:rPr>
          <w:rFonts w:eastAsia="Times New Roman" w:cs="Times New Roman"/>
          <w:color w:val="000000" w:themeColor="text1"/>
          <w:szCs w:val="24"/>
          <w:lang w:eastAsia="lv-LV"/>
        </w:rPr>
        <w:t>un politikas dokumentu</w:t>
      </w:r>
      <w:r w:rsidRPr="00577BF3">
        <w:rPr>
          <w:rFonts w:eastAsia="Times New Roman" w:cs="Times New Roman"/>
          <w:color w:val="000000" w:themeColor="text1"/>
          <w:szCs w:val="24"/>
          <w:lang w:eastAsia="lv-LV"/>
        </w:rPr>
        <w:t xml:space="preserve">, kas saistīti ar prokuratūras kompetences jautājumiem, </w:t>
      </w:r>
      <w:r w:rsidR="002E5CCD" w:rsidRPr="00577BF3">
        <w:rPr>
          <w:rFonts w:eastAsia="Times New Roman" w:cs="Times New Roman"/>
          <w:color w:val="000000" w:themeColor="text1"/>
          <w:szCs w:val="24"/>
          <w:lang w:eastAsia="lv-LV"/>
        </w:rPr>
        <w:t xml:space="preserve">projektu </w:t>
      </w:r>
      <w:r w:rsidRPr="00577BF3">
        <w:rPr>
          <w:rFonts w:eastAsia="Times New Roman" w:cs="Times New Roman"/>
          <w:color w:val="000000" w:themeColor="text1"/>
          <w:szCs w:val="24"/>
          <w:lang w:eastAsia="lv-LV"/>
        </w:rPr>
        <w:t>izvērtēšanu un atzinumu sniegšanu</w:t>
      </w:r>
      <w:r w:rsidR="002E5CCD" w:rsidRPr="00577BF3">
        <w:rPr>
          <w:rFonts w:eastAsia="Times New Roman" w:cs="Times New Roman"/>
          <w:color w:val="000000" w:themeColor="text1"/>
          <w:szCs w:val="24"/>
          <w:lang w:eastAsia="lv-LV"/>
        </w:rPr>
        <w:t xml:space="preserve">, </w:t>
      </w:r>
      <w:r w:rsidR="00F81633" w:rsidRPr="00577BF3">
        <w:rPr>
          <w:rFonts w:eastAsia="Times New Roman" w:cs="Times New Roman"/>
          <w:color w:val="000000" w:themeColor="text1"/>
          <w:szCs w:val="24"/>
          <w:lang w:eastAsia="lv-LV"/>
        </w:rPr>
        <w:t xml:space="preserve">atbilžu sagatavošanu uz </w:t>
      </w:r>
      <w:r w:rsidR="002E5CCD" w:rsidRPr="00577BF3">
        <w:rPr>
          <w:rFonts w:eastAsia="Times New Roman" w:cs="Times New Roman"/>
          <w:color w:val="000000" w:themeColor="text1"/>
          <w:szCs w:val="24"/>
          <w:lang w:eastAsia="lv-LV"/>
        </w:rPr>
        <w:t xml:space="preserve">ārvalstu institūciju </w:t>
      </w:r>
      <w:r w:rsidR="00F81633" w:rsidRPr="00577BF3">
        <w:rPr>
          <w:rFonts w:eastAsia="Times New Roman" w:cs="Times New Roman"/>
          <w:color w:val="000000" w:themeColor="text1"/>
          <w:szCs w:val="24"/>
          <w:lang w:eastAsia="lv-LV"/>
        </w:rPr>
        <w:t>vēstulē</w:t>
      </w:r>
      <w:r w:rsidR="001B4755" w:rsidRPr="00577BF3">
        <w:rPr>
          <w:rFonts w:eastAsia="Times New Roman" w:cs="Times New Roman"/>
          <w:color w:val="000000" w:themeColor="text1"/>
          <w:szCs w:val="24"/>
          <w:lang w:eastAsia="lv-LV"/>
        </w:rPr>
        <w:t>s</w:t>
      </w:r>
      <w:r w:rsidR="00F81633" w:rsidRPr="00577BF3">
        <w:rPr>
          <w:rFonts w:eastAsia="Times New Roman" w:cs="Times New Roman"/>
          <w:color w:val="000000" w:themeColor="text1"/>
          <w:szCs w:val="24"/>
          <w:lang w:eastAsia="lv-LV"/>
        </w:rPr>
        <w:t xml:space="preserve"> vai anketā</w:t>
      </w:r>
      <w:r w:rsidR="001B4755" w:rsidRPr="00577BF3">
        <w:rPr>
          <w:rFonts w:eastAsia="Times New Roman" w:cs="Times New Roman"/>
          <w:color w:val="000000" w:themeColor="text1"/>
          <w:szCs w:val="24"/>
          <w:lang w:eastAsia="lv-LV"/>
        </w:rPr>
        <w:t>s</w:t>
      </w:r>
      <w:r w:rsidR="00F81633" w:rsidRPr="00577BF3">
        <w:rPr>
          <w:rFonts w:eastAsia="Times New Roman" w:cs="Times New Roman"/>
          <w:color w:val="000000" w:themeColor="text1"/>
          <w:szCs w:val="24"/>
          <w:lang w:eastAsia="lv-LV"/>
        </w:rPr>
        <w:t xml:space="preserve"> uzdotajiem jautājumiem</w:t>
      </w:r>
      <w:r w:rsidR="00FF0CE0" w:rsidRPr="00577BF3">
        <w:rPr>
          <w:rFonts w:eastAsia="Times New Roman" w:cs="Times New Roman"/>
          <w:color w:val="000000" w:themeColor="text1"/>
          <w:szCs w:val="24"/>
          <w:lang w:eastAsia="lv-LV"/>
        </w:rPr>
        <w:t xml:space="preserve">, </w:t>
      </w:r>
      <w:r w:rsidRPr="00577BF3">
        <w:rPr>
          <w:rFonts w:eastAsia="Times New Roman" w:cs="Times New Roman"/>
          <w:color w:val="000000" w:themeColor="text1"/>
          <w:szCs w:val="24"/>
          <w:lang w:eastAsia="lv-LV"/>
        </w:rPr>
        <w:t xml:space="preserve">dalību </w:t>
      </w:r>
      <w:r w:rsidR="00FF0CE0" w:rsidRPr="00577BF3">
        <w:rPr>
          <w:rFonts w:eastAsia="Times New Roman" w:cs="Times New Roman"/>
          <w:color w:val="000000" w:themeColor="text1"/>
          <w:szCs w:val="24"/>
          <w:lang w:eastAsia="lv-LV"/>
        </w:rPr>
        <w:t xml:space="preserve">prokuratūras un </w:t>
      </w:r>
      <w:r w:rsidRPr="00577BF3">
        <w:rPr>
          <w:rFonts w:eastAsia="Times New Roman" w:cs="Times New Roman"/>
          <w:color w:val="000000" w:themeColor="text1"/>
          <w:szCs w:val="24"/>
          <w:lang w:eastAsia="lv-LV"/>
        </w:rPr>
        <w:t>citu institūciju veidotajās darba grupās, komisijās un sanāksmēs</w:t>
      </w:r>
      <w:r w:rsidR="00F81633" w:rsidRPr="00577BF3">
        <w:rPr>
          <w:rFonts w:eastAsia="Times New Roman" w:cs="Times New Roman"/>
          <w:color w:val="000000" w:themeColor="text1"/>
          <w:szCs w:val="24"/>
          <w:lang w:eastAsia="lv-LV"/>
        </w:rPr>
        <w:t>, kā arī prokuratūras iekšējo normatīvo aktu projektu izstrādi</w:t>
      </w:r>
      <w:r w:rsidR="00477AA2" w:rsidRPr="00577BF3">
        <w:rPr>
          <w:rFonts w:eastAsia="Times New Roman" w:cs="Times New Roman"/>
          <w:color w:val="000000" w:themeColor="text1"/>
          <w:szCs w:val="24"/>
          <w:lang w:eastAsia="lv-LV"/>
        </w:rPr>
        <w:t>.</w:t>
      </w:r>
    </w:p>
    <w:p w14:paraId="043679AB" w14:textId="2C3EAC8A" w:rsidR="00663E51" w:rsidRDefault="00663E51">
      <w:pPr>
        <w:rPr>
          <w:rFonts w:eastAsia="Times New Roman" w:cs="Times New Roman"/>
          <w:color w:val="000000" w:themeColor="text1"/>
          <w:szCs w:val="24"/>
          <w:lang w:eastAsia="lv-LV"/>
        </w:rPr>
      </w:pPr>
      <w:r>
        <w:rPr>
          <w:rFonts w:eastAsia="Times New Roman" w:cs="Times New Roman"/>
          <w:color w:val="000000" w:themeColor="text1"/>
          <w:szCs w:val="24"/>
          <w:lang w:eastAsia="lv-LV"/>
        </w:rPr>
        <w:br w:type="page"/>
      </w:r>
    </w:p>
    <w:p w14:paraId="3143882F" w14:textId="5A3EF32E" w:rsidR="003A17E1" w:rsidRPr="00577BF3" w:rsidRDefault="003A17E1" w:rsidP="00CF4214">
      <w:pPr>
        <w:spacing w:after="240" w:line="240" w:lineRule="auto"/>
        <w:rPr>
          <w:rFonts w:eastAsia="Times New Roman" w:cs="Times New Roman"/>
          <w:b/>
          <w:i/>
          <w:iCs/>
          <w:szCs w:val="24"/>
          <w:lang w:eastAsia="lv-LV"/>
        </w:rPr>
      </w:pPr>
      <w:r w:rsidRPr="00577BF3">
        <w:rPr>
          <w:rFonts w:eastAsia="Times New Roman" w:cs="Times New Roman"/>
          <w:b/>
          <w:i/>
          <w:iCs/>
          <w:szCs w:val="24"/>
          <w:lang w:eastAsia="lv-LV"/>
        </w:rPr>
        <w:lastRenderedPageBreak/>
        <w:t xml:space="preserve">Metodikas nodaļas </w:t>
      </w:r>
      <w:r w:rsidR="00E72815">
        <w:rPr>
          <w:rFonts w:eastAsia="Times New Roman" w:cs="Times New Roman"/>
          <w:b/>
          <w:i/>
          <w:iCs/>
          <w:szCs w:val="24"/>
          <w:lang w:eastAsia="lv-LV"/>
        </w:rPr>
        <w:t xml:space="preserve">prokuroru </w:t>
      </w:r>
      <w:r w:rsidRPr="00577BF3">
        <w:rPr>
          <w:rFonts w:eastAsia="Times New Roman" w:cs="Times New Roman"/>
          <w:b/>
          <w:i/>
          <w:iCs/>
          <w:szCs w:val="24"/>
          <w:lang w:eastAsia="lv-LV"/>
        </w:rPr>
        <w:t>darba statistiskie rādītāji</w:t>
      </w:r>
    </w:p>
    <w:tbl>
      <w:tblPr>
        <w:tblStyle w:val="GridTable5Dark-Accent5"/>
        <w:tblW w:w="9072" w:type="dxa"/>
        <w:tblLayout w:type="fixed"/>
        <w:tblLook w:val="0500" w:firstRow="0" w:lastRow="0" w:firstColumn="0" w:lastColumn="1" w:noHBand="0" w:noVBand="1"/>
      </w:tblPr>
      <w:tblGrid>
        <w:gridCol w:w="567"/>
        <w:gridCol w:w="7655"/>
        <w:gridCol w:w="850"/>
      </w:tblGrid>
      <w:tr w:rsidR="003A17E1" w:rsidRPr="00577BF3" w14:paraId="75D784D9" w14:textId="77777777" w:rsidTr="00D22A9E">
        <w:trPr>
          <w:cnfStyle w:val="000000100000" w:firstRow="0" w:lastRow="0" w:firstColumn="0" w:lastColumn="0" w:oddVBand="0" w:evenVBand="0" w:oddHBand="1" w:evenHBand="0" w:firstRowFirstColumn="0" w:firstRowLastColumn="0" w:lastRowFirstColumn="0" w:lastRowLastColumn="0"/>
        </w:trPr>
        <w:tc>
          <w:tcPr>
            <w:tcW w:w="567" w:type="dxa"/>
          </w:tcPr>
          <w:p w14:paraId="06CC444D" w14:textId="77777777" w:rsidR="003A17E1" w:rsidRPr="00577BF3" w:rsidRDefault="003A17E1" w:rsidP="00CF4214">
            <w:pPr>
              <w:rPr>
                <w:rFonts w:eastAsia="Times New Roman" w:cs="Times New Roman"/>
                <w:sz w:val="22"/>
                <w:szCs w:val="20"/>
                <w:lang w:eastAsia="lv-LV"/>
              </w:rPr>
            </w:pPr>
            <w:r w:rsidRPr="00577BF3">
              <w:rPr>
                <w:rFonts w:eastAsia="Times New Roman" w:cs="Times New Roman"/>
                <w:sz w:val="22"/>
                <w:szCs w:val="20"/>
                <w:lang w:eastAsia="lv-LV"/>
              </w:rPr>
              <w:t>1.</w:t>
            </w:r>
          </w:p>
        </w:tc>
        <w:tc>
          <w:tcPr>
            <w:tcW w:w="7655" w:type="dxa"/>
          </w:tcPr>
          <w:p w14:paraId="6564ED8D" w14:textId="77777777" w:rsidR="003A17E1" w:rsidRPr="00577BF3" w:rsidRDefault="003A17E1" w:rsidP="00CF4214">
            <w:pPr>
              <w:rPr>
                <w:rFonts w:eastAsia="Times New Roman" w:cs="Times New Roman"/>
                <w:sz w:val="22"/>
                <w:szCs w:val="20"/>
                <w:lang w:eastAsia="lv-LV"/>
              </w:rPr>
            </w:pPr>
            <w:r w:rsidRPr="00577BF3">
              <w:rPr>
                <w:rFonts w:eastAsia="Times New Roman" w:cs="Times New Roman"/>
                <w:sz w:val="22"/>
                <w:szCs w:val="20"/>
                <w:lang w:eastAsia="lv-LV"/>
              </w:rPr>
              <w:t xml:space="preserve">Izstrādāti atzinumi par tiesību aktu vai politikas dokumentu un tā anotāciju </w:t>
            </w:r>
            <w:r w:rsidRPr="00577BF3">
              <w:rPr>
                <w:rFonts w:eastAsia="Times New Roman" w:cs="Times New Roman"/>
                <w:color w:val="000000"/>
                <w:sz w:val="22"/>
                <w:szCs w:val="20"/>
                <w:lang w:eastAsia="lv-LV"/>
              </w:rPr>
              <w:t>projektiem</w:t>
            </w:r>
            <w:r w:rsidRPr="00577BF3">
              <w:rPr>
                <w:rFonts w:eastAsia="Times New Roman" w:cs="Times New Roman"/>
                <w:color w:val="C0504D"/>
                <w:sz w:val="22"/>
                <w:szCs w:val="20"/>
                <w:lang w:eastAsia="lv-LV"/>
              </w:rPr>
              <w:t xml:space="preserve"> </w:t>
            </w:r>
            <w:r w:rsidRPr="00577BF3">
              <w:rPr>
                <w:rFonts w:eastAsia="Times New Roman" w:cs="Times New Roman"/>
                <w:i/>
                <w:iCs/>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6BFA212C" w14:textId="77777777" w:rsidR="003A17E1" w:rsidRPr="00577BF3" w:rsidRDefault="003A17E1" w:rsidP="00CF4214">
            <w:pPr>
              <w:jc w:val="center"/>
              <w:rPr>
                <w:rFonts w:eastAsia="Times New Roman" w:cs="Times New Roman"/>
                <w:color w:val="000000" w:themeColor="text1"/>
                <w:sz w:val="22"/>
                <w:szCs w:val="20"/>
                <w:lang w:eastAsia="lv-LV"/>
              </w:rPr>
            </w:pPr>
            <w:r w:rsidRPr="00577BF3">
              <w:rPr>
                <w:rFonts w:eastAsia="Times New Roman" w:cs="Times New Roman"/>
                <w:color w:val="000000" w:themeColor="text1"/>
                <w:sz w:val="22"/>
                <w:szCs w:val="20"/>
                <w:lang w:eastAsia="lv-LV"/>
              </w:rPr>
              <w:t>72</w:t>
            </w:r>
          </w:p>
        </w:tc>
      </w:tr>
      <w:tr w:rsidR="003A17E1" w:rsidRPr="00577BF3" w14:paraId="1CF6BE8A" w14:textId="77777777" w:rsidTr="00D22A9E">
        <w:tc>
          <w:tcPr>
            <w:tcW w:w="567" w:type="dxa"/>
          </w:tcPr>
          <w:p w14:paraId="68108060" w14:textId="77777777" w:rsidR="003A17E1" w:rsidRPr="00577BF3" w:rsidRDefault="003A17E1" w:rsidP="00CF4214">
            <w:pPr>
              <w:rPr>
                <w:rFonts w:eastAsia="Times New Roman" w:cs="Times New Roman"/>
                <w:sz w:val="22"/>
                <w:szCs w:val="20"/>
                <w:lang w:eastAsia="lv-LV"/>
              </w:rPr>
            </w:pPr>
            <w:r w:rsidRPr="00577BF3">
              <w:rPr>
                <w:rFonts w:eastAsia="Times New Roman" w:cs="Times New Roman"/>
                <w:sz w:val="22"/>
                <w:szCs w:val="20"/>
                <w:lang w:eastAsia="lv-LV"/>
              </w:rPr>
              <w:t>2.</w:t>
            </w:r>
          </w:p>
        </w:tc>
        <w:tc>
          <w:tcPr>
            <w:tcW w:w="7655" w:type="dxa"/>
          </w:tcPr>
          <w:p w14:paraId="5C19D357" w14:textId="77777777" w:rsidR="003A17E1" w:rsidRPr="00577BF3" w:rsidRDefault="003A17E1" w:rsidP="00CF4214">
            <w:pPr>
              <w:rPr>
                <w:rFonts w:eastAsia="Times New Roman" w:cs="Times New Roman"/>
                <w:color w:val="C00000"/>
                <w:sz w:val="22"/>
                <w:szCs w:val="20"/>
                <w:lang w:eastAsia="lv-LV"/>
              </w:rPr>
            </w:pPr>
            <w:r w:rsidRPr="00577BF3">
              <w:rPr>
                <w:rFonts w:eastAsia="Times New Roman" w:cs="Times New Roman"/>
                <w:color w:val="000000"/>
                <w:sz w:val="22"/>
                <w:szCs w:val="20"/>
                <w:lang w:eastAsia="lv-LV"/>
              </w:rPr>
              <w:t>Sagatavotas dienesta</w:t>
            </w:r>
            <w:r w:rsidRPr="00577BF3">
              <w:rPr>
                <w:rFonts w:eastAsia="Times New Roman" w:cs="Times New Roman"/>
                <w:color w:val="C00000"/>
                <w:sz w:val="22"/>
                <w:szCs w:val="20"/>
                <w:lang w:eastAsia="lv-LV"/>
              </w:rPr>
              <w:t xml:space="preserve"> </w:t>
            </w:r>
            <w:r w:rsidRPr="00577BF3">
              <w:rPr>
                <w:rFonts w:eastAsia="Times New Roman" w:cs="Times New Roman"/>
                <w:color w:val="000000"/>
                <w:sz w:val="22"/>
                <w:szCs w:val="20"/>
                <w:lang w:eastAsia="lv-LV"/>
              </w:rPr>
              <w:t>vēstules un atbildes</w:t>
            </w:r>
            <w:r w:rsidRPr="00577BF3">
              <w:rPr>
                <w:rFonts w:eastAsia="Times New Roman" w:cs="Times New Roman"/>
                <w:color w:val="C00000"/>
                <w:sz w:val="22"/>
                <w:szCs w:val="20"/>
                <w:lang w:eastAsia="lv-LV"/>
              </w:rPr>
              <w:t xml:space="preserve"> </w:t>
            </w:r>
            <w:r w:rsidRPr="00577BF3">
              <w:rPr>
                <w:rFonts w:eastAsia="Times New Roman" w:cs="Times New Roman"/>
                <w:color w:val="000000"/>
                <w:sz w:val="22"/>
                <w:szCs w:val="20"/>
                <w:lang w:eastAsia="lv-LV"/>
              </w:rPr>
              <w:t>uz prokuratūras struktūrvienību</w:t>
            </w:r>
            <w:r w:rsidRPr="00577BF3">
              <w:rPr>
                <w:rFonts w:eastAsia="Times New Roman" w:cs="Times New Roman"/>
                <w:color w:val="C00000"/>
                <w:sz w:val="22"/>
                <w:szCs w:val="20"/>
                <w:lang w:eastAsia="lv-LV"/>
              </w:rPr>
              <w:t xml:space="preserve"> </w:t>
            </w:r>
            <w:r w:rsidRPr="00577BF3">
              <w:rPr>
                <w:rFonts w:eastAsia="Times New Roman" w:cs="Times New Roman"/>
                <w:color w:val="000000"/>
                <w:sz w:val="22"/>
                <w:szCs w:val="20"/>
                <w:lang w:eastAsia="lv-LV"/>
              </w:rPr>
              <w:t xml:space="preserve">un citu institūciju iesniegumiem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65CDA318" w14:textId="77777777" w:rsidR="003A17E1" w:rsidRPr="00577BF3" w:rsidRDefault="003A17E1" w:rsidP="00CF4214">
            <w:pPr>
              <w:jc w:val="center"/>
              <w:rPr>
                <w:rFonts w:eastAsia="Times New Roman" w:cs="Times New Roman"/>
                <w:color w:val="000000" w:themeColor="text1"/>
                <w:sz w:val="22"/>
                <w:szCs w:val="20"/>
                <w:lang w:eastAsia="lv-LV"/>
              </w:rPr>
            </w:pPr>
            <w:r w:rsidRPr="00577BF3">
              <w:rPr>
                <w:rFonts w:eastAsia="Times New Roman" w:cs="Times New Roman"/>
                <w:color w:val="000000" w:themeColor="text1"/>
                <w:sz w:val="22"/>
                <w:szCs w:val="20"/>
                <w:lang w:eastAsia="lv-LV"/>
              </w:rPr>
              <w:t>281</w:t>
            </w:r>
          </w:p>
        </w:tc>
      </w:tr>
      <w:tr w:rsidR="003A17E1" w:rsidRPr="00577BF3" w14:paraId="2538D4C4" w14:textId="77777777" w:rsidTr="00D22A9E">
        <w:trPr>
          <w:cnfStyle w:val="000000100000" w:firstRow="0" w:lastRow="0" w:firstColumn="0" w:lastColumn="0" w:oddVBand="0" w:evenVBand="0" w:oddHBand="1" w:evenHBand="0" w:firstRowFirstColumn="0" w:firstRowLastColumn="0" w:lastRowFirstColumn="0" w:lastRowLastColumn="0"/>
        </w:trPr>
        <w:tc>
          <w:tcPr>
            <w:tcW w:w="567" w:type="dxa"/>
          </w:tcPr>
          <w:p w14:paraId="40F88069"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3.</w:t>
            </w:r>
          </w:p>
        </w:tc>
        <w:tc>
          <w:tcPr>
            <w:tcW w:w="7655" w:type="dxa"/>
          </w:tcPr>
          <w:p w14:paraId="1863128A"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Sagatavotas atbildes pēc ārvalstu vai starptautisku organizāciju pieprasījuma par tiesību normu piemērošanas efektivitāti un citiem prokuratūras kompetences jautājumiem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2BCAFC2B"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26</w:t>
            </w:r>
          </w:p>
        </w:tc>
      </w:tr>
      <w:tr w:rsidR="003A17E1" w:rsidRPr="00577BF3" w14:paraId="2D8E66C0" w14:textId="77777777" w:rsidTr="00D22A9E">
        <w:tc>
          <w:tcPr>
            <w:tcW w:w="567" w:type="dxa"/>
          </w:tcPr>
          <w:p w14:paraId="10472033"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4. </w:t>
            </w:r>
          </w:p>
        </w:tc>
        <w:tc>
          <w:tcPr>
            <w:tcW w:w="7655" w:type="dxa"/>
          </w:tcPr>
          <w:p w14:paraId="13AAF276"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Izlemtas sūdzības, informācijas, neveidojot pārbaudes lietas</w:t>
            </w:r>
          </w:p>
        </w:tc>
        <w:tc>
          <w:tcPr>
            <w:cnfStyle w:val="000100000000" w:firstRow="0" w:lastRow="0" w:firstColumn="0" w:lastColumn="1" w:oddVBand="0" w:evenVBand="0" w:oddHBand="0" w:evenHBand="0" w:firstRowFirstColumn="0" w:firstRowLastColumn="0" w:lastRowFirstColumn="0" w:lastRowLastColumn="0"/>
            <w:tcW w:w="850" w:type="dxa"/>
          </w:tcPr>
          <w:p w14:paraId="2024599C"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w:t>
            </w:r>
          </w:p>
        </w:tc>
      </w:tr>
      <w:tr w:rsidR="003A17E1" w:rsidRPr="00577BF3" w14:paraId="118B84EB" w14:textId="77777777" w:rsidTr="00D22A9E">
        <w:trPr>
          <w:cnfStyle w:val="000000100000" w:firstRow="0" w:lastRow="0" w:firstColumn="0" w:lastColumn="0" w:oddVBand="0" w:evenVBand="0" w:oddHBand="1" w:evenHBand="0" w:firstRowFirstColumn="0" w:firstRowLastColumn="0" w:lastRowFirstColumn="0" w:lastRowLastColumn="0"/>
        </w:trPr>
        <w:tc>
          <w:tcPr>
            <w:tcW w:w="567" w:type="dxa"/>
          </w:tcPr>
          <w:p w14:paraId="4B08AC9D"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5.</w:t>
            </w:r>
          </w:p>
        </w:tc>
        <w:tc>
          <w:tcPr>
            <w:tcW w:w="7655" w:type="dxa"/>
          </w:tcPr>
          <w:p w14:paraId="26D2ED36"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Sagatavotas prokuratūras iekšējās informatīvās vēstules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04E2F2DC"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36</w:t>
            </w:r>
          </w:p>
        </w:tc>
      </w:tr>
      <w:tr w:rsidR="003A17E1" w:rsidRPr="00577BF3" w14:paraId="59EC3BCA" w14:textId="77777777" w:rsidTr="00D22A9E">
        <w:tc>
          <w:tcPr>
            <w:tcW w:w="567" w:type="dxa"/>
          </w:tcPr>
          <w:p w14:paraId="3076D82E"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6. </w:t>
            </w:r>
          </w:p>
        </w:tc>
        <w:tc>
          <w:tcPr>
            <w:tcW w:w="7655" w:type="dxa"/>
          </w:tcPr>
          <w:p w14:paraId="5A502803"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Izstrādāti nolikuma projekti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501BE9FC"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3</w:t>
            </w:r>
          </w:p>
        </w:tc>
      </w:tr>
      <w:tr w:rsidR="003A17E1" w:rsidRPr="00577BF3" w14:paraId="17824E0E" w14:textId="77777777" w:rsidTr="00D22A9E">
        <w:trPr>
          <w:cnfStyle w:val="000000100000" w:firstRow="0" w:lastRow="0" w:firstColumn="0" w:lastColumn="0" w:oddVBand="0" w:evenVBand="0" w:oddHBand="1" w:evenHBand="0" w:firstRowFirstColumn="0" w:firstRowLastColumn="0" w:lastRowFirstColumn="0" w:lastRowLastColumn="0"/>
        </w:trPr>
        <w:tc>
          <w:tcPr>
            <w:tcW w:w="567" w:type="dxa"/>
          </w:tcPr>
          <w:p w14:paraId="56BEAD04"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7.</w:t>
            </w:r>
          </w:p>
        </w:tc>
        <w:tc>
          <w:tcPr>
            <w:tcW w:w="7655" w:type="dxa"/>
          </w:tcPr>
          <w:p w14:paraId="6C005D39"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Izstrādāti pavēles projekti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65054DB0"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41</w:t>
            </w:r>
          </w:p>
        </w:tc>
      </w:tr>
      <w:tr w:rsidR="003A17E1" w:rsidRPr="00577BF3" w14:paraId="0522EE6D" w14:textId="77777777" w:rsidTr="00D22A9E">
        <w:trPr>
          <w:trHeight w:val="410"/>
        </w:trPr>
        <w:tc>
          <w:tcPr>
            <w:tcW w:w="567" w:type="dxa"/>
          </w:tcPr>
          <w:p w14:paraId="7CF91EE3"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8.</w:t>
            </w:r>
          </w:p>
        </w:tc>
        <w:tc>
          <w:tcPr>
            <w:tcW w:w="7655" w:type="dxa"/>
          </w:tcPr>
          <w:p w14:paraId="7C22E651"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Izstrādāti rīkojuma projekti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61EABB5E"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6</w:t>
            </w:r>
          </w:p>
        </w:tc>
      </w:tr>
      <w:tr w:rsidR="003A17E1" w:rsidRPr="00577BF3" w14:paraId="45117443" w14:textId="77777777" w:rsidTr="00D22A9E">
        <w:trPr>
          <w:cnfStyle w:val="000000100000" w:firstRow="0" w:lastRow="0" w:firstColumn="0" w:lastColumn="0" w:oddVBand="0" w:evenVBand="0" w:oddHBand="1" w:evenHBand="0" w:firstRowFirstColumn="0" w:firstRowLastColumn="0" w:lastRowFirstColumn="0" w:lastRowLastColumn="0"/>
          <w:trHeight w:val="280"/>
        </w:trPr>
        <w:tc>
          <w:tcPr>
            <w:tcW w:w="567" w:type="dxa"/>
          </w:tcPr>
          <w:p w14:paraId="282186F1"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9.</w:t>
            </w:r>
          </w:p>
        </w:tc>
        <w:tc>
          <w:tcPr>
            <w:tcW w:w="7655" w:type="dxa"/>
          </w:tcPr>
          <w:p w14:paraId="29429FFF"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Sagatavoti analītiskie apkopojumi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7C00C84F"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5</w:t>
            </w:r>
          </w:p>
        </w:tc>
      </w:tr>
      <w:tr w:rsidR="003A17E1" w:rsidRPr="00577BF3" w14:paraId="5C20B418" w14:textId="77777777" w:rsidTr="00D22A9E">
        <w:trPr>
          <w:trHeight w:val="413"/>
        </w:trPr>
        <w:tc>
          <w:tcPr>
            <w:tcW w:w="567" w:type="dxa"/>
          </w:tcPr>
          <w:p w14:paraId="49A60807"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10.</w:t>
            </w:r>
          </w:p>
        </w:tc>
        <w:tc>
          <w:tcPr>
            <w:tcW w:w="7655" w:type="dxa"/>
          </w:tcPr>
          <w:p w14:paraId="018EDEA5"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Dalība Ministru kabineta kārtības rullī paredzētajās starpinstitūciju saskaņošanas sanāksmēs </w:t>
            </w:r>
            <w:r w:rsidRPr="00577BF3">
              <w:rPr>
                <w:rFonts w:eastAsia="Times New Roman" w:cs="Times New Roman"/>
                <w:i/>
                <w:iCs/>
                <w:color w:val="000000"/>
                <w:sz w:val="22"/>
                <w:szCs w:val="20"/>
                <w:lang w:eastAsia="lv-LV"/>
              </w:rPr>
              <w:t>(reižu skaits)</w:t>
            </w:r>
          </w:p>
        </w:tc>
        <w:tc>
          <w:tcPr>
            <w:cnfStyle w:val="000100000000" w:firstRow="0" w:lastRow="0" w:firstColumn="0" w:lastColumn="1" w:oddVBand="0" w:evenVBand="0" w:oddHBand="0" w:evenHBand="0" w:firstRowFirstColumn="0" w:firstRowLastColumn="0" w:lastRowFirstColumn="0" w:lastRowLastColumn="0"/>
            <w:tcW w:w="850" w:type="dxa"/>
          </w:tcPr>
          <w:p w14:paraId="61001B35"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4</w:t>
            </w:r>
          </w:p>
        </w:tc>
      </w:tr>
      <w:tr w:rsidR="003A17E1" w:rsidRPr="00577BF3" w14:paraId="78948039" w14:textId="77777777" w:rsidTr="00D22A9E">
        <w:trPr>
          <w:cnfStyle w:val="000000100000" w:firstRow="0" w:lastRow="0" w:firstColumn="0" w:lastColumn="0" w:oddVBand="0" w:evenVBand="0" w:oddHBand="1" w:evenHBand="0" w:firstRowFirstColumn="0" w:firstRowLastColumn="0" w:lastRowFirstColumn="0" w:lastRowLastColumn="0"/>
          <w:trHeight w:val="321"/>
        </w:trPr>
        <w:tc>
          <w:tcPr>
            <w:tcW w:w="567" w:type="dxa"/>
          </w:tcPr>
          <w:p w14:paraId="6DA9DAFA"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11.</w:t>
            </w:r>
          </w:p>
        </w:tc>
        <w:tc>
          <w:tcPr>
            <w:tcW w:w="7655" w:type="dxa"/>
          </w:tcPr>
          <w:p w14:paraId="284295FE"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Dalība starpinstitūciju darba grupu sēdēs </w:t>
            </w:r>
            <w:r w:rsidRPr="00577BF3">
              <w:rPr>
                <w:rFonts w:eastAsia="Times New Roman" w:cs="Times New Roman"/>
                <w:i/>
                <w:iCs/>
                <w:color w:val="000000"/>
                <w:sz w:val="22"/>
                <w:szCs w:val="20"/>
                <w:lang w:eastAsia="lv-LV"/>
              </w:rPr>
              <w:t>(reižu skaits)</w:t>
            </w:r>
          </w:p>
        </w:tc>
        <w:tc>
          <w:tcPr>
            <w:cnfStyle w:val="000100000000" w:firstRow="0" w:lastRow="0" w:firstColumn="0" w:lastColumn="1" w:oddVBand="0" w:evenVBand="0" w:oddHBand="0" w:evenHBand="0" w:firstRowFirstColumn="0" w:firstRowLastColumn="0" w:lastRowFirstColumn="0" w:lastRowLastColumn="0"/>
            <w:tcW w:w="850" w:type="dxa"/>
          </w:tcPr>
          <w:p w14:paraId="1D80FDC7"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129</w:t>
            </w:r>
          </w:p>
        </w:tc>
      </w:tr>
      <w:tr w:rsidR="003A17E1" w:rsidRPr="00577BF3" w14:paraId="73E14F57" w14:textId="77777777" w:rsidTr="00D22A9E">
        <w:trPr>
          <w:trHeight w:val="321"/>
        </w:trPr>
        <w:tc>
          <w:tcPr>
            <w:tcW w:w="567" w:type="dxa"/>
          </w:tcPr>
          <w:p w14:paraId="74080F1A"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12.</w:t>
            </w:r>
          </w:p>
        </w:tc>
        <w:tc>
          <w:tcPr>
            <w:tcW w:w="7655" w:type="dxa"/>
          </w:tcPr>
          <w:p w14:paraId="74385725"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Dalība starpinstitūciju komisiju sēdēs </w:t>
            </w:r>
            <w:r w:rsidRPr="00577BF3">
              <w:rPr>
                <w:rFonts w:eastAsia="Times New Roman" w:cs="Times New Roman"/>
                <w:i/>
                <w:iCs/>
                <w:color w:val="000000"/>
                <w:sz w:val="22"/>
                <w:szCs w:val="20"/>
                <w:lang w:eastAsia="lv-LV"/>
              </w:rPr>
              <w:t>(reižu skaits)</w:t>
            </w:r>
          </w:p>
        </w:tc>
        <w:tc>
          <w:tcPr>
            <w:cnfStyle w:val="000100000000" w:firstRow="0" w:lastRow="0" w:firstColumn="0" w:lastColumn="1" w:oddVBand="0" w:evenVBand="0" w:oddHBand="0" w:evenHBand="0" w:firstRowFirstColumn="0" w:firstRowLastColumn="0" w:lastRowFirstColumn="0" w:lastRowLastColumn="0"/>
            <w:tcW w:w="850" w:type="dxa"/>
          </w:tcPr>
          <w:p w14:paraId="30742CA4"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10</w:t>
            </w:r>
          </w:p>
        </w:tc>
      </w:tr>
      <w:tr w:rsidR="003A17E1" w:rsidRPr="00577BF3" w14:paraId="318D7B6D" w14:textId="77777777" w:rsidTr="00D22A9E">
        <w:trPr>
          <w:cnfStyle w:val="000000100000" w:firstRow="0" w:lastRow="0" w:firstColumn="0" w:lastColumn="0" w:oddVBand="0" w:evenVBand="0" w:oddHBand="1" w:evenHBand="0" w:firstRowFirstColumn="0" w:firstRowLastColumn="0" w:lastRowFirstColumn="0" w:lastRowLastColumn="0"/>
          <w:trHeight w:val="410"/>
        </w:trPr>
        <w:tc>
          <w:tcPr>
            <w:tcW w:w="567" w:type="dxa"/>
          </w:tcPr>
          <w:p w14:paraId="25ADAC8D"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13.</w:t>
            </w:r>
          </w:p>
        </w:tc>
        <w:tc>
          <w:tcPr>
            <w:tcW w:w="7655" w:type="dxa"/>
          </w:tcPr>
          <w:p w14:paraId="12C15F16"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Dalība starpinstitūciju sanāksmēs </w:t>
            </w:r>
            <w:r w:rsidRPr="00577BF3">
              <w:rPr>
                <w:rFonts w:eastAsia="Times New Roman" w:cs="Times New Roman"/>
                <w:i/>
                <w:iCs/>
                <w:color w:val="000000"/>
                <w:sz w:val="22"/>
                <w:szCs w:val="20"/>
                <w:lang w:eastAsia="lv-LV"/>
              </w:rPr>
              <w:t>(reižu skaits)</w:t>
            </w:r>
          </w:p>
        </w:tc>
        <w:tc>
          <w:tcPr>
            <w:cnfStyle w:val="000100000000" w:firstRow="0" w:lastRow="0" w:firstColumn="0" w:lastColumn="1" w:oddVBand="0" w:evenVBand="0" w:oddHBand="0" w:evenHBand="0" w:firstRowFirstColumn="0" w:firstRowLastColumn="0" w:lastRowFirstColumn="0" w:lastRowLastColumn="0"/>
            <w:tcW w:w="850" w:type="dxa"/>
          </w:tcPr>
          <w:p w14:paraId="1F699BDF"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85</w:t>
            </w:r>
          </w:p>
        </w:tc>
      </w:tr>
      <w:tr w:rsidR="003A17E1" w:rsidRPr="00577BF3" w14:paraId="72D47761" w14:textId="77777777" w:rsidTr="00D22A9E">
        <w:trPr>
          <w:trHeight w:val="272"/>
        </w:trPr>
        <w:tc>
          <w:tcPr>
            <w:tcW w:w="567" w:type="dxa"/>
          </w:tcPr>
          <w:p w14:paraId="1BC4CE08"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14.</w:t>
            </w:r>
          </w:p>
        </w:tc>
        <w:tc>
          <w:tcPr>
            <w:tcW w:w="7655" w:type="dxa"/>
          </w:tcPr>
          <w:p w14:paraId="6820BCAE"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Dalība prokuratūras darba grupu, komisiju sēdēs un sanāksmēs </w:t>
            </w:r>
            <w:r w:rsidRPr="00577BF3">
              <w:rPr>
                <w:rFonts w:eastAsia="Times New Roman" w:cs="Times New Roman"/>
                <w:i/>
                <w:iCs/>
                <w:color w:val="000000"/>
                <w:sz w:val="22"/>
                <w:szCs w:val="20"/>
                <w:lang w:eastAsia="lv-LV"/>
              </w:rPr>
              <w:t>(reižu skaits)</w:t>
            </w:r>
          </w:p>
        </w:tc>
        <w:tc>
          <w:tcPr>
            <w:cnfStyle w:val="000100000000" w:firstRow="0" w:lastRow="0" w:firstColumn="0" w:lastColumn="1" w:oddVBand="0" w:evenVBand="0" w:oddHBand="0" w:evenHBand="0" w:firstRowFirstColumn="0" w:firstRowLastColumn="0" w:lastRowFirstColumn="0" w:lastRowLastColumn="0"/>
            <w:tcW w:w="850" w:type="dxa"/>
          </w:tcPr>
          <w:p w14:paraId="4AF34CC1"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254</w:t>
            </w:r>
          </w:p>
        </w:tc>
      </w:tr>
      <w:tr w:rsidR="003A17E1" w:rsidRPr="00577BF3" w14:paraId="53520E6F" w14:textId="77777777" w:rsidTr="00D22A9E">
        <w:trPr>
          <w:cnfStyle w:val="000000100000" w:firstRow="0" w:lastRow="0" w:firstColumn="0" w:lastColumn="0" w:oddVBand="0" w:evenVBand="0" w:oddHBand="1" w:evenHBand="0" w:firstRowFirstColumn="0" w:firstRowLastColumn="0" w:lastRowFirstColumn="0" w:lastRowLastColumn="0"/>
          <w:trHeight w:val="465"/>
        </w:trPr>
        <w:tc>
          <w:tcPr>
            <w:tcW w:w="567" w:type="dxa"/>
          </w:tcPr>
          <w:p w14:paraId="5BF4BA53"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15.</w:t>
            </w:r>
          </w:p>
        </w:tc>
        <w:tc>
          <w:tcPr>
            <w:tcW w:w="7655" w:type="dxa"/>
          </w:tcPr>
          <w:p w14:paraId="569CE62E"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Dalība Saeimas komisiju sēdēs </w:t>
            </w:r>
            <w:r w:rsidRPr="00577BF3">
              <w:rPr>
                <w:rFonts w:eastAsia="Times New Roman" w:cs="Times New Roman"/>
                <w:i/>
                <w:iCs/>
                <w:color w:val="000000"/>
                <w:sz w:val="22"/>
                <w:szCs w:val="20"/>
                <w:lang w:eastAsia="lv-LV"/>
              </w:rPr>
              <w:t>(reižu skaits)</w:t>
            </w:r>
          </w:p>
        </w:tc>
        <w:tc>
          <w:tcPr>
            <w:cnfStyle w:val="000100000000" w:firstRow="0" w:lastRow="0" w:firstColumn="0" w:lastColumn="1" w:oddVBand="0" w:evenVBand="0" w:oddHBand="0" w:evenHBand="0" w:firstRowFirstColumn="0" w:firstRowLastColumn="0" w:lastRowFirstColumn="0" w:lastRowLastColumn="0"/>
            <w:tcW w:w="850" w:type="dxa"/>
          </w:tcPr>
          <w:p w14:paraId="5C375F5B"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85</w:t>
            </w:r>
          </w:p>
        </w:tc>
      </w:tr>
      <w:tr w:rsidR="003A17E1" w:rsidRPr="00577BF3" w14:paraId="29DEF90F" w14:textId="77777777" w:rsidTr="00D22A9E">
        <w:trPr>
          <w:trHeight w:val="465"/>
        </w:trPr>
        <w:tc>
          <w:tcPr>
            <w:tcW w:w="567" w:type="dxa"/>
          </w:tcPr>
          <w:p w14:paraId="0E009324"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16.</w:t>
            </w:r>
          </w:p>
        </w:tc>
        <w:tc>
          <w:tcPr>
            <w:tcW w:w="7655" w:type="dxa"/>
          </w:tcPr>
          <w:p w14:paraId="47198540"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Dalība ārvalstu vizīšu organizēšanā </w:t>
            </w:r>
            <w:r w:rsidRPr="00577BF3">
              <w:rPr>
                <w:rFonts w:eastAsia="Times New Roman" w:cs="Times New Roman"/>
                <w:i/>
                <w:iCs/>
                <w:color w:val="000000"/>
                <w:sz w:val="22"/>
                <w:szCs w:val="20"/>
                <w:lang w:eastAsia="lv-LV"/>
              </w:rPr>
              <w:t>(skaits)</w:t>
            </w:r>
          </w:p>
        </w:tc>
        <w:tc>
          <w:tcPr>
            <w:cnfStyle w:val="000100000000" w:firstRow="0" w:lastRow="0" w:firstColumn="0" w:lastColumn="1" w:oddVBand="0" w:evenVBand="0" w:oddHBand="0" w:evenHBand="0" w:firstRowFirstColumn="0" w:firstRowLastColumn="0" w:lastRowFirstColumn="0" w:lastRowLastColumn="0"/>
            <w:tcW w:w="850" w:type="dxa"/>
          </w:tcPr>
          <w:p w14:paraId="3919B26E"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2</w:t>
            </w:r>
          </w:p>
        </w:tc>
      </w:tr>
      <w:tr w:rsidR="003A17E1" w:rsidRPr="00577BF3" w14:paraId="4BE2E900" w14:textId="77777777" w:rsidTr="00D22A9E">
        <w:trPr>
          <w:cnfStyle w:val="000000100000" w:firstRow="0" w:lastRow="0" w:firstColumn="0" w:lastColumn="0" w:oddVBand="0" w:evenVBand="0" w:oddHBand="1" w:evenHBand="0" w:firstRowFirstColumn="0" w:firstRowLastColumn="0" w:lastRowFirstColumn="0" w:lastRowLastColumn="0"/>
          <w:trHeight w:val="451"/>
        </w:trPr>
        <w:tc>
          <w:tcPr>
            <w:tcW w:w="567" w:type="dxa"/>
          </w:tcPr>
          <w:p w14:paraId="6A0578C8"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17.</w:t>
            </w:r>
          </w:p>
        </w:tc>
        <w:tc>
          <w:tcPr>
            <w:tcW w:w="7655" w:type="dxa"/>
          </w:tcPr>
          <w:p w14:paraId="6EF783AB"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Piedalīšanās konferencēs, semināros un apmācībās Latvijā </w:t>
            </w:r>
            <w:r w:rsidRPr="00577BF3">
              <w:rPr>
                <w:rFonts w:eastAsia="Times New Roman" w:cs="Times New Roman"/>
                <w:i/>
                <w:iCs/>
                <w:color w:val="000000"/>
                <w:sz w:val="22"/>
                <w:szCs w:val="20"/>
                <w:lang w:eastAsia="lv-LV"/>
              </w:rPr>
              <w:t>(dienu skaits)</w:t>
            </w:r>
          </w:p>
        </w:tc>
        <w:tc>
          <w:tcPr>
            <w:cnfStyle w:val="000100000000" w:firstRow="0" w:lastRow="0" w:firstColumn="0" w:lastColumn="1" w:oddVBand="0" w:evenVBand="0" w:oddHBand="0" w:evenHBand="0" w:firstRowFirstColumn="0" w:firstRowLastColumn="0" w:lastRowFirstColumn="0" w:lastRowLastColumn="0"/>
            <w:tcW w:w="850" w:type="dxa"/>
          </w:tcPr>
          <w:p w14:paraId="2883305B"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26</w:t>
            </w:r>
          </w:p>
        </w:tc>
      </w:tr>
      <w:tr w:rsidR="003A17E1" w:rsidRPr="00577BF3" w14:paraId="28FC8149" w14:textId="77777777" w:rsidTr="00D22A9E">
        <w:trPr>
          <w:trHeight w:val="451"/>
        </w:trPr>
        <w:tc>
          <w:tcPr>
            <w:tcW w:w="567" w:type="dxa"/>
          </w:tcPr>
          <w:p w14:paraId="5B118BF3"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18.</w:t>
            </w:r>
          </w:p>
        </w:tc>
        <w:tc>
          <w:tcPr>
            <w:tcW w:w="7655" w:type="dxa"/>
          </w:tcPr>
          <w:p w14:paraId="4B32D925"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Piedalīšanās konferencēs, semināros un apmācībās ārvalstīs</w:t>
            </w:r>
            <w:r w:rsidRPr="00577BF3">
              <w:rPr>
                <w:rFonts w:eastAsia="Times New Roman" w:cs="Times New Roman"/>
                <w:i/>
                <w:iCs/>
                <w:color w:val="000000"/>
                <w:sz w:val="22"/>
                <w:szCs w:val="20"/>
                <w:lang w:eastAsia="lv-LV"/>
              </w:rPr>
              <w:t xml:space="preserve"> (dienu skaits)</w:t>
            </w:r>
          </w:p>
        </w:tc>
        <w:tc>
          <w:tcPr>
            <w:cnfStyle w:val="000100000000" w:firstRow="0" w:lastRow="0" w:firstColumn="0" w:lastColumn="1" w:oddVBand="0" w:evenVBand="0" w:oddHBand="0" w:evenHBand="0" w:firstRowFirstColumn="0" w:firstRowLastColumn="0" w:lastRowFirstColumn="0" w:lastRowLastColumn="0"/>
            <w:tcW w:w="850" w:type="dxa"/>
          </w:tcPr>
          <w:p w14:paraId="78C1418C"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w:t>
            </w:r>
          </w:p>
        </w:tc>
      </w:tr>
      <w:tr w:rsidR="003A17E1" w:rsidRPr="00577BF3" w14:paraId="660D3387" w14:textId="77777777" w:rsidTr="00D22A9E">
        <w:trPr>
          <w:cnfStyle w:val="000000100000" w:firstRow="0" w:lastRow="0" w:firstColumn="0" w:lastColumn="0" w:oddVBand="0" w:evenVBand="0" w:oddHBand="1" w:evenHBand="0" w:firstRowFirstColumn="0" w:firstRowLastColumn="0" w:lastRowFirstColumn="0" w:lastRowLastColumn="0"/>
          <w:trHeight w:val="451"/>
        </w:trPr>
        <w:tc>
          <w:tcPr>
            <w:tcW w:w="567" w:type="dxa"/>
          </w:tcPr>
          <w:p w14:paraId="79F896DF"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19.</w:t>
            </w:r>
          </w:p>
        </w:tc>
        <w:tc>
          <w:tcPr>
            <w:tcW w:w="7655" w:type="dxa"/>
          </w:tcPr>
          <w:p w14:paraId="50C0E28B"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Organizēti, vadīti semināri, apmācības un konferences Latvijā </w:t>
            </w:r>
            <w:r w:rsidRPr="00577BF3">
              <w:rPr>
                <w:rFonts w:eastAsia="Times New Roman" w:cs="Times New Roman"/>
                <w:i/>
                <w:iCs/>
                <w:color w:val="000000"/>
                <w:sz w:val="22"/>
                <w:szCs w:val="20"/>
                <w:lang w:eastAsia="lv-LV"/>
              </w:rPr>
              <w:t>(dienu skaits)</w:t>
            </w:r>
          </w:p>
        </w:tc>
        <w:tc>
          <w:tcPr>
            <w:cnfStyle w:val="000100000000" w:firstRow="0" w:lastRow="0" w:firstColumn="0" w:lastColumn="1" w:oddVBand="0" w:evenVBand="0" w:oddHBand="0" w:evenHBand="0" w:firstRowFirstColumn="0" w:firstRowLastColumn="0" w:lastRowFirstColumn="0" w:lastRowLastColumn="0"/>
            <w:tcW w:w="850" w:type="dxa"/>
          </w:tcPr>
          <w:p w14:paraId="12BFE051"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4</w:t>
            </w:r>
          </w:p>
        </w:tc>
      </w:tr>
      <w:tr w:rsidR="003A17E1" w:rsidRPr="00577BF3" w14:paraId="104F36B0" w14:textId="77777777" w:rsidTr="00D22A9E">
        <w:trPr>
          <w:trHeight w:val="157"/>
        </w:trPr>
        <w:tc>
          <w:tcPr>
            <w:tcW w:w="567" w:type="dxa"/>
          </w:tcPr>
          <w:p w14:paraId="237EB369"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20.</w:t>
            </w:r>
          </w:p>
        </w:tc>
        <w:tc>
          <w:tcPr>
            <w:tcW w:w="7655" w:type="dxa"/>
          </w:tcPr>
          <w:p w14:paraId="4EB5962A"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Piedalīšanās pirmās instances tiesas sēdēs (apsūdzības uzturēšana) bez gala nolēmuma </w:t>
            </w:r>
            <w:r w:rsidRPr="00577BF3">
              <w:rPr>
                <w:rFonts w:eastAsia="Times New Roman" w:cs="Times New Roman"/>
                <w:i/>
                <w:iCs/>
                <w:color w:val="000000"/>
                <w:sz w:val="22"/>
                <w:szCs w:val="20"/>
                <w:lang w:eastAsia="lv-LV"/>
              </w:rPr>
              <w:t>(sēžu skaits)</w:t>
            </w:r>
          </w:p>
        </w:tc>
        <w:tc>
          <w:tcPr>
            <w:cnfStyle w:val="000100000000" w:firstRow="0" w:lastRow="0" w:firstColumn="0" w:lastColumn="1" w:oddVBand="0" w:evenVBand="0" w:oddHBand="0" w:evenHBand="0" w:firstRowFirstColumn="0" w:firstRowLastColumn="0" w:lastRowFirstColumn="0" w:lastRowLastColumn="0"/>
            <w:tcW w:w="850" w:type="dxa"/>
          </w:tcPr>
          <w:p w14:paraId="274EACFD"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10</w:t>
            </w:r>
          </w:p>
        </w:tc>
      </w:tr>
      <w:tr w:rsidR="003A17E1" w:rsidRPr="00577BF3" w14:paraId="09A7CECE" w14:textId="77777777" w:rsidTr="00D22A9E">
        <w:trPr>
          <w:cnfStyle w:val="000000100000" w:firstRow="0" w:lastRow="0" w:firstColumn="0" w:lastColumn="0" w:oddVBand="0" w:evenVBand="0" w:oddHBand="1" w:evenHBand="0" w:firstRowFirstColumn="0" w:firstRowLastColumn="0" w:lastRowFirstColumn="0" w:lastRowLastColumn="0"/>
          <w:trHeight w:val="157"/>
        </w:trPr>
        <w:tc>
          <w:tcPr>
            <w:tcW w:w="567" w:type="dxa"/>
          </w:tcPr>
          <w:p w14:paraId="49F1AA12"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21.</w:t>
            </w:r>
          </w:p>
        </w:tc>
        <w:tc>
          <w:tcPr>
            <w:tcW w:w="7655" w:type="dxa"/>
          </w:tcPr>
          <w:p w14:paraId="57164DDA"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Gatavošanās tiesas sēdei</w:t>
            </w:r>
          </w:p>
        </w:tc>
        <w:tc>
          <w:tcPr>
            <w:cnfStyle w:val="000100000000" w:firstRow="0" w:lastRow="0" w:firstColumn="0" w:lastColumn="1" w:oddVBand="0" w:evenVBand="0" w:oddHBand="0" w:evenHBand="0" w:firstRowFirstColumn="0" w:firstRowLastColumn="0" w:lastRowFirstColumn="0" w:lastRowLastColumn="0"/>
            <w:tcW w:w="850" w:type="dxa"/>
          </w:tcPr>
          <w:p w14:paraId="0DB591D2"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8</w:t>
            </w:r>
          </w:p>
        </w:tc>
      </w:tr>
      <w:tr w:rsidR="003A17E1" w:rsidRPr="00577BF3" w14:paraId="73833EA2" w14:textId="77777777" w:rsidTr="00D22A9E">
        <w:trPr>
          <w:trHeight w:val="157"/>
        </w:trPr>
        <w:tc>
          <w:tcPr>
            <w:tcW w:w="567" w:type="dxa"/>
          </w:tcPr>
          <w:p w14:paraId="05B55A14"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22.</w:t>
            </w:r>
          </w:p>
        </w:tc>
        <w:tc>
          <w:tcPr>
            <w:tcW w:w="7655" w:type="dxa"/>
          </w:tcPr>
          <w:p w14:paraId="194D6F4F"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 xml:space="preserve">Iesniegti ierosinājumi piešķirt apbalvojumus, pateicības, prēmijas vai naudas balvas struktūrvienības prokuroram </w:t>
            </w:r>
            <w:r w:rsidRPr="00577BF3">
              <w:rPr>
                <w:rFonts w:eastAsia="Times New Roman" w:cs="Times New Roman"/>
                <w:i/>
                <w:iCs/>
                <w:color w:val="000000"/>
                <w:sz w:val="22"/>
                <w:szCs w:val="20"/>
                <w:lang w:eastAsia="lv-LV"/>
              </w:rPr>
              <w:t>(prokuroru skaits)</w:t>
            </w:r>
          </w:p>
        </w:tc>
        <w:tc>
          <w:tcPr>
            <w:cnfStyle w:val="000100000000" w:firstRow="0" w:lastRow="0" w:firstColumn="0" w:lastColumn="1" w:oddVBand="0" w:evenVBand="0" w:oddHBand="0" w:evenHBand="0" w:firstRowFirstColumn="0" w:firstRowLastColumn="0" w:lastRowFirstColumn="0" w:lastRowLastColumn="0"/>
            <w:tcW w:w="850" w:type="dxa"/>
          </w:tcPr>
          <w:p w14:paraId="4AB3EC76"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12</w:t>
            </w:r>
          </w:p>
        </w:tc>
      </w:tr>
      <w:tr w:rsidR="003A17E1" w:rsidRPr="00577BF3" w14:paraId="7DA67E77" w14:textId="77777777" w:rsidTr="00D22A9E">
        <w:trPr>
          <w:cnfStyle w:val="000000100000" w:firstRow="0" w:lastRow="0" w:firstColumn="0" w:lastColumn="0" w:oddVBand="0" w:evenVBand="0" w:oddHBand="1" w:evenHBand="0" w:firstRowFirstColumn="0" w:firstRowLastColumn="0" w:lastRowFirstColumn="0" w:lastRowLastColumn="0"/>
          <w:trHeight w:val="157"/>
        </w:trPr>
        <w:tc>
          <w:tcPr>
            <w:tcW w:w="567" w:type="dxa"/>
          </w:tcPr>
          <w:p w14:paraId="0D06CFE8"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23.</w:t>
            </w:r>
          </w:p>
        </w:tc>
        <w:tc>
          <w:tcPr>
            <w:tcW w:w="7655" w:type="dxa"/>
          </w:tcPr>
          <w:p w14:paraId="59629EEB" w14:textId="77777777" w:rsidR="003A17E1" w:rsidRPr="00577BF3" w:rsidRDefault="003A17E1" w:rsidP="00CF4214">
            <w:pPr>
              <w:rPr>
                <w:rFonts w:eastAsia="Times New Roman" w:cs="Times New Roman"/>
                <w:color w:val="000000"/>
                <w:sz w:val="22"/>
                <w:szCs w:val="20"/>
                <w:lang w:eastAsia="lv-LV"/>
              </w:rPr>
            </w:pPr>
            <w:r w:rsidRPr="00577BF3">
              <w:rPr>
                <w:rFonts w:eastAsia="Times New Roman" w:cs="Times New Roman"/>
                <w:color w:val="000000"/>
                <w:sz w:val="22"/>
                <w:szCs w:val="20"/>
                <w:lang w:eastAsia="lv-LV"/>
              </w:rPr>
              <w:t>Sagatavoti virsprokurora atzinumi profesionālajai novērtēšanai</w:t>
            </w:r>
          </w:p>
        </w:tc>
        <w:tc>
          <w:tcPr>
            <w:cnfStyle w:val="000100000000" w:firstRow="0" w:lastRow="0" w:firstColumn="0" w:lastColumn="1" w:oddVBand="0" w:evenVBand="0" w:oddHBand="0" w:evenHBand="0" w:firstRowFirstColumn="0" w:firstRowLastColumn="0" w:lastRowFirstColumn="0" w:lastRowLastColumn="0"/>
            <w:tcW w:w="850" w:type="dxa"/>
          </w:tcPr>
          <w:p w14:paraId="37777A95" w14:textId="77777777" w:rsidR="003A17E1" w:rsidRPr="00577BF3" w:rsidRDefault="003A17E1" w:rsidP="00CF4214">
            <w:pPr>
              <w:jc w:val="center"/>
              <w:rPr>
                <w:rFonts w:eastAsia="Times New Roman" w:cs="Times New Roman"/>
                <w:color w:val="000000"/>
                <w:sz w:val="22"/>
                <w:szCs w:val="20"/>
                <w:lang w:eastAsia="lv-LV"/>
              </w:rPr>
            </w:pPr>
            <w:r w:rsidRPr="00577BF3">
              <w:rPr>
                <w:rFonts w:eastAsia="Times New Roman" w:cs="Times New Roman"/>
                <w:color w:val="000000"/>
                <w:sz w:val="22"/>
                <w:szCs w:val="20"/>
                <w:lang w:eastAsia="lv-LV"/>
              </w:rPr>
              <w:t>3</w:t>
            </w:r>
          </w:p>
        </w:tc>
      </w:tr>
    </w:tbl>
    <w:p w14:paraId="1E90D8EE" w14:textId="77777777" w:rsidR="003A17E1" w:rsidRPr="00577BF3" w:rsidRDefault="003A17E1" w:rsidP="00CF4214">
      <w:pPr>
        <w:spacing w:after="0" w:line="240" w:lineRule="auto"/>
        <w:rPr>
          <w:rFonts w:eastAsia="Times New Roman" w:cs="Times New Roman"/>
          <w:b/>
          <w:bCs/>
          <w:i/>
          <w:iCs/>
          <w:szCs w:val="24"/>
          <w:lang w:eastAsia="lv-LV"/>
        </w:rPr>
      </w:pPr>
    </w:p>
    <w:p w14:paraId="35DEF735" w14:textId="6AA6B896" w:rsidR="003A17E1" w:rsidRPr="000F6E92" w:rsidRDefault="003A17E1" w:rsidP="00CF4214">
      <w:pPr>
        <w:spacing w:after="0" w:line="240" w:lineRule="auto"/>
        <w:jc w:val="both"/>
        <w:rPr>
          <w:rFonts w:eastAsia="Times New Roman" w:cs="Times New Roman"/>
          <w:b/>
          <w:bCs/>
          <w:i/>
          <w:iCs/>
          <w:color w:val="000000" w:themeColor="text1"/>
          <w:szCs w:val="24"/>
          <w:lang w:eastAsia="lv-LV"/>
        </w:rPr>
      </w:pPr>
      <w:r w:rsidRPr="000F6E92">
        <w:rPr>
          <w:rFonts w:eastAsia="Times New Roman" w:cs="Times New Roman"/>
          <w:b/>
          <w:bCs/>
          <w:i/>
          <w:iCs/>
          <w:color w:val="000000" w:themeColor="text1"/>
          <w:szCs w:val="24"/>
          <w:lang w:eastAsia="lv-LV"/>
        </w:rPr>
        <w:t xml:space="preserve">Atsevišķi būtiskākie Metodikas nodaļas </w:t>
      </w:r>
      <w:r w:rsidR="00E72815">
        <w:rPr>
          <w:rFonts w:eastAsia="Times New Roman" w:cs="Times New Roman"/>
          <w:b/>
          <w:bCs/>
          <w:i/>
          <w:iCs/>
          <w:color w:val="000000" w:themeColor="text1"/>
          <w:szCs w:val="24"/>
          <w:lang w:eastAsia="lv-LV"/>
        </w:rPr>
        <w:t xml:space="preserve">prokuroru </w:t>
      </w:r>
      <w:r w:rsidRPr="000F6E92">
        <w:rPr>
          <w:rFonts w:eastAsia="Times New Roman" w:cs="Times New Roman"/>
          <w:b/>
          <w:bCs/>
          <w:i/>
          <w:iCs/>
          <w:color w:val="000000" w:themeColor="text1"/>
          <w:szCs w:val="24"/>
          <w:lang w:eastAsia="lv-LV"/>
        </w:rPr>
        <w:t xml:space="preserve">darbi </w:t>
      </w:r>
    </w:p>
    <w:p w14:paraId="45BE7070" w14:textId="77777777" w:rsidR="003A17E1" w:rsidRPr="00577BF3" w:rsidRDefault="003A17E1" w:rsidP="00CF4214">
      <w:pPr>
        <w:spacing w:after="0" w:line="240" w:lineRule="auto"/>
        <w:jc w:val="both"/>
        <w:rPr>
          <w:rFonts w:eastAsia="Times New Roman" w:cs="Times New Roman"/>
          <w:color w:val="000000" w:themeColor="text1"/>
          <w:szCs w:val="24"/>
          <w:lang w:eastAsia="lv-LV"/>
        </w:rPr>
      </w:pPr>
    </w:p>
    <w:p w14:paraId="48A3BDD3" w14:textId="767BA3CD" w:rsidR="00436EEE" w:rsidRPr="00577BF3" w:rsidRDefault="003A17E1" w:rsidP="00CF4214">
      <w:pPr>
        <w:spacing w:after="0" w:line="240" w:lineRule="auto"/>
        <w:jc w:val="both"/>
        <w:rPr>
          <w:rFonts w:eastAsia="Times New Roman" w:cs="Times New Roman"/>
          <w:b/>
          <w:bCs/>
          <w:color w:val="000000"/>
          <w:szCs w:val="24"/>
          <w:lang w:eastAsia="lv-LV"/>
        </w:rPr>
      </w:pPr>
      <w:r w:rsidRPr="00577BF3">
        <w:rPr>
          <w:rFonts w:eastAsia="Times New Roman" w:cs="Times New Roman"/>
          <w:b/>
          <w:bCs/>
          <w:color w:val="000000"/>
          <w:szCs w:val="24"/>
          <w:lang w:eastAsia="lv-LV"/>
        </w:rPr>
        <w:t>[1] Stratēģiskās plānošanas dokumentu, likumprojektu, atzinumu un metodisko materiālu sagatavošana</w:t>
      </w:r>
    </w:p>
    <w:p w14:paraId="784A0F77"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color w:val="000000"/>
          <w:szCs w:val="24"/>
        </w:rPr>
        <w:t xml:space="preserve">Izstrādāts Latvijas Republikas prokuratūras Pasākumu plāns </w:t>
      </w:r>
      <w:r w:rsidRPr="00577BF3">
        <w:rPr>
          <w:rFonts w:eastAsia="Calibri" w:cs="Times New Roman"/>
          <w:szCs w:val="24"/>
        </w:rPr>
        <w:t xml:space="preserve">Eiropas Padomes noziedzīgi iegūtu līdzekļu legalizācijas un terorisma finansēšanas novēršanas ekspertu komitejas (MONEYVAL) un Ekonomiskās sadarbības un attīstības organizācijas (OECD) rekomendāciju izpildei </w:t>
      </w:r>
      <w:r w:rsidRPr="00577BF3">
        <w:rPr>
          <w:rFonts w:eastAsia="Calibri" w:cs="Times New Roman"/>
          <w:i/>
          <w:iCs/>
          <w:szCs w:val="24"/>
        </w:rPr>
        <w:t>(Pasākumu plāns 2020. gada 8. jūlijā apstiprināts Ģenerālprokurora padomes sēdē)</w:t>
      </w:r>
      <w:r w:rsidRPr="00577BF3">
        <w:rPr>
          <w:rFonts w:eastAsia="Calibri" w:cs="Times New Roman"/>
          <w:szCs w:val="24"/>
        </w:rPr>
        <w:t xml:space="preserve">. </w:t>
      </w:r>
    </w:p>
    <w:p w14:paraId="4C404EA7"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color w:val="000000"/>
          <w:szCs w:val="24"/>
        </w:rPr>
        <w:t>S</w:t>
      </w:r>
      <w:r w:rsidRPr="00577BF3">
        <w:rPr>
          <w:rFonts w:eastAsia="Calibri" w:cs="Times New Roman"/>
          <w:szCs w:val="24"/>
        </w:rPr>
        <w:t xml:space="preserve">agatavots analītisks apkopojums nolūkā apzināt kriminālprocesa virzības un izmeklēšanas uzraudzības kvalitāti kriminālprocesos, kuri līdz 2019. gada 31. decembrim bija Latvijas Republikas iekšlietu ministra pārraudzībā esošā Iekšējās drošības biroja lietvedībā </w:t>
      </w:r>
      <w:r w:rsidRPr="00577BF3">
        <w:rPr>
          <w:rFonts w:eastAsia="Calibri" w:cs="Times New Roman"/>
          <w:i/>
          <w:iCs/>
          <w:szCs w:val="24"/>
        </w:rPr>
        <w:t>(Analītiskais apkopojums 2020. gada 8. jūlijā apspriests Ģenerālprokurora padomes sēdē)</w:t>
      </w:r>
      <w:r w:rsidRPr="00577BF3">
        <w:rPr>
          <w:rFonts w:eastAsia="Calibri" w:cs="Times New Roman"/>
          <w:szCs w:val="24"/>
        </w:rPr>
        <w:t xml:space="preserve">. </w:t>
      </w:r>
    </w:p>
    <w:p w14:paraId="5A163169"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lastRenderedPageBreak/>
        <w:t xml:space="preserve">Sagatavots analītisks apkopojums par pirmās instances tiesā prokuroru grozītajām apsūdzībām kriminālprocesos, kuros tiesvedība pabeigta 2019. gadā </w:t>
      </w:r>
      <w:bookmarkStart w:id="70" w:name="_Hlk62413903"/>
      <w:r w:rsidRPr="00577BF3">
        <w:rPr>
          <w:rFonts w:eastAsia="Calibri" w:cs="Times New Roman"/>
          <w:szCs w:val="24"/>
        </w:rPr>
        <w:t>(</w:t>
      </w:r>
      <w:r w:rsidRPr="00577BF3">
        <w:rPr>
          <w:rFonts w:eastAsia="Calibri" w:cs="Times New Roman"/>
          <w:i/>
          <w:iCs/>
          <w:szCs w:val="24"/>
        </w:rPr>
        <w:t>Analītiskais apkopojums 2020. gada 8. jūlijā apspriests Ģenerālprokurora padomes sēdē)</w:t>
      </w:r>
      <w:bookmarkEnd w:id="70"/>
      <w:r w:rsidRPr="00577BF3">
        <w:rPr>
          <w:rFonts w:eastAsia="Calibri" w:cs="Times New Roman"/>
          <w:szCs w:val="24"/>
        </w:rPr>
        <w:t>.</w:t>
      </w:r>
    </w:p>
    <w:p w14:paraId="207273B2" w14:textId="6FB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 xml:space="preserve">Sagatavots analītisks apkopojums par 2018. gadā </w:t>
      </w:r>
      <w:r w:rsidR="00283E61" w:rsidRPr="00577BF3">
        <w:rPr>
          <w:rFonts w:eastAsia="Calibri" w:cs="Times New Roman"/>
          <w:szCs w:val="24"/>
        </w:rPr>
        <w:t>Kriminālprocesa likuma</w:t>
      </w:r>
      <w:r w:rsidRPr="00577BF3">
        <w:rPr>
          <w:rFonts w:eastAsia="Calibri" w:cs="Times New Roman"/>
          <w:szCs w:val="24"/>
        </w:rPr>
        <w:t xml:space="preserve"> 378. panta pirmās daļas 1., 2. un 3. punkta kārtībā apturēto kriminālprocesu pārbaudi, izvērtējot apturēšanas likumību un pamatotību (</w:t>
      </w:r>
      <w:bookmarkStart w:id="71" w:name="_Hlk62414762"/>
      <w:r w:rsidRPr="00577BF3">
        <w:rPr>
          <w:rFonts w:eastAsia="Calibri" w:cs="Times New Roman"/>
          <w:i/>
          <w:iCs/>
          <w:szCs w:val="24"/>
        </w:rPr>
        <w:t>Analītiskais apkopojums 2020. gada 15. janvāri apspriests Ģenerālprokurora padomes sēdē</w:t>
      </w:r>
      <w:bookmarkEnd w:id="71"/>
      <w:r w:rsidRPr="00577BF3">
        <w:rPr>
          <w:rFonts w:eastAsia="Calibri" w:cs="Times New Roman"/>
          <w:i/>
          <w:iCs/>
          <w:szCs w:val="24"/>
        </w:rPr>
        <w:t>)</w:t>
      </w:r>
      <w:r w:rsidRPr="00577BF3">
        <w:rPr>
          <w:rFonts w:eastAsia="Calibri" w:cs="Times New Roman"/>
          <w:szCs w:val="24"/>
        </w:rPr>
        <w:t>.</w:t>
      </w:r>
    </w:p>
    <w:p w14:paraId="61CD3261"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Sagatavots analītisks apkopojums par uzraugošā prokurora pienākumu pildīšanu un tiesību izmantošanu kriminālprocesos par smagiem un sevišķi smagiem noziegumiem, kas uzsākti 2019. gada janvārī (</w:t>
      </w:r>
      <w:r w:rsidRPr="00577BF3">
        <w:rPr>
          <w:rFonts w:eastAsia="Calibri" w:cs="Times New Roman"/>
          <w:i/>
          <w:iCs/>
          <w:szCs w:val="24"/>
        </w:rPr>
        <w:t>Analītiskais apkopojums 2020. gada 15. janvāri apspriests Ģenerālprokurora padomes sēdē)</w:t>
      </w:r>
      <w:r w:rsidRPr="00577BF3">
        <w:rPr>
          <w:rFonts w:eastAsia="Calibri" w:cs="Times New Roman"/>
          <w:szCs w:val="24"/>
        </w:rPr>
        <w:t>.</w:t>
      </w:r>
    </w:p>
    <w:p w14:paraId="18128E5B"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 xml:space="preserve">Aktīva iesaistīšanās Finanšu izlūkošanas dienesta metodisko materiālu sagatavošanā – vadlīnijas “Noziedzīgu nodarījumu izmeklēšanas prioritātes noziedzīgi iegūtu līdzekļu legalizācijas jomā”, metodoloģiskais materiāls “Noziedzīgi iegūtu līdzekļu legalizācijas tipoloģijas un pazīmes”.  </w:t>
      </w:r>
    </w:p>
    <w:p w14:paraId="1AEBE7BE"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Nolūkā nodrošināt statistiskās informācijas apkopošanu krimināllietās par noziedzīgi iegūtu līdzekļu legalizēšanu, kā arī nolūkā apkopot informāciju par mantas arestu un konfiskāciju kriminālprocesā sadarbībā ar Valsts policiju, citām izmeklēšanas iestādēm, Tieslietu ministriju un Finanšu izlūkošanas dienestu izstrādāta vienota Pirmstiesas kriminālprocesa rezultātu uzskaites tabula un instrukcija šīs tabulas aizpildīšanai.</w:t>
      </w:r>
    </w:p>
    <w:p w14:paraId="67261DB7" w14:textId="6EE9C3F3"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 xml:space="preserve">Iekšlietu ministrijai sagatavota un sniegta informācija </w:t>
      </w:r>
      <w:bookmarkStart w:id="72" w:name="_Hlk62215320"/>
      <w:r w:rsidRPr="00577BF3">
        <w:rPr>
          <w:rFonts w:eastAsia="Calibri" w:cs="Times New Roman"/>
          <w:szCs w:val="24"/>
        </w:rPr>
        <w:t>ASV valdības 2020.gada ziņojuma par cilvēku tirdzniecību sagatavošanai</w:t>
      </w:r>
      <w:bookmarkEnd w:id="72"/>
      <w:r w:rsidRPr="00577BF3">
        <w:rPr>
          <w:rFonts w:eastAsia="Calibri" w:cs="Times New Roman"/>
          <w:szCs w:val="24"/>
        </w:rPr>
        <w:t>, kā arī sniegta atbilde uz ārvalstu ekspertu grupas Konvencijas par cīņu pret cilvēku tirdzniecību īstenošanai (GRETA</w:t>
      </w:r>
      <w:r w:rsidR="00F941BB" w:rsidRPr="00577BF3">
        <w:rPr>
          <w:rFonts w:eastAsia="Calibri" w:cs="Times New Roman"/>
          <w:szCs w:val="24"/>
        </w:rPr>
        <w:t>)</w:t>
      </w:r>
      <w:r w:rsidRPr="00577BF3">
        <w:rPr>
          <w:rFonts w:eastAsia="Calibri" w:cs="Times New Roman"/>
          <w:szCs w:val="24"/>
        </w:rPr>
        <w:t xml:space="preserve"> ekspertu jautājumiem, kas tika uzdoti saistībā ar Latvijas trešās kārtas novērtēšanas vizīti. Veikti pasākumi minēto GRETA ekspertu attālinātās vizītes nodrošināšanai prokuratūrā un šīs vizītes ietvaros kopīgi ar citu struktūrvienību prokuroriem tiešsaistē sniegtas atbildes uz ekspertus interesējošiem jautājumiem. Pārstāvēta prokuratūra arī </w:t>
      </w:r>
      <w:proofErr w:type="spellStart"/>
      <w:r w:rsidRPr="00577BF3">
        <w:rPr>
          <w:rFonts w:eastAsia="Calibri" w:cs="Times New Roman"/>
          <w:szCs w:val="24"/>
        </w:rPr>
        <w:t>Eirojusta</w:t>
      </w:r>
      <w:proofErr w:type="spellEnd"/>
      <w:r w:rsidRPr="00577BF3">
        <w:rPr>
          <w:rFonts w:eastAsia="Calibri" w:cs="Times New Roman"/>
          <w:szCs w:val="24"/>
        </w:rPr>
        <w:t xml:space="preserve"> izveidotajā starptautiskajā prokuroru fokusa grupā cīņai ar migrantu kontrabandu.</w:t>
      </w:r>
      <w:bookmarkStart w:id="73" w:name="_Hlk62233710"/>
    </w:p>
    <w:p w14:paraId="3C4EF070"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 xml:space="preserve">Izvērtēts un sagatavots atzinums </w:t>
      </w:r>
      <w:bookmarkEnd w:id="73"/>
      <w:r w:rsidRPr="00577BF3">
        <w:rPr>
          <w:rFonts w:eastAsia="Calibri" w:cs="Times New Roman"/>
          <w:szCs w:val="24"/>
        </w:rPr>
        <w:t>par apjomīgu likumprojektu “Valsts un pašvaldību institūciju amatpersonu un darbinieku atlīdzības likums” (arī par precizēto projektu).</w:t>
      </w:r>
    </w:p>
    <w:p w14:paraId="3B6AD54D"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color w:val="000000"/>
          <w:szCs w:val="24"/>
        </w:rPr>
        <w:t>Sniegti atzinumi par grozījumiem Prokuratūras likumā saistībā ar ģenerālprokurora amata kandidāta atlasi un vērtēšanu.</w:t>
      </w:r>
    </w:p>
    <w:p w14:paraId="0C85B1EF"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Izstrādāti</w:t>
      </w:r>
      <w:r w:rsidRPr="00577BF3">
        <w:rPr>
          <w:rFonts w:eastAsia="Calibri" w:cs="Times New Roman"/>
          <w:b/>
          <w:bCs/>
          <w:szCs w:val="24"/>
        </w:rPr>
        <w:t xml:space="preserve"> </w:t>
      </w:r>
      <w:r w:rsidRPr="00577BF3">
        <w:rPr>
          <w:rFonts w:eastAsia="Calibri" w:cs="Times New Roman"/>
          <w:szCs w:val="24"/>
        </w:rPr>
        <w:t xml:space="preserve">priekšlikumi un iesniegti Saeimas Aizsardzības, iekšlietu un korupcijas novēršanas komisijai par nepieciešamajiem grozījumiem Prokuratūras likumā gan saistībā ar Eiropas Prokuratūru un </w:t>
      </w:r>
      <w:proofErr w:type="spellStart"/>
      <w:r w:rsidRPr="00577BF3">
        <w:rPr>
          <w:rFonts w:eastAsia="Calibri" w:cs="Times New Roman"/>
          <w:szCs w:val="24"/>
        </w:rPr>
        <w:t>Eirojusta</w:t>
      </w:r>
      <w:proofErr w:type="spellEnd"/>
      <w:r w:rsidRPr="00577BF3">
        <w:rPr>
          <w:rFonts w:eastAsia="Calibri" w:cs="Times New Roman"/>
          <w:szCs w:val="24"/>
        </w:rPr>
        <w:t xml:space="preserve"> regulas ieviešanu, gan saistībā ar administratīvās imunitātes atcelšanu prokuroriem.</w:t>
      </w:r>
    </w:p>
    <w:p w14:paraId="0007D1D4" w14:textId="1DDD2718" w:rsidR="003A17E1" w:rsidRPr="00577BF3" w:rsidRDefault="00034C36" w:rsidP="00B16727">
      <w:pPr>
        <w:numPr>
          <w:ilvl w:val="0"/>
          <w:numId w:val="2"/>
        </w:numPr>
        <w:spacing w:after="0" w:line="240" w:lineRule="auto"/>
        <w:contextualSpacing/>
        <w:jc w:val="both"/>
        <w:rPr>
          <w:rFonts w:eastAsia="Calibri" w:cs="Times New Roman"/>
          <w:color w:val="000000"/>
          <w:szCs w:val="24"/>
        </w:rPr>
      </w:pPr>
      <w:r>
        <w:rPr>
          <w:rFonts w:cs="Times New Roman"/>
          <w:szCs w:val="24"/>
        </w:rPr>
        <w:t>Ekonomiskās sadarbības un attīstības organizācijas (</w:t>
      </w:r>
      <w:r w:rsidR="003A17E1" w:rsidRPr="00577BF3">
        <w:rPr>
          <w:rFonts w:eastAsia="Calibri" w:cs="Times New Roman"/>
          <w:szCs w:val="24"/>
        </w:rPr>
        <w:t>OECD</w:t>
      </w:r>
      <w:r>
        <w:rPr>
          <w:rFonts w:eastAsia="Calibri" w:cs="Times New Roman"/>
          <w:szCs w:val="24"/>
        </w:rPr>
        <w:t>)</w:t>
      </w:r>
      <w:r w:rsidR="003A17E1" w:rsidRPr="00577BF3">
        <w:rPr>
          <w:rFonts w:eastAsia="Calibri" w:cs="Times New Roman"/>
          <w:szCs w:val="24"/>
        </w:rPr>
        <w:t xml:space="preserve"> un </w:t>
      </w:r>
      <w:r w:rsidR="003A17E1" w:rsidRPr="00577BF3">
        <w:rPr>
          <w:rFonts w:eastAsia="Calibri" w:cs="Times New Roman"/>
          <w:color w:val="000000"/>
          <w:szCs w:val="24"/>
        </w:rPr>
        <w:t xml:space="preserve">Valsts kontroles pieprasīto prokuratūras iekšējo normatīvo aktu atlase un nosūtīšana (vairākkārt), </w:t>
      </w:r>
      <w:r>
        <w:rPr>
          <w:rFonts w:eastAsia="Calibri" w:cs="Times New Roman"/>
          <w:color w:val="000000"/>
          <w:szCs w:val="24"/>
        </w:rPr>
        <w:t xml:space="preserve">šo institūciju </w:t>
      </w:r>
      <w:r w:rsidRPr="00577BF3">
        <w:rPr>
          <w:rFonts w:eastAsia="Calibri" w:cs="Times New Roman"/>
          <w:color w:val="000000"/>
          <w:szCs w:val="24"/>
        </w:rPr>
        <w:t xml:space="preserve">dažādu </w:t>
      </w:r>
      <w:r w:rsidR="003A17E1" w:rsidRPr="00577BF3">
        <w:rPr>
          <w:rFonts w:eastAsia="Calibri" w:cs="Times New Roman"/>
          <w:color w:val="000000"/>
          <w:szCs w:val="24"/>
        </w:rPr>
        <w:t>informācij</w:t>
      </w:r>
      <w:r>
        <w:rPr>
          <w:rFonts w:eastAsia="Calibri" w:cs="Times New Roman"/>
          <w:color w:val="000000"/>
          <w:szCs w:val="24"/>
        </w:rPr>
        <w:t>as</w:t>
      </w:r>
      <w:r w:rsidR="003A17E1" w:rsidRPr="00577BF3">
        <w:rPr>
          <w:rFonts w:eastAsia="Calibri" w:cs="Times New Roman"/>
          <w:color w:val="000000"/>
          <w:szCs w:val="24"/>
        </w:rPr>
        <w:t xml:space="preserve"> pieprasījumu izpilde, atbil</w:t>
      </w:r>
      <w:r>
        <w:rPr>
          <w:rFonts w:eastAsia="Calibri" w:cs="Times New Roman"/>
          <w:color w:val="000000"/>
          <w:szCs w:val="24"/>
        </w:rPr>
        <w:t>žu sagatavošana uz uzdotajiem</w:t>
      </w:r>
      <w:r w:rsidR="003A17E1" w:rsidRPr="00577BF3">
        <w:rPr>
          <w:rFonts w:eastAsia="Calibri" w:cs="Times New Roman"/>
          <w:color w:val="000000"/>
          <w:szCs w:val="24"/>
        </w:rPr>
        <w:t xml:space="preserve"> jautājumiem </w:t>
      </w:r>
      <w:r w:rsidR="003A17E1" w:rsidRPr="00577BF3">
        <w:rPr>
          <w:rFonts w:eastAsia="Calibri" w:cs="Times New Roman"/>
          <w:i/>
          <w:iCs/>
          <w:color w:val="000000"/>
          <w:szCs w:val="24"/>
        </w:rPr>
        <w:t>(Valsts kontroles veiktās revīzijas ietvaros</w:t>
      </w:r>
      <w:r w:rsidR="003A17E1" w:rsidRPr="00577BF3">
        <w:rPr>
          <w:rFonts w:eastAsia="Calibri" w:cs="Times New Roman"/>
          <w:color w:val="000000"/>
          <w:szCs w:val="24"/>
        </w:rPr>
        <w:t xml:space="preserve">). </w:t>
      </w:r>
    </w:p>
    <w:p w14:paraId="470967BD" w14:textId="12FEB61C"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Izstrādāti priekšlikumi Iestāžu darbības sakarā ar C</w:t>
      </w:r>
      <w:r w:rsidR="00B92F8C" w:rsidRPr="00577BF3">
        <w:rPr>
          <w:rFonts w:eastAsia="Calibri" w:cs="Times New Roman"/>
          <w:szCs w:val="24"/>
        </w:rPr>
        <w:t>ovid</w:t>
      </w:r>
      <w:r w:rsidRPr="00577BF3">
        <w:rPr>
          <w:rFonts w:eastAsia="Calibri" w:cs="Times New Roman"/>
          <w:szCs w:val="24"/>
        </w:rPr>
        <w:t xml:space="preserve">-19 izplatību </w:t>
      </w:r>
      <w:r w:rsidR="00112BB8" w:rsidRPr="00577BF3">
        <w:rPr>
          <w:rFonts w:eastAsia="Calibri" w:cs="Times New Roman"/>
          <w:szCs w:val="24"/>
        </w:rPr>
        <w:t xml:space="preserve">likuma </w:t>
      </w:r>
      <w:r w:rsidRPr="00577BF3">
        <w:rPr>
          <w:rFonts w:eastAsia="Calibri" w:cs="Times New Roman"/>
          <w:szCs w:val="24"/>
        </w:rPr>
        <w:t>atsevišķām normām – par procesa virzītāja tiesībām uz valstī izsludināto ārkārtējās situācijas laiku apturēt kriminālprocesu saskaņā ar K</w:t>
      </w:r>
      <w:r w:rsidR="00F941BB" w:rsidRPr="00577BF3">
        <w:rPr>
          <w:rFonts w:eastAsia="Calibri" w:cs="Times New Roman"/>
          <w:szCs w:val="24"/>
        </w:rPr>
        <w:t>riminālprocesa likumā</w:t>
      </w:r>
      <w:r w:rsidRPr="00577BF3">
        <w:rPr>
          <w:rFonts w:eastAsia="Calibri" w:cs="Times New Roman"/>
          <w:szCs w:val="24"/>
        </w:rPr>
        <w:t xml:space="preserve"> noteikto kārtību, kā arī tiesības atkāpties no </w:t>
      </w:r>
      <w:r w:rsidR="00F941BB" w:rsidRPr="00577BF3">
        <w:rPr>
          <w:rFonts w:eastAsia="Calibri" w:cs="Times New Roman"/>
          <w:szCs w:val="24"/>
        </w:rPr>
        <w:t xml:space="preserve">Kriminālprocesa likumā </w:t>
      </w:r>
      <w:r w:rsidRPr="00577BF3">
        <w:rPr>
          <w:rFonts w:eastAsia="Calibri" w:cs="Times New Roman"/>
          <w:szCs w:val="24"/>
        </w:rPr>
        <w:t>noteiktās telekonferences vai videokonferences norises kārtības, ja procesa virzītājs var pats pārliecināties par procesuālajā darbībā iesaistītās personas identitāti.</w:t>
      </w:r>
    </w:p>
    <w:p w14:paraId="4EDDA091" w14:textId="77777777"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 xml:space="preserve">Sagatavoti ģenerālprokurora pavēļu projekti, kas saistīti ar prokuratūras struktūrvienību reorganizāciju un kompetences noteikšanu.  </w:t>
      </w:r>
    </w:p>
    <w:p w14:paraId="2765B92A" w14:textId="4C39DAF9"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2020.</w:t>
      </w:r>
      <w:r w:rsidR="00904776" w:rsidRPr="00577BF3">
        <w:rPr>
          <w:rFonts w:eastAsia="Calibri" w:cs="Times New Roman"/>
          <w:szCs w:val="24"/>
        </w:rPr>
        <w:t> </w:t>
      </w:r>
      <w:r w:rsidRPr="00577BF3">
        <w:rPr>
          <w:rFonts w:eastAsia="Calibri" w:cs="Times New Roman"/>
          <w:szCs w:val="24"/>
        </w:rPr>
        <w:t xml:space="preserve">gadā būtisks darbs ieguldīts saistībā ar e-lietas izveidi. Metodikas nodaļas prokurori regulāri piedalījās un sniedza priekšlikumus darba grupā vienotu kriminālprocesa veidlapu formu izstrādei. Darbojoties minētajā darba grupā, </w:t>
      </w:r>
      <w:r w:rsidR="007B1CB9" w:rsidRPr="00577BF3">
        <w:rPr>
          <w:rFonts w:eastAsia="Calibri" w:cs="Times New Roman"/>
          <w:szCs w:val="24"/>
        </w:rPr>
        <w:t xml:space="preserve">Metodikas </w:t>
      </w:r>
      <w:r w:rsidR="007B1CB9" w:rsidRPr="00577BF3">
        <w:rPr>
          <w:rFonts w:eastAsia="Calibri" w:cs="Times New Roman"/>
          <w:szCs w:val="24"/>
        </w:rPr>
        <w:lastRenderedPageBreak/>
        <w:t xml:space="preserve">nodaļas prokurori </w:t>
      </w:r>
      <w:r w:rsidRPr="00577BF3">
        <w:rPr>
          <w:rFonts w:eastAsia="Calibri" w:cs="Times New Roman"/>
          <w:szCs w:val="24"/>
        </w:rPr>
        <w:t>konstatē</w:t>
      </w:r>
      <w:r w:rsidR="007B1CB9" w:rsidRPr="00577BF3">
        <w:rPr>
          <w:rFonts w:eastAsia="Calibri" w:cs="Times New Roman"/>
          <w:szCs w:val="24"/>
        </w:rPr>
        <w:t>ja</w:t>
      </w:r>
      <w:r w:rsidRPr="00577BF3">
        <w:rPr>
          <w:rFonts w:eastAsia="Calibri" w:cs="Times New Roman"/>
          <w:szCs w:val="24"/>
        </w:rPr>
        <w:t xml:space="preserve"> vairākas nepilnības K</w:t>
      </w:r>
      <w:r w:rsidR="00283E61" w:rsidRPr="00577BF3">
        <w:rPr>
          <w:rFonts w:eastAsia="Calibri" w:cs="Times New Roman"/>
          <w:szCs w:val="24"/>
        </w:rPr>
        <w:t>riminālprocesa likuma</w:t>
      </w:r>
      <w:r w:rsidRPr="00577BF3">
        <w:rPr>
          <w:rFonts w:eastAsia="Calibri" w:cs="Times New Roman"/>
          <w:szCs w:val="24"/>
        </w:rPr>
        <w:t xml:space="preserve"> regulējumā, </w:t>
      </w:r>
      <w:r w:rsidR="00240372" w:rsidRPr="00577BF3">
        <w:rPr>
          <w:rFonts w:eastAsia="Calibri" w:cs="Times New Roman"/>
          <w:szCs w:val="24"/>
        </w:rPr>
        <w:t xml:space="preserve">tās </w:t>
      </w:r>
      <w:r w:rsidRPr="00577BF3">
        <w:rPr>
          <w:rFonts w:eastAsia="Calibri" w:cs="Times New Roman"/>
          <w:szCs w:val="24"/>
        </w:rPr>
        <w:t>aktualizē</w:t>
      </w:r>
      <w:r w:rsidR="007B1CB9" w:rsidRPr="00577BF3">
        <w:rPr>
          <w:rFonts w:eastAsia="Calibri" w:cs="Times New Roman"/>
          <w:szCs w:val="24"/>
        </w:rPr>
        <w:t>ja</w:t>
      </w:r>
      <w:r w:rsidRPr="00577BF3">
        <w:rPr>
          <w:rFonts w:eastAsia="Calibri" w:cs="Times New Roman"/>
          <w:szCs w:val="24"/>
        </w:rPr>
        <w:t xml:space="preserve"> Tieslietu ministrijas pastāvīgajā Kriminālprocesa likuma grozījumu izstrādes darba grupā, kur </w:t>
      </w:r>
      <w:r w:rsidR="007B1CB9" w:rsidRPr="00577BF3">
        <w:rPr>
          <w:rFonts w:eastAsia="Calibri" w:cs="Times New Roman"/>
          <w:szCs w:val="24"/>
        </w:rPr>
        <w:t xml:space="preserve">tika </w:t>
      </w:r>
      <w:r w:rsidRPr="00577BF3">
        <w:rPr>
          <w:rFonts w:eastAsia="Calibri" w:cs="Times New Roman"/>
          <w:szCs w:val="24"/>
        </w:rPr>
        <w:t>izstrādā</w:t>
      </w:r>
      <w:r w:rsidR="007B1CB9" w:rsidRPr="00577BF3">
        <w:rPr>
          <w:rFonts w:eastAsia="Calibri" w:cs="Times New Roman"/>
          <w:szCs w:val="24"/>
        </w:rPr>
        <w:t>ti</w:t>
      </w:r>
      <w:r w:rsidRPr="00577BF3">
        <w:rPr>
          <w:rFonts w:eastAsia="Calibri" w:cs="Times New Roman"/>
          <w:szCs w:val="24"/>
        </w:rPr>
        <w:t xml:space="preserve"> nepieciešam</w:t>
      </w:r>
      <w:r w:rsidR="007B1CB9" w:rsidRPr="00577BF3">
        <w:rPr>
          <w:rFonts w:eastAsia="Calibri" w:cs="Times New Roman"/>
          <w:szCs w:val="24"/>
        </w:rPr>
        <w:t>ie</w:t>
      </w:r>
      <w:r w:rsidRPr="00577BF3">
        <w:rPr>
          <w:rFonts w:eastAsia="Calibri" w:cs="Times New Roman"/>
          <w:szCs w:val="24"/>
        </w:rPr>
        <w:t xml:space="preserve"> grozījum</w:t>
      </w:r>
      <w:r w:rsidR="007B1CB9" w:rsidRPr="00577BF3">
        <w:rPr>
          <w:rFonts w:eastAsia="Calibri" w:cs="Times New Roman"/>
          <w:szCs w:val="24"/>
        </w:rPr>
        <w:t>i</w:t>
      </w:r>
      <w:r w:rsidRPr="00577BF3">
        <w:rPr>
          <w:rFonts w:eastAsia="Calibri" w:cs="Times New Roman"/>
          <w:szCs w:val="24"/>
        </w:rPr>
        <w:t xml:space="preserve"> K</w:t>
      </w:r>
      <w:r w:rsidR="00F941BB" w:rsidRPr="00577BF3">
        <w:rPr>
          <w:rFonts w:eastAsia="Calibri" w:cs="Times New Roman"/>
          <w:szCs w:val="24"/>
        </w:rPr>
        <w:t>riminālprocesa likumā</w:t>
      </w:r>
      <w:r w:rsidRPr="00577BF3">
        <w:rPr>
          <w:rFonts w:eastAsia="Calibri" w:cs="Times New Roman"/>
          <w:szCs w:val="24"/>
        </w:rPr>
        <w:t xml:space="preserve">, piemēram, tika paplašināts nepārsūdzamo lēmumu skaits. Metodikas nodaļas prokurori piedalījās arī Prokuratūras informācijas sistēmas (ProIS) noteikumu izstrādē. </w:t>
      </w:r>
    </w:p>
    <w:p w14:paraId="047D359C" w14:textId="17FE8422"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Tieslietu ministrijai sniegta informācija par praksē konstatētajām problēmām atsevišķu K</w:t>
      </w:r>
      <w:r w:rsidR="00B124E5" w:rsidRPr="00577BF3">
        <w:rPr>
          <w:rFonts w:eastAsia="Calibri" w:cs="Times New Roman"/>
          <w:szCs w:val="24"/>
        </w:rPr>
        <w:t>riminālprocesa likuma</w:t>
      </w:r>
      <w:r w:rsidRPr="00577BF3">
        <w:rPr>
          <w:rFonts w:eastAsia="Calibri" w:cs="Times New Roman"/>
          <w:szCs w:val="24"/>
        </w:rPr>
        <w:t xml:space="preserve"> normu piemērošanā, kas nosaka piespiedu ietekmēšanas līdzekļu piemērošanu juridiskajai personai. Metodikas nodaļas prokurori piedalījās attiecīgo K</w:t>
      </w:r>
      <w:r w:rsidR="00F941BB" w:rsidRPr="00577BF3">
        <w:rPr>
          <w:rFonts w:eastAsia="Calibri" w:cs="Times New Roman"/>
          <w:szCs w:val="24"/>
        </w:rPr>
        <w:t>riminālprocesa likuma</w:t>
      </w:r>
      <w:r w:rsidRPr="00577BF3">
        <w:rPr>
          <w:rFonts w:eastAsia="Calibri" w:cs="Times New Roman"/>
          <w:szCs w:val="24"/>
        </w:rPr>
        <w:t xml:space="preserve"> grozījumu izstrādē. Sadarbībā ar citām prokuratūras amatpersonām izstrādāti grozījumi vairākās K</w:t>
      </w:r>
      <w:r w:rsidR="00F941BB" w:rsidRPr="00577BF3">
        <w:rPr>
          <w:rFonts w:eastAsia="Calibri" w:cs="Times New Roman"/>
          <w:szCs w:val="24"/>
        </w:rPr>
        <w:t>riminālprocesa likuma</w:t>
      </w:r>
      <w:r w:rsidRPr="00577BF3">
        <w:rPr>
          <w:rFonts w:eastAsia="Calibri" w:cs="Times New Roman"/>
          <w:szCs w:val="24"/>
        </w:rPr>
        <w:t xml:space="preserve"> normās nolūkā pilnveidot sūdzību izskatīšanas, kriminālprocesa sadalīšanas un amatā augstāka prokurora institūtu.</w:t>
      </w:r>
    </w:p>
    <w:p w14:paraId="527E61BC" w14:textId="4DB3E095"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Tieslietu ministrijai sniegts pārskats par to, kā praksē prokuratūras struktūrvienībās darbojas K</w:t>
      </w:r>
      <w:r w:rsidR="00F941BB" w:rsidRPr="00577BF3">
        <w:rPr>
          <w:rFonts w:eastAsia="Calibri" w:cs="Times New Roman"/>
          <w:szCs w:val="24"/>
        </w:rPr>
        <w:t>riminālprocesa likuma</w:t>
      </w:r>
      <w:r w:rsidRPr="00577BF3">
        <w:rPr>
          <w:rFonts w:eastAsia="Calibri" w:cs="Times New Roman"/>
          <w:szCs w:val="24"/>
        </w:rPr>
        <w:t xml:space="preserve"> normas, kas paredzēja vienkāršot kriminālprocesa norisi. </w:t>
      </w:r>
    </w:p>
    <w:p w14:paraId="55784EC0" w14:textId="0B9D64F3" w:rsidR="003A17E1" w:rsidRPr="00577BF3" w:rsidRDefault="003A17E1" w:rsidP="00B16727">
      <w:pPr>
        <w:numPr>
          <w:ilvl w:val="0"/>
          <w:numId w:val="2"/>
        </w:numPr>
        <w:spacing w:after="0" w:line="240" w:lineRule="auto"/>
        <w:contextualSpacing/>
        <w:jc w:val="both"/>
        <w:rPr>
          <w:rFonts w:eastAsia="Calibri" w:cs="Times New Roman"/>
          <w:szCs w:val="24"/>
        </w:rPr>
      </w:pPr>
      <w:r w:rsidRPr="00577BF3">
        <w:rPr>
          <w:rFonts w:eastAsia="Calibri" w:cs="Times New Roman"/>
          <w:szCs w:val="24"/>
        </w:rPr>
        <w:t xml:space="preserve">Sniegti atzinumi par </w:t>
      </w:r>
      <w:r w:rsidR="00DF2BF5">
        <w:rPr>
          <w:rFonts w:eastAsia="Calibri" w:cs="Times New Roman"/>
          <w:szCs w:val="24"/>
        </w:rPr>
        <w:t>apjomīgie</w:t>
      </w:r>
      <w:r w:rsidR="00967676">
        <w:rPr>
          <w:rFonts w:eastAsia="Calibri" w:cs="Times New Roman"/>
          <w:szCs w:val="24"/>
        </w:rPr>
        <w:t xml:space="preserve">m </w:t>
      </w:r>
      <w:r w:rsidRPr="00577BF3">
        <w:rPr>
          <w:rFonts w:eastAsia="Calibri" w:cs="Times New Roman"/>
          <w:szCs w:val="24"/>
        </w:rPr>
        <w:t>Valsts policijas amatpersonu izstrādātajiem metodiskajiem materiāliem, piemēram, par speciālajām izmeklēšanas darbībām, par kibernoziegum</w:t>
      </w:r>
      <w:r w:rsidR="00967676">
        <w:rPr>
          <w:rFonts w:eastAsia="Calibri" w:cs="Times New Roman"/>
          <w:szCs w:val="24"/>
        </w:rPr>
        <w:t>u izmeklēšanu</w:t>
      </w:r>
      <w:r w:rsidRPr="00577BF3">
        <w:rPr>
          <w:rFonts w:eastAsia="Calibri" w:cs="Times New Roman"/>
          <w:szCs w:val="24"/>
        </w:rPr>
        <w:t>, par dzimumnoziegumu izmeklēšanu.</w:t>
      </w:r>
    </w:p>
    <w:p w14:paraId="0371F358" w14:textId="1E7FBA4D" w:rsidR="003A17E1" w:rsidRPr="00577BF3" w:rsidRDefault="003A17E1" w:rsidP="00B16727">
      <w:pPr>
        <w:numPr>
          <w:ilvl w:val="0"/>
          <w:numId w:val="2"/>
        </w:numPr>
        <w:spacing w:after="0" w:line="240" w:lineRule="auto"/>
        <w:ind w:left="714" w:hanging="357"/>
        <w:contextualSpacing/>
        <w:jc w:val="both"/>
        <w:rPr>
          <w:rFonts w:eastAsia="Calibri" w:cs="Times New Roman"/>
          <w:szCs w:val="24"/>
        </w:rPr>
      </w:pPr>
      <w:r w:rsidRPr="00577BF3">
        <w:rPr>
          <w:rFonts w:eastAsia="Calibri" w:cs="Times New Roman"/>
          <w:szCs w:val="24"/>
        </w:rPr>
        <w:t xml:space="preserve">Sagatavotas atbildes </w:t>
      </w:r>
      <w:r w:rsidR="00F50F60" w:rsidRPr="00577BF3">
        <w:rPr>
          <w:rFonts w:eastAsia="Calibri" w:cs="Times New Roman"/>
          <w:szCs w:val="24"/>
        </w:rPr>
        <w:t xml:space="preserve">Eiropas Prokuroru konsultatīvajai padomei aptaujas par prokuroru lomu </w:t>
      </w:r>
      <w:r w:rsidR="004F2A97">
        <w:rPr>
          <w:rFonts w:eastAsia="Calibri" w:cs="Times New Roman"/>
          <w:szCs w:val="24"/>
        </w:rPr>
        <w:t>un</w:t>
      </w:r>
      <w:r w:rsidRPr="00577BF3">
        <w:rPr>
          <w:rFonts w:eastAsia="Calibri" w:cs="Times New Roman"/>
          <w:szCs w:val="24"/>
        </w:rPr>
        <w:t xml:space="preserve"> praktisko darbu C</w:t>
      </w:r>
      <w:r w:rsidR="00B92F8C" w:rsidRPr="00577BF3">
        <w:rPr>
          <w:rFonts w:eastAsia="Calibri" w:cs="Times New Roman"/>
          <w:szCs w:val="24"/>
        </w:rPr>
        <w:t>ovid</w:t>
      </w:r>
      <w:r w:rsidRPr="00577BF3">
        <w:rPr>
          <w:rFonts w:eastAsia="Calibri" w:cs="Times New Roman"/>
          <w:szCs w:val="24"/>
        </w:rPr>
        <w:t xml:space="preserve">-19 </w:t>
      </w:r>
      <w:r w:rsidR="00852F90">
        <w:rPr>
          <w:rFonts w:eastAsia="Calibri" w:cs="Times New Roman"/>
          <w:szCs w:val="24"/>
        </w:rPr>
        <w:t>izplatības ierobežojumu</w:t>
      </w:r>
      <w:r w:rsidRPr="00577BF3">
        <w:rPr>
          <w:rFonts w:eastAsia="Calibri" w:cs="Times New Roman"/>
          <w:szCs w:val="24"/>
        </w:rPr>
        <w:t xml:space="preserve"> un ārkārtējās situācijas laikā. </w:t>
      </w:r>
    </w:p>
    <w:p w14:paraId="45913768" w14:textId="77777777" w:rsidR="003A17E1" w:rsidRPr="00577BF3" w:rsidRDefault="003A17E1" w:rsidP="00CF4214">
      <w:pPr>
        <w:spacing w:after="0" w:line="240" w:lineRule="auto"/>
        <w:ind w:left="426" w:hanging="66"/>
        <w:jc w:val="both"/>
        <w:rPr>
          <w:rFonts w:eastAsia="Times New Roman" w:cs="Times New Roman"/>
          <w:szCs w:val="24"/>
          <w:lang w:eastAsia="lv-LV"/>
        </w:rPr>
      </w:pPr>
    </w:p>
    <w:p w14:paraId="01BCB59F" w14:textId="0047F812" w:rsidR="00436EEE" w:rsidRPr="00577BF3" w:rsidRDefault="003A17E1" w:rsidP="00CF4214">
      <w:pPr>
        <w:spacing w:after="0" w:line="240" w:lineRule="auto"/>
        <w:jc w:val="both"/>
        <w:rPr>
          <w:rFonts w:eastAsia="Times New Roman" w:cs="Times New Roman"/>
          <w:b/>
          <w:bCs/>
          <w:color w:val="000000"/>
          <w:szCs w:val="24"/>
          <w:lang w:eastAsia="lv-LV"/>
        </w:rPr>
      </w:pPr>
      <w:r w:rsidRPr="00577BF3">
        <w:rPr>
          <w:rFonts w:eastAsia="Times New Roman" w:cs="Times New Roman"/>
          <w:b/>
          <w:bCs/>
          <w:color w:val="000000"/>
          <w:szCs w:val="24"/>
          <w:lang w:eastAsia="lv-LV"/>
        </w:rPr>
        <w:t xml:space="preserve">[2] Dalība Saeimas komisiju sēdēs un starpinstitūciju darba grupās </w:t>
      </w:r>
    </w:p>
    <w:p w14:paraId="0BC89978" w14:textId="77777777" w:rsidR="003A17E1" w:rsidRPr="00577BF3" w:rsidRDefault="003A17E1" w:rsidP="00B16727">
      <w:pPr>
        <w:numPr>
          <w:ilvl w:val="0"/>
          <w:numId w:val="3"/>
        </w:numPr>
        <w:spacing w:after="0" w:line="240" w:lineRule="auto"/>
        <w:ind w:left="731" w:hanging="374"/>
        <w:contextualSpacing/>
        <w:jc w:val="both"/>
        <w:rPr>
          <w:rFonts w:eastAsia="Calibri" w:cs="Times New Roman"/>
          <w:color w:val="000000"/>
          <w:szCs w:val="24"/>
        </w:rPr>
      </w:pPr>
      <w:r w:rsidRPr="00577BF3">
        <w:rPr>
          <w:rFonts w:eastAsia="Calibri" w:cs="Times New Roman"/>
          <w:color w:val="000000"/>
          <w:szCs w:val="24"/>
        </w:rPr>
        <w:t>Metodikas nodaļas prokurori aktīvi piedalījušies Saeimas Juridiskās komisijas un tās Krimināltiesību politikas apakškomisijas, kā arī Aizsardzības, iekšlietu un korupcijas novēršanas komisijas,</w:t>
      </w:r>
      <w:r w:rsidRPr="00577BF3">
        <w:rPr>
          <w:rFonts w:eastAsia="Calibri" w:cs="Times New Roman"/>
          <w:szCs w:val="24"/>
        </w:rPr>
        <w:t xml:space="preserve"> </w:t>
      </w:r>
      <w:r w:rsidRPr="00577BF3">
        <w:rPr>
          <w:rFonts w:eastAsia="Calibri" w:cs="Times New Roman"/>
          <w:color w:val="000000"/>
          <w:szCs w:val="24"/>
        </w:rPr>
        <w:t xml:space="preserve">Cilvēktiesību un sabiedrisko lietu komisijas un Saeimas Budžeta un finanšu (nodokļu) komisijas sēdēs, snieguši ieskatu par pastāvošo problēmu kādā jautājumā, vienlaicīgi pamatojot to ar piemēriem no praktiskā darba, kā arī atbildējuši uz Saeimas deputātu uzdotajiem jautājumiem un pauduši prokuratūras viedokli par izskatāmo jautājumu. </w:t>
      </w:r>
    </w:p>
    <w:p w14:paraId="29B4530F" w14:textId="138CBCFC" w:rsidR="003A17E1" w:rsidRPr="00577BF3" w:rsidRDefault="003A17E1" w:rsidP="00B16727">
      <w:pPr>
        <w:numPr>
          <w:ilvl w:val="0"/>
          <w:numId w:val="3"/>
        </w:numPr>
        <w:spacing w:after="0" w:line="240" w:lineRule="auto"/>
        <w:ind w:left="731" w:hanging="374"/>
        <w:contextualSpacing/>
        <w:jc w:val="both"/>
        <w:rPr>
          <w:rFonts w:eastAsia="Calibri" w:cs="Times New Roman"/>
          <w:bCs/>
          <w:szCs w:val="24"/>
        </w:rPr>
      </w:pPr>
      <w:r w:rsidRPr="00577BF3">
        <w:rPr>
          <w:rFonts w:eastAsia="Calibri" w:cs="Times New Roman"/>
          <w:color w:val="000000"/>
          <w:szCs w:val="24"/>
        </w:rPr>
        <w:t xml:space="preserve">Metodikas nodaļas prokurori </w:t>
      </w:r>
      <w:bookmarkStart w:id="74" w:name="_Hlk63766914"/>
      <w:r w:rsidRPr="00577BF3">
        <w:rPr>
          <w:rFonts w:eastAsia="Calibri" w:cs="Times New Roman"/>
          <w:color w:val="000000"/>
          <w:szCs w:val="24"/>
        </w:rPr>
        <w:t xml:space="preserve">Tieslietu ministrijas pastāvīgajā Krimināllikuma grozījumu izstrādes darba grupā </w:t>
      </w:r>
      <w:bookmarkEnd w:id="74"/>
      <w:r w:rsidRPr="00577BF3">
        <w:rPr>
          <w:rFonts w:eastAsia="Calibri" w:cs="Times New Roman"/>
          <w:color w:val="000000"/>
          <w:szCs w:val="24"/>
        </w:rPr>
        <w:t xml:space="preserve">un </w:t>
      </w:r>
      <w:r w:rsidR="00EE1D56" w:rsidRPr="00577BF3">
        <w:rPr>
          <w:rFonts w:eastAsia="Calibri" w:cs="Times New Roman"/>
          <w:color w:val="000000"/>
          <w:szCs w:val="24"/>
        </w:rPr>
        <w:t xml:space="preserve">Tieslietu ministrijas pastāvīgajā Kriminālprocesa likuma grozījumu izstrādes darba grupā  </w:t>
      </w:r>
      <w:r w:rsidRPr="00577BF3">
        <w:rPr>
          <w:rFonts w:eastAsia="Calibri" w:cs="Times New Roman"/>
          <w:color w:val="000000"/>
          <w:szCs w:val="24"/>
        </w:rPr>
        <w:t>ne tikai piedalījušies Tieslietu ministrijas vai citu iestāžu iesniegto grozījumu apspriešanā, bet aktīvi iesnieguši priekšlikumus grozījumu izstrādei, tādējādi risinot tiesību normu praktiskās piemērošanas problēmjautājumus un nodrošinot prokuroriem iespēju veiksmīgi pildīt noteiktās funkcijas. Konstatējot nepilnības kādā no tiesību aktiem, kuru rezultātā pienācīgi netiek aizsargātas kriminālprocesā iesaistīto personu tiesības un intereses, Metodikas nodaļas prokurori ir vērsušies Tieslietu ministrijā ar iniciatīvu veikt grozījumus attiecīgajās Krimināllikuma un K</w:t>
      </w:r>
      <w:r w:rsidR="00EE1D56" w:rsidRPr="00577BF3">
        <w:rPr>
          <w:rFonts w:eastAsia="Calibri" w:cs="Times New Roman"/>
          <w:color w:val="000000"/>
          <w:szCs w:val="24"/>
        </w:rPr>
        <w:t>riminālprocesa likuma</w:t>
      </w:r>
      <w:r w:rsidRPr="00577BF3">
        <w:rPr>
          <w:rFonts w:eastAsia="Calibri" w:cs="Times New Roman"/>
          <w:color w:val="000000"/>
          <w:szCs w:val="24"/>
        </w:rPr>
        <w:t xml:space="preserve"> normās. </w:t>
      </w:r>
      <w:r w:rsidRPr="00577BF3">
        <w:rPr>
          <w:rFonts w:eastAsia="Calibri" w:cs="Times New Roman"/>
          <w:szCs w:val="24"/>
        </w:rPr>
        <w:t>Piemēram, diskutējot par eventuālajiem grozījumiem K</w:t>
      </w:r>
      <w:r w:rsidR="00EE1D56" w:rsidRPr="00577BF3">
        <w:rPr>
          <w:rFonts w:eastAsia="Calibri" w:cs="Times New Roman"/>
          <w:szCs w:val="24"/>
        </w:rPr>
        <w:t>rimināllikuma</w:t>
      </w:r>
      <w:r w:rsidRPr="00577BF3">
        <w:rPr>
          <w:rFonts w:eastAsia="Calibri" w:cs="Times New Roman"/>
          <w:szCs w:val="24"/>
        </w:rPr>
        <w:t xml:space="preserve"> 138. pantā, T</w:t>
      </w:r>
      <w:r w:rsidR="00EE1D56" w:rsidRPr="00577BF3">
        <w:rPr>
          <w:rFonts w:eastAsia="Calibri" w:cs="Times New Roman"/>
          <w:szCs w:val="24"/>
        </w:rPr>
        <w:t>ieslietu ministrijas pastāvīgās Krimināllikuma grozījumu izstrādes</w:t>
      </w:r>
      <w:r w:rsidRPr="00577BF3">
        <w:rPr>
          <w:rFonts w:eastAsia="Calibri" w:cs="Times New Roman"/>
          <w:szCs w:val="24"/>
        </w:rPr>
        <w:t xml:space="preserve"> darba grupas vajadzībām sagatavots prokuratūras prakses apkopojums par krimināllietām </w:t>
      </w:r>
      <w:r w:rsidRPr="00577BF3">
        <w:rPr>
          <w:rFonts w:eastAsia="Calibri" w:cs="Times New Roman"/>
          <w:bCs/>
          <w:szCs w:val="24"/>
        </w:rPr>
        <w:t>par ārstniecības personas profesionālo pienākumu nepienācīgu pildīšanu.</w:t>
      </w:r>
      <w:r w:rsidRPr="00577BF3">
        <w:rPr>
          <w:rFonts w:eastAsia="Calibri" w:cs="Times New Roman"/>
          <w:bCs/>
          <w:color w:val="FF0000"/>
          <w:szCs w:val="24"/>
        </w:rPr>
        <w:t xml:space="preserve"> </w:t>
      </w:r>
      <w:r w:rsidRPr="00577BF3">
        <w:rPr>
          <w:rFonts w:eastAsia="Calibri" w:cs="Times New Roman"/>
          <w:bCs/>
          <w:szCs w:val="24"/>
        </w:rPr>
        <w:t xml:space="preserve">Notikusi arī aktīva iesaiste </w:t>
      </w:r>
      <w:r w:rsidR="00F16221" w:rsidRPr="00577BF3">
        <w:rPr>
          <w:rFonts w:eastAsia="Calibri" w:cs="Times New Roman"/>
          <w:bCs/>
          <w:szCs w:val="24"/>
        </w:rPr>
        <w:t xml:space="preserve">minētās Tieslietu ministrijas </w:t>
      </w:r>
      <w:r w:rsidRPr="00577BF3">
        <w:rPr>
          <w:rFonts w:eastAsia="Calibri" w:cs="Times New Roman"/>
          <w:bCs/>
          <w:szCs w:val="24"/>
        </w:rPr>
        <w:t xml:space="preserve">darba grupas organizētajā diskusijā par nodokļu krāpšanas kvalificēšanas problēmām, tostarp iesniegti </w:t>
      </w:r>
      <w:r w:rsidR="00904776" w:rsidRPr="00577BF3">
        <w:rPr>
          <w:rFonts w:eastAsia="Calibri" w:cs="Times New Roman"/>
          <w:bCs/>
          <w:szCs w:val="24"/>
        </w:rPr>
        <w:t xml:space="preserve">priekšlikumi </w:t>
      </w:r>
      <w:r w:rsidRPr="00577BF3">
        <w:rPr>
          <w:rFonts w:eastAsia="Calibri" w:cs="Times New Roman"/>
          <w:bCs/>
          <w:szCs w:val="24"/>
        </w:rPr>
        <w:t>likuma grozījum</w:t>
      </w:r>
      <w:r w:rsidR="00904776" w:rsidRPr="00577BF3">
        <w:rPr>
          <w:rFonts w:eastAsia="Calibri" w:cs="Times New Roman"/>
          <w:bCs/>
          <w:szCs w:val="24"/>
        </w:rPr>
        <w:t>iem</w:t>
      </w:r>
      <w:r w:rsidRPr="00577BF3">
        <w:rPr>
          <w:rFonts w:eastAsia="Calibri" w:cs="Times New Roman"/>
          <w:bCs/>
          <w:szCs w:val="24"/>
        </w:rPr>
        <w:t xml:space="preserve">. </w:t>
      </w:r>
    </w:p>
    <w:p w14:paraId="05E31E59" w14:textId="77777777" w:rsidR="003A17E1" w:rsidRPr="00577BF3" w:rsidRDefault="003A17E1" w:rsidP="00B16727">
      <w:pPr>
        <w:numPr>
          <w:ilvl w:val="0"/>
          <w:numId w:val="3"/>
        </w:numPr>
        <w:spacing w:after="0" w:line="240" w:lineRule="auto"/>
        <w:ind w:left="731" w:hanging="374"/>
        <w:contextualSpacing/>
        <w:jc w:val="both"/>
        <w:rPr>
          <w:rFonts w:eastAsia="Calibri" w:cs="Times New Roman"/>
          <w:bCs/>
          <w:szCs w:val="24"/>
        </w:rPr>
      </w:pPr>
      <w:r w:rsidRPr="00577BF3">
        <w:rPr>
          <w:rFonts w:eastAsia="Calibri" w:cs="Times New Roman"/>
          <w:bCs/>
          <w:szCs w:val="24"/>
        </w:rPr>
        <w:t xml:space="preserve">Metodikas nodaļas prokurors piedalījies arī Iekšlietu ministrijas pastāvīgajā darba grupā cilvēktirdzniecības novēršanas pamatnostādņu īstenošanas koordinēšanai, Valsts policijas  pastāvīgajā tiesībaizsardzības iestāžu ekspertu darba grupā noziedzības novēršanas un apkarošanas politikas saskaņotai īstenošanai un Tieslietu ministrijas darbā grupā, kuras uzdevums saistīts ar darba turpināšanu pie bērnu izdarīto likumpārkāpumu prevencijas jautājumiem, pilnveidojot spēkā esošo tiesisko </w:t>
      </w:r>
      <w:r w:rsidRPr="00577BF3">
        <w:rPr>
          <w:rFonts w:eastAsia="Calibri" w:cs="Times New Roman"/>
          <w:bCs/>
          <w:szCs w:val="24"/>
        </w:rPr>
        <w:lastRenderedPageBreak/>
        <w:t xml:space="preserve">regulējumu – likumu “Par audzinoša rakstura piespiedu līdzekļu piemērošanu bērniem”. </w:t>
      </w:r>
    </w:p>
    <w:p w14:paraId="75100323" w14:textId="5E7FC3A3" w:rsidR="003A17E1" w:rsidRPr="00577BF3" w:rsidRDefault="003A17E1" w:rsidP="00B16727">
      <w:pPr>
        <w:numPr>
          <w:ilvl w:val="0"/>
          <w:numId w:val="3"/>
        </w:numPr>
        <w:spacing w:after="0" w:line="240" w:lineRule="auto"/>
        <w:ind w:left="731" w:hanging="374"/>
        <w:contextualSpacing/>
        <w:jc w:val="both"/>
        <w:rPr>
          <w:rFonts w:eastAsia="Calibri" w:cs="Times New Roman"/>
          <w:bCs/>
          <w:szCs w:val="24"/>
        </w:rPr>
      </w:pPr>
      <w:r w:rsidRPr="00577BF3">
        <w:rPr>
          <w:rFonts w:eastAsia="Calibri" w:cs="Times New Roman"/>
          <w:bCs/>
          <w:szCs w:val="24"/>
        </w:rPr>
        <w:t>Metodikas nodaļas prokurori saskaņā ar Tiesu ekspertu likuma 7. panta otrajā daļā noteikto piedalījās Tiesu ekspertu eksaminācijas komisijā un saskaņā ar Ministru kabineta 2019.</w:t>
      </w:r>
      <w:r w:rsidR="00F16221" w:rsidRPr="00577BF3">
        <w:rPr>
          <w:rFonts w:eastAsia="Calibri" w:cs="Times New Roman"/>
          <w:bCs/>
          <w:szCs w:val="24"/>
        </w:rPr>
        <w:t> gada 3. septembra</w:t>
      </w:r>
      <w:r w:rsidRPr="00577BF3">
        <w:rPr>
          <w:rFonts w:eastAsia="Calibri" w:cs="Times New Roman"/>
          <w:bCs/>
          <w:szCs w:val="24"/>
        </w:rPr>
        <w:t xml:space="preserve"> noteikumu Nr. 414 “Kārtība kādā tiek izvērtēta personas atbilstība pedagoga amatam” 9.</w:t>
      </w:r>
      <w:r w:rsidR="000821DD" w:rsidRPr="00577BF3">
        <w:rPr>
          <w:rFonts w:eastAsia="Calibri" w:cs="Times New Roman"/>
          <w:bCs/>
          <w:szCs w:val="24"/>
        </w:rPr>
        <w:t>5.</w:t>
      </w:r>
      <w:r w:rsidRPr="00577BF3">
        <w:rPr>
          <w:rFonts w:eastAsia="Calibri" w:cs="Times New Roman"/>
          <w:bCs/>
          <w:szCs w:val="24"/>
        </w:rPr>
        <w:t xml:space="preserve"> punktu </w:t>
      </w:r>
      <w:r w:rsidR="00C17E53" w:rsidRPr="00577BF3">
        <w:rPr>
          <w:rFonts w:eastAsia="Calibri" w:cs="Times New Roman"/>
          <w:bCs/>
          <w:szCs w:val="24"/>
        </w:rPr>
        <w:t xml:space="preserve">– </w:t>
      </w:r>
      <w:bookmarkStart w:id="75" w:name="_Hlk63770056"/>
      <w:r w:rsidR="00C17E53" w:rsidRPr="00577BF3">
        <w:rPr>
          <w:rFonts w:eastAsia="Calibri" w:cs="Times New Roman"/>
          <w:bCs/>
          <w:szCs w:val="24"/>
        </w:rPr>
        <w:t>Izglītības kvalitātes valsts dienesta izveidotajā komisijā</w:t>
      </w:r>
      <w:bookmarkEnd w:id="75"/>
      <w:r w:rsidR="00C17E53" w:rsidRPr="00577BF3">
        <w:rPr>
          <w:rFonts w:eastAsia="Calibri" w:cs="Times New Roman"/>
          <w:bCs/>
          <w:szCs w:val="24"/>
        </w:rPr>
        <w:t xml:space="preserve"> </w:t>
      </w:r>
      <w:r w:rsidR="00B103BF" w:rsidRPr="00577BF3">
        <w:rPr>
          <w:rFonts w:eastAsia="Calibri" w:cs="Times New Roman"/>
          <w:bCs/>
          <w:szCs w:val="24"/>
        </w:rPr>
        <w:t>–</w:t>
      </w:r>
      <w:r w:rsidR="00C17E53" w:rsidRPr="00577BF3">
        <w:rPr>
          <w:rFonts w:eastAsia="Calibri" w:cs="Times New Roman"/>
          <w:bCs/>
          <w:szCs w:val="24"/>
        </w:rPr>
        <w:t>, kas</w:t>
      </w:r>
      <w:r w:rsidRPr="00577BF3">
        <w:rPr>
          <w:rFonts w:eastAsia="Calibri" w:cs="Times New Roman"/>
          <w:bCs/>
          <w:szCs w:val="24"/>
        </w:rPr>
        <w:t xml:space="preserve"> iz</w:t>
      </w:r>
      <w:r w:rsidR="00C17E53" w:rsidRPr="00577BF3">
        <w:rPr>
          <w:rFonts w:eastAsia="Calibri" w:cs="Times New Roman"/>
          <w:bCs/>
          <w:szCs w:val="24"/>
        </w:rPr>
        <w:t>vērtē personas atbilstību pedagoga darbam</w:t>
      </w:r>
      <w:r w:rsidRPr="00577BF3">
        <w:rPr>
          <w:rFonts w:eastAsia="Calibri" w:cs="Times New Roman"/>
          <w:bCs/>
          <w:szCs w:val="24"/>
        </w:rPr>
        <w:t>.</w:t>
      </w:r>
    </w:p>
    <w:p w14:paraId="02554882" w14:textId="77777777" w:rsidR="003A17E1" w:rsidRPr="00577BF3" w:rsidRDefault="003A17E1" w:rsidP="00CF4214">
      <w:pPr>
        <w:spacing w:after="0" w:line="240" w:lineRule="auto"/>
        <w:jc w:val="both"/>
        <w:rPr>
          <w:rFonts w:eastAsia="Times New Roman" w:cs="Times New Roman"/>
          <w:bCs/>
          <w:szCs w:val="24"/>
          <w:lang w:eastAsia="lv-LV"/>
        </w:rPr>
      </w:pPr>
    </w:p>
    <w:p w14:paraId="1ED3CAF5" w14:textId="05806B99" w:rsidR="00436EEE" w:rsidRPr="00577BF3" w:rsidRDefault="003A17E1" w:rsidP="00CF4214">
      <w:pPr>
        <w:spacing w:after="0" w:line="240" w:lineRule="auto"/>
        <w:jc w:val="both"/>
        <w:rPr>
          <w:rFonts w:eastAsia="Times New Roman" w:cs="Times New Roman"/>
          <w:b/>
          <w:bCs/>
          <w:color w:val="000000"/>
          <w:szCs w:val="24"/>
          <w:lang w:eastAsia="lv-LV"/>
        </w:rPr>
      </w:pPr>
      <w:r w:rsidRPr="00577BF3">
        <w:rPr>
          <w:rFonts w:eastAsia="Times New Roman" w:cs="Times New Roman"/>
          <w:b/>
          <w:bCs/>
          <w:color w:val="000000"/>
          <w:szCs w:val="24"/>
          <w:lang w:eastAsia="lv-LV"/>
        </w:rPr>
        <w:t xml:space="preserve">[3] Ar </w:t>
      </w:r>
      <w:r w:rsidR="00034C36" w:rsidRPr="00034C36">
        <w:rPr>
          <w:b/>
          <w:bCs/>
          <w:szCs w:val="24"/>
        </w:rPr>
        <w:t>Eiropas Padomes noziedzīgi iegūtu līdzekļu legalizācijas un terorisma finansēšanas novēršanas ekspertu komitejas</w:t>
      </w:r>
      <w:r w:rsidR="00034C36" w:rsidRPr="00164C02">
        <w:rPr>
          <w:szCs w:val="24"/>
        </w:rPr>
        <w:t xml:space="preserve"> </w:t>
      </w:r>
      <w:r w:rsidR="00034C36">
        <w:rPr>
          <w:rFonts w:eastAsia="Times New Roman" w:cs="Times New Roman"/>
          <w:b/>
          <w:bCs/>
          <w:color w:val="000000"/>
          <w:szCs w:val="24"/>
          <w:lang w:eastAsia="lv-LV"/>
        </w:rPr>
        <w:t>(</w:t>
      </w:r>
      <w:r w:rsidRPr="00577BF3">
        <w:rPr>
          <w:rFonts w:eastAsia="Times New Roman" w:cs="Times New Roman"/>
          <w:b/>
          <w:bCs/>
          <w:color w:val="000000"/>
          <w:szCs w:val="24"/>
          <w:lang w:eastAsia="lv-LV"/>
        </w:rPr>
        <w:t>MONEYVAL</w:t>
      </w:r>
      <w:r w:rsidR="00034C36">
        <w:rPr>
          <w:rFonts w:eastAsia="Times New Roman" w:cs="Times New Roman"/>
          <w:b/>
          <w:bCs/>
          <w:color w:val="000000"/>
          <w:szCs w:val="24"/>
          <w:lang w:eastAsia="lv-LV"/>
        </w:rPr>
        <w:t>)</w:t>
      </w:r>
      <w:r w:rsidRPr="00577BF3">
        <w:rPr>
          <w:rFonts w:eastAsia="Times New Roman" w:cs="Times New Roman"/>
          <w:b/>
          <w:bCs/>
          <w:color w:val="000000"/>
          <w:szCs w:val="24"/>
          <w:lang w:eastAsia="lv-LV"/>
        </w:rPr>
        <w:t xml:space="preserve"> un </w:t>
      </w:r>
      <w:r w:rsidR="00034C36">
        <w:rPr>
          <w:rFonts w:eastAsia="Times New Roman" w:cs="Times New Roman"/>
          <w:b/>
          <w:bCs/>
          <w:color w:val="000000"/>
          <w:szCs w:val="24"/>
          <w:lang w:eastAsia="lv-LV"/>
        </w:rPr>
        <w:t>Ekonomiskās sadarbības un attīstības organizācijas (</w:t>
      </w:r>
      <w:r w:rsidRPr="00577BF3">
        <w:rPr>
          <w:rFonts w:eastAsia="Times New Roman" w:cs="Times New Roman"/>
          <w:b/>
          <w:bCs/>
          <w:color w:val="000000"/>
          <w:szCs w:val="24"/>
          <w:lang w:eastAsia="lv-LV"/>
        </w:rPr>
        <w:t>OECD</w:t>
      </w:r>
      <w:r w:rsidR="00034C36">
        <w:rPr>
          <w:rFonts w:eastAsia="Times New Roman" w:cs="Times New Roman"/>
          <w:b/>
          <w:bCs/>
          <w:color w:val="000000"/>
          <w:szCs w:val="24"/>
          <w:lang w:eastAsia="lv-LV"/>
        </w:rPr>
        <w:t>)</w:t>
      </w:r>
      <w:r w:rsidRPr="00577BF3">
        <w:rPr>
          <w:rFonts w:eastAsia="Times New Roman" w:cs="Times New Roman"/>
          <w:b/>
          <w:bCs/>
          <w:color w:val="000000"/>
          <w:szCs w:val="24"/>
          <w:lang w:eastAsia="lv-LV"/>
        </w:rPr>
        <w:t xml:space="preserve"> rekomendāciju ieviešanu saistīto jautājumu risināšana prokuratūras kompetences ietvaros</w:t>
      </w:r>
    </w:p>
    <w:p w14:paraId="415C76F6" w14:textId="05CF8E66" w:rsidR="003A17E1" w:rsidRPr="00577BF3" w:rsidRDefault="003A17E1" w:rsidP="00B16727">
      <w:pPr>
        <w:numPr>
          <w:ilvl w:val="0"/>
          <w:numId w:val="4"/>
        </w:numPr>
        <w:spacing w:after="0" w:line="240" w:lineRule="auto"/>
        <w:ind w:left="714" w:hanging="357"/>
        <w:contextualSpacing/>
        <w:jc w:val="both"/>
        <w:rPr>
          <w:rFonts w:eastAsia="Calibri" w:cs="Times New Roman"/>
          <w:szCs w:val="24"/>
        </w:rPr>
      </w:pPr>
      <w:r w:rsidRPr="00577BF3">
        <w:rPr>
          <w:rFonts w:eastAsia="Calibri" w:cs="Times New Roman"/>
          <w:color w:val="000000"/>
          <w:szCs w:val="24"/>
        </w:rPr>
        <w:t xml:space="preserve">Saistībā ar </w:t>
      </w:r>
      <w:r w:rsidR="00034C36" w:rsidRPr="00164C02">
        <w:rPr>
          <w:szCs w:val="24"/>
        </w:rPr>
        <w:t xml:space="preserve">Eiropas Padomes noziedzīgi iegūtu līdzekļu legalizācijas un terorisma finansēšanas novēršanas ekspertu komitejas </w:t>
      </w:r>
      <w:r w:rsidR="00034C36">
        <w:rPr>
          <w:szCs w:val="24"/>
        </w:rPr>
        <w:t>(</w:t>
      </w:r>
      <w:r w:rsidRPr="00577BF3">
        <w:rPr>
          <w:rFonts w:eastAsia="Calibri" w:cs="Times New Roman"/>
          <w:szCs w:val="24"/>
        </w:rPr>
        <w:t>MONEYVAL</w:t>
      </w:r>
      <w:r w:rsidR="00034C36">
        <w:rPr>
          <w:rFonts w:eastAsia="Calibri" w:cs="Times New Roman"/>
          <w:szCs w:val="24"/>
        </w:rPr>
        <w:t>)</w:t>
      </w:r>
      <w:r w:rsidRPr="00577BF3">
        <w:rPr>
          <w:rFonts w:eastAsia="Calibri" w:cs="Times New Roman"/>
          <w:szCs w:val="24"/>
        </w:rPr>
        <w:t xml:space="preserve"> rekomendāciju ieviešanu sagatavotas dienesta vēstules, komentāri, apkopota un analizēta statistiskā informācija noziedzīgi iegūtu līdzekļu legalizēšanas apkarošanas jomā, kā arī pārstāvēta Ģenerālprokuratūra Latvijas delegācijā (darba grupā) </w:t>
      </w:r>
      <w:r w:rsidR="00034C36" w:rsidRPr="00164C02">
        <w:rPr>
          <w:szCs w:val="24"/>
        </w:rPr>
        <w:t>Eiropas Padomes noziedzīgi iegūtu līdzekļu legalizācijas un terorisma finansēšanas novēršanas ekspertu komitej</w:t>
      </w:r>
      <w:r w:rsidR="00034C36">
        <w:rPr>
          <w:szCs w:val="24"/>
        </w:rPr>
        <w:t>ā</w:t>
      </w:r>
      <w:r w:rsidR="00034C36" w:rsidRPr="00164C02">
        <w:rPr>
          <w:szCs w:val="24"/>
        </w:rPr>
        <w:t xml:space="preserve"> </w:t>
      </w:r>
      <w:r w:rsidR="00034C36">
        <w:rPr>
          <w:szCs w:val="24"/>
        </w:rPr>
        <w:t>(</w:t>
      </w:r>
      <w:r w:rsidRPr="00577BF3">
        <w:rPr>
          <w:rFonts w:eastAsia="Calibri" w:cs="Times New Roman"/>
          <w:szCs w:val="24"/>
        </w:rPr>
        <w:t>MONEYVAL</w:t>
      </w:r>
      <w:r w:rsidR="00034C36">
        <w:rPr>
          <w:rFonts w:eastAsia="Calibri" w:cs="Times New Roman"/>
          <w:szCs w:val="24"/>
        </w:rPr>
        <w:t>)</w:t>
      </w:r>
      <w:r w:rsidRPr="00577BF3">
        <w:rPr>
          <w:rFonts w:eastAsia="Calibri" w:cs="Times New Roman"/>
          <w:szCs w:val="24"/>
        </w:rPr>
        <w:t xml:space="preserve"> un </w:t>
      </w:r>
      <w:r w:rsidR="00034C36">
        <w:rPr>
          <w:rFonts w:eastAsia="Calibri" w:cs="Times New Roman"/>
          <w:szCs w:val="24"/>
        </w:rPr>
        <w:t>Finanšu darījumu darba grupā (</w:t>
      </w:r>
      <w:r w:rsidRPr="00577BF3">
        <w:rPr>
          <w:rFonts w:eastAsia="Calibri" w:cs="Times New Roman"/>
          <w:szCs w:val="24"/>
        </w:rPr>
        <w:t>FATF</w:t>
      </w:r>
      <w:r w:rsidR="00034C36">
        <w:rPr>
          <w:rFonts w:eastAsia="Calibri" w:cs="Times New Roman"/>
          <w:szCs w:val="24"/>
        </w:rPr>
        <w:t>)</w:t>
      </w:r>
      <w:r w:rsidRPr="00577BF3">
        <w:rPr>
          <w:rFonts w:eastAsia="Calibri" w:cs="Times New Roman"/>
          <w:szCs w:val="24"/>
        </w:rPr>
        <w:t xml:space="preserve">. </w:t>
      </w:r>
    </w:p>
    <w:p w14:paraId="134C83E7" w14:textId="179AD0B3" w:rsidR="003A17E1" w:rsidRPr="00577BF3" w:rsidRDefault="003A17E1" w:rsidP="00B16727">
      <w:pPr>
        <w:numPr>
          <w:ilvl w:val="0"/>
          <w:numId w:val="4"/>
        </w:numPr>
        <w:spacing w:after="0" w:line="240" w:lineRule="auto"/>
        <w:ind w:left="714" w:hanging="357"/>
        <w:contextualSpacing/>
        <w:jc w:val="both"/>
        <w:rPr>
          <w:rFonts w:eastAsia="Calibri" w:cs="Times New Roman"/>
          <w:szCs w:val="24"/>
        </w:rPr>
      </w:pPr>
      <w:r w:rsidRPr="00577BF3">
        <w:rPr>
          <w:rFonts w:eastAsia="Calibri" w:cs="Times New Roman"/>
          <w:color w:val="000000"/>
          <w:szCs w:val="24"/>
        </w:rPr>
        <w:t xml:space="preserve">Saistībā ar </w:t>
      </w:r>
      <w:bookmarkStart w:id="76" w:name="_Hlk64989384"/>
      <w:r w:rsidR="00034C36">
        <w:rPr>
          <w:rFonts w:eastAsia="Calibri" w:cs="Times New Roman"/>
          <w:color w:val="000000"/>
          <w:szCs w:val="24"/>
        </w:rPr>
        <w:t xml:space="preserve">Ekonomiskās sadarbības un attīstības organizācijas </w:t>
      </w:r>
      <w:bookmarkEnd w:id="76"/>
      <w:r w:rsidR="00034C36">
        <w:rPr>
          <w:rFonts w:eastAsia="Calibri" w:cs="Times New Roman"/>
          <w:color w:val="000000"/>
          <w:szCs w:val="24"/>
        </w:rPr>
        <w:t>(</w:t>
      </w:r>
      <w:r w:rsidRPr="00577BF3">
        <w:rPr>
          <w:rFonts w:eastAsia="Calibri" w:cs="Times New Roman"/>
          <w:szCs w:val="24"/>
        </w:rPr>
        <w:t>OECD</w:t>
      </w:r>
      <w:r w:rsidR="00034C36">
        <w:rPr>
          <w:rFonts w:eastAsia="Calibri" w:cs="Times New Roman"/>
          <w:szCs w:val="24"/>
        </w:rPr>
        <w:t>)</w:t>
      </w:r>
      <w:r w:rsidRPr="00577BF3">
        <w:rPr>
          <w:rFonts w:eastAsia="Calibri" w:cs="Times New Roman"/>
          <w:szCs w:val="24"/>
        </w:rPr>
        <w:t xml:space="preserve"> rekomendāciju ieviešanu sagatavots pārskats, apkopota un analizēta statistiskā informācija ārvalstu amatpersonu kukuļošanas apkarošanas jomā, kā arī pārstāvēta Ģenerālprokuratūra Latvijas delegācijā (darba grupā) </w:t>
      </w:r>
      <w:r w:rsidR="00034C36">
        <w:rPr>
          <w:rFonts w:eastAsia="Calibri" w:cs="Times New Roman"/>
          <w:color w:val="000000"/>
          <w:szCs w:val="24"/>
        </w:rPr>
        <w:t>Ekonomiskās sadarbības un attīstības organizācijā (</w:t>
      </w:r>
      <w:r w:rsidRPr="00577BF3">
        <w:rPr>
          <w:rFonts w:eastAsia="Calibri" w:cs="Times New Roman"/>
          <w:szCs w:val="24"/>
        </w:rPr>
        <w:t>OECD</w:t>
      </w:r>
      <w:r w:rsidR="00034C36">
        <w:rPr>
          <w:rFonts w:eastAsia="Calibri" w:cs="Times New Roman"/>
          <w:szCs w:val="24"/>
        </w:rPr>
        <w:t>)</w:t>
      </w:r>
      <w:r w:rsidRPr="00577BF3">
        <w:rPr>
          <w:rFonts w:eastAsia="Calibri" w:cs="Times New Roman"/>
          <w:szCs w:val="24"/>
        </w:rPr>
        <w:t>.</w:t>
      </w:r>
    </w:p>
    <w:p w14:paraId="796CE1CC" w14:textId="04B89B68" w:rsidR="003A17E1" w:rsidRPr="00577BF3" w:rsidRDefault="003A17E1" w:rsidP="00B16727">
      <w:pPr>
        <w:numPr>
          <w:ilvl w:val="0"/>
          <w:numId w:val="4"/>
        </w:numPr>
        <w:spacing w:after="0" w:line="240" w:lineRule="auto"/>
        <w:ind w:left="714" w:hanging="357"/>
        <w:contextualSpacing/>
        <w:jc w:val="both"/>
        <w:rPr>
          <w:rFonts w:eastAsia="Calibri" w:cs="Times New Roman"/>
          <w:szCs w:val="24"/>
        </w:rPr>
      </w:pPr>
      <w:r w:rsidRPr="00577BF3">
        <w:rPr>
          <w:rFonts w:eastAsia="Calibri" w:cs="Times New Roman"/>
          <w:color w:val="000000"/>
          <w:szCs w:val="24"/>
        </w:rPr>
        <w:t>Sadarbībā ar Tieslietu ministriju un Finanšu ministriju</w:t>
      </w:r>
      <w:r w:rsidRPr="00577BF3">
        <w:rPr>
          <w:rFonts w:eastAsia="Calibri" w:cs="Times New Roman"/>
          <w:spacing w:val="-2"/>
          <w:szCs w:val="24"/>
        </w:rPr>
        <w:t xml:space="preserve"> Metodikas nodaļas prokurors iesaistījās</w:t>
      </w:r>
      <w:r w:rsidRPr="00577BF3">
        <w:rPr>
          <w:rFonts w:eastAsia="Calibri" w:cs="Times New Roman"/>
          <w:color w:val="000000"/>
          <w:szCs w:val="24"/>
        </w:rPr>
        <w:t xml:space="preserve"> grozījumu izstrādē Revīzijas pakalpojumu likumā, lai</w:t>
      </w:r>
      <w:r w:rsidRPr="00577BF3">
        <w:rPr>
          <w:rFonts w:eastAsia="Calibri" w:cs="Times New Roman"/>
          <w:spacing w:val="-2"/>
          <w:szCs w:val="24"/>
        </w:rPr>
        <w:t xml:space="preserve"> </w:t>
      </w:r>
      <w:bookmarkStart w:id="77" w:name="_Hlk62409828"/>
      <w:r w:rsidRPr="00577BF3">
        <w:rPr>
          <w:rFonts w:eastAsia="Calibri" w:cs="Times New Roman"/>
          <w:spacing w:val="-2"/>
          <w:szCs w:val="24"/>
        </w:rPr>
        <w:t xml:space="preserve">izpildītu </w:t>
      </w:r>
      <w:r w:rsidR="00034C36">
        <w:rPr>
          <w:rFonts w:eastAsia="Calibri" w:cs="Times New Roman"/>
          <w:color w:val="000000"/>
          <w:szCs w:val="24"/>
        </w:rPr>
        <w:t>Ekonomiskās sadarbības un attīstības organizācijas (</w:t>
      </w:r>
      <w:r w:rsidRPr="00577BF3">
        <w:rPr>
          <w:rFonts w:eastAsia="Calibri" w:cs="Times New Roman"/>
          <w:spacing w:val="-2"/>
          <w:szCs w:val="24"/>
        </w:rPr>
        <w:t>OECD</w:t>
      </w:r>
      <w:bookmarkEnd w:id="77"/>
      <w:r w:rsidR="00034C36">
        <w:rPr>
          <w:rFonts w:eastAsia="Calibri" w:cs="Times New Roman"/>
          <w:spacing w:val="-2"/>
          <w:szCs w:val="24"/>
        </w:rPr>
        <w:t>)</w:t>
      </w:r>
      <w:r w:rsidRPr="00577BF3">
        <w:rPr>
          <w:rFonts w:eastAsia="Calibri" w:cs="Times New Roman"/>
          <w:spacing w:val="-2"/>
          <w:szCs w:val="24"/>
        </w:rPr>
        <w:t xml:space="preserve"> Kukuļošanas apkarošanas starptautiskajos biznesa darījumos darba grupas 2.</w:t>
      </w:r>
      <w:r w:rsidR="00B124E5" w:rsidRPr="00577BF3">
        <w:rPr>
          <w:rFonts w:eastAsia="Calibri" w:cs="Times New Roman"/>
          <w:spacing w:val="-2"/>
          <w:szCs w:val="24"/>
        </w:rPr>
        <w:t> </w:t>
      </w:r>
      <w:r w:rsidRPr="00577BF3">
        <w:rPr>
          <w:rFonts w:eastAsia="Calibri" w:cs="Times New Roman"/>
          <w:spacing w:val="-2"/>
          <w:szCs w:val="24"/>
        </w:rPr>
        <w:t>fāzes novērtējuma ziņojuma rekomendāciju 7(e) attiecībā uz tiesu, prokuroru, izmeklētāju tiesībām pieprasīt revidentam sniegt informāciju izmantošanai, kad tiek izmeklēta ārvalstu amatpersonu kukuļošana.</w:t>
      </w:r>
    </w:p>
    <w:p w14:paraId="611F47BE" w14:textId="1476EC6F" w:rsidR="003A17E1" w:rsidRPr="00577BF3" w:rsidRDefault="003A17E1" w:rsidP="00B16727">
      <w:pPr>
        <w:numPr>
          <w:ilvl w:val="0"/>
          <w:numId w:val="4"/>
        </w:numPr>
        <w:spacing w:after="0" w:line="240" w:lineRule="auto"/>
        <w:ind w:left="714" w:hanging="357"/>
        <w:contextualSpacing/>
        <w:jc w:val="both"/>
        <w:rPr>
          <w:rFonts w:eastAsia="Calibri" w:cs="Times New Roman"/>
          <w:szCs w:val="24"/>
        </w:rPr>
      </w:pPr>
      <w:r w:rsidRPr="00577BF3">
        <w:rPr>
          <w:rFonts w:eastAsia="Calibri" w:cs="Times New Roman"/>
          <w:szCs w:val="24"/>
        </w:rPr>
        <w:t>Metodikas nodaļas prokurors kā Latvijas deleģētais eksperts laikā no 2020.</w:t>
      </w:r>
      <w:r w:rsidR="00B124E5" w:rsidRPr="00577BF3">
        <w:rPr>
          <w:rFonts w:eastAsia="Calibri" w:cs="Times New Roman"/>
          <w:szCs w:val="24"/>
        </w:rPr>
        <w:t> </w:t>
      </w:r>
      <w:r w:rsidRPr="00577BF3">
        <w:rPr>
          <w:rFonts w:eastAsia="Calibri" w:cs="Times New Roman"/>
          <w:szCs w:val="24"/>
        </w:rPr>
        <w:t>gada 30.</w:t>
      </w:r>
      <w:r w:rsidR="00B124E5" w:rsidRPr="00577BF3">
        <w:rPr>
          <w:rFonts w:eastAsia="Calibri" w:cs="Times New Roman"/>
          <w:szCs w:val="24"/>
        </w:rPr>
        <w:t> </w:t>
      </w:r>
      <w:r w:rsidRPr="00577BF3">
        <w:rPr>
          <w:rFonts w:eastAsia="Calibri" w:cs="Times New Roman"/>
          <w:szCs w:val="24"/>
        </w:rPr>
        <w:t>septembra līdz 8.</w:t>
      </w:r>
      <w:r w:rsidR="00B124E5" w:rsidRPr="00577BF3">
        <w:rPr>
          <w:rFonts w:eastAsia="Calibri" w:cs="Times New Roman"/>
          <w:szCs w:val="24"/>
        </w:rPr>
        <w:t> </w:t>
      </w:r>
      <w:r w:rsidRPr="00577BF3">
        <w:rPr>
          <w:rFonts w:eastAsia="Calibri" w:cs="Times New Roman"/>
          <w:szCs w:val="24"/>
        </w:rPr>
        <w:t xml:space="preserve">oktobrim pārstāvēja Ģenerālprokuratūru </w:t>
      </w:r>
      <w:r w:rsidR="00034C36">
        <w:rPr>
          <w:rFonts w:eastAsia="Calibri" w:cs="Times New Roman"/>
          <w:color w:val="000000"/>
          <w:szCs w:val="24"/>
        </w:rPr>
        <w:t>Ekonomiskās sadarbības un attīstības organizācijas (</w:t>
      </w:r>
      <w:r w:rsidRPr="00577BF3">
        <w:rPr>
          <w:rFonts w:eastAsia="Calibri" w:cs="Times New Roman"/>
          <w:szCs w:val="24"/>
        </w:rPr>
        <w:t>OECD</w:t>
      </w:r>
      <w:r w:rsidR="00034C36">
        <w:rPr>
          <w:rFonts w:eastAsia="Calibri" w:cs="Times New Roman"/>
          <w:szCs w:val="24"/>
        </w:rPr>
        <w:t>)</w:t>
      </w:r>
      <w:r w:rsidRPr="00577BF3">
        <w:rPr>
          <w:rFonts w:eastAsia="Calibri" w:cs="Times New Roman"/>
          <w:szCs w:val="24"/>
        </w:rPr>
        <w:t xml:space="preserve"> Kukuļošanas apkarošanas starptautiskajos biznesa darījumos darba grupas organizētajā Slovēnijas 4.</w:t>
      </w:r>
      <w:r w:rsidR="003D3F86" w:rsidRPr="00577BF3">
        <w:rPr>
          <w:rFonts w:eastAsia="Calibri" w:cs="Times New Roman"/>
          <w:szCs w:val="24"/>
        </w:rPr>
        <w:t> </w:t>
      </w:r>
      <w:r w:rsidRPr="00577BF3">
        <w:rPr>
          <w:rFonts w:eastAsia="Calibri" w:cs="Times New Roman"/>
          <w:szCs w:val="24"/>
        </w:rPr>
        <w:t xml:space="preserve">fāzes novērtēšanas procesā. </w:t>
      </w:r>
    </w:p>
    <w:p w14:paraId="08102EF3" w14:textId="77777777" w:rsidR="003A17E1" w:rsidRPr="00577BF3" w:rsidRDefault="003A17E1" w:rsidP="00CF4214">
      <w:pPr>
        <w:spacing w:after="0" w:line="240" w:lineRule="auto"/>
        <w:jc w:val="both"/>
        <w:rPr>
          <w:rFonts w:eastAsia="Times New Roman" w:cs="Times New Roman"/>
          <w:szCs w:val="24"/>
          <w:lang w:eastAsia="lv-LV"/>
        </w:rPr>
      </w:pPr>
    </w:p>
    <w:p w14:paraId="17AD82B2" w14:textId="1C26A856" w:rsidR="00436EEE" w:rsidRPr="00577BF3" w:rsidRDefault="003A17E1" w:rsidP="00CF4214">
      <w:pPr>
        <w:spacing w:after="0" w:line="240" w:lineRule="auto"/>
        <w:jc w:val="both"/>
        <w:rPr>
          <w:rFonts w:eastAsia="Times New Roman" w:cs="Times New Roman"/>
          <w:b/>
          <w:bCs/>
          <w:szCs w:val="24"/>
          <w:lang w:eastAsia="lv-LV"/>
        </w:rPr>
      </w:pPr>
      <w:r w:rsidRPr="00577BF3">
        <w:rPr>
          <w:rFonts w:eastAsia="Times New Roman" w:cs="Times New Roman"/>
          <w:b/>
          <w:bCs/>
          <w:szCs w:val="24"/>
          <w:lang w:eastAsia="lv-LV"/>
        </w:rPr>
        <w:t>[4] Specializēto apmācību vadīšana, dalība diskusijās un konferencēs</w:t>
      </w:r>
    </w:p>
    <w:p w14:paraId="60217777" w14:textId="77777777" w:rsidR="003A17E1" w:rsidRPr="00577BF3" w:rsidRDefault="003A17E1" w:rsidP="00CF4214">
      <w:pPr>
        <w:spacing w:after="0" w:line="240" w:lineRule="auto"/>
        <w:ind w:left="720"/>
        <w:contextualSpacing/>
        <w:jc w:val="both"/>
        <w:rPr>
          <w:rFonts w:eastAsia="Calibri" w:cs="Times New Roman"/>
          <w:szCs w:val="24"/>
        </w:rPr>
      </w:pPr>
      <w:r w:rsidRPr="00577BF3">
        <w:rPr>
          <w:rFonts w:eastAsia="Calibri" w:cs="Times New Roman"/>
          <w:szCs w:val="24"/>
        </w:rPr>
        <w:t xml:space="preserve">Metodikas nodaļas prokurors kā Ģenerālprokuratūras pārstāvis un lektors piedalījās dažādās apmācībās, diskusijās un konferencēs jautājumā par noziedzīgi iegūtu līdzekļu legalizēšanas apkarošanu un citiem ar finanšu noziegumu izmeklēšanu saistītiem jautājumiem. Piemēram, 2020. gada janvārī un februārī kopā ar citu Ģenerālprokuratūras prokuroru organizēja un vadīja apmācības prokuroriem un tiesnešiem par noziedzīgi iegūtu līdzekļu legalizēšanas apkarošanu un mantas īpašo konfiskāciju. </w:t>
      </w:r>
    </w:p>
    <w:p w14:paraId="7EF0E738" w14:textId="77777777" w:rsidR="003A17E1" w:rsidRPr="00577BF3" w:rsidRDefault="003A17E1" w:rsidP="00CF4214">
      <w:pPr>
        <w:spacing w:after="0" w:line="240" w:lineRule="auto"/>
        <w:jc w:val="both"/>
        <w:rPr>
          <w:rFonts w:eastAsia="Times New Roman" w:cs="Times New Roman"/>
          <w:szCs w:val="24"/>
          <w:lang w:eastAsia="lv-LV"/>
        </w:rPr>
      </w:pPr>
    </w:p>
    <w:p w14:paraId="7AE34B1F" w14:textId="68508EB9" w:rsidR="003A17E1" w:rsidRPr="00577BF3" w:rsidRDefault="003A17E1" w:rsidP="00CF4214">
      <w:pPr>
        <w:spacing w:after="0" w:line="240" w:lineRule="auto"/>
        <w:jc w:val="both"/>
        <w:rPr>
          <w:rFonts w:eastAsia="Times New Roman" w:cs="Times New Roman"/>
          <w:b/>
          <w:bCs/>
          <w:szCs w:val="24"/>
          <w:lang w:eastAsia="lv-LV"/>
        </w:rPr>
      </w:pPr>
      <w:r w:rsidRPr="00577BF3">
        <w:rPr>
          <w:rFonts w:eastAsia="Times New Roman" w:cs="Times New Roman"/>
          <w:b/>
          <w:bCs/>
          <w:szCs w:val="24"/>
          <w:lang w:eastAsia="lv-LV"/>
        </w:rPr>
        <w:t>[5] Krimināltiesiskā joma - amatā augstāka prokurora funkciju īstenošana, valsts apsūdzības uzturēšana</w:t>
      </w:r>
    </w:p>
    <w:p w14:paraId="0FCC4A8D" w14:textId="722D4D69" w:rsidR="001D5946" w:rsidRPr="00577BF3" w:rsidRDefault="003A17E1" w:rsidP="000B624C">
      <w:pPr>
        <w:spacing w:after="0" w:line="240" w:lineRule="auto"/>
        <w:ind w:left="720"/>
        <w:contextualSpacing/>
        <w:jc w:val="both"/>
        <w:rPr>
          <w:rFonts w:eastAsia="Calibri" w:cs="Times New Roman"/>
          <w:szCs w:val="24"/>
        </w:rPr>
      </w:pPr>
      <w:r w:rsidRPr="00577BF3">
        <w:rPr>
          <w:rFonts w:eastAsia="Calibri" w:cs="Times New Roman"/>
          <w:szCs w:val="24"/>
        </w:rPr>
        <w:t xml:space="preserve">2020. gadā Metodikas nodaļas prokurors turpināja uzturēt valsts apsūdzību tiesai nodotajos kriminālprocesos. Turklāt kopš 2020. gada augusta tas pats prokurors īsteno arī amatā augstāka prokurora funkcijas – koordinē izmeklēšanu apjomīgā krimināllietā par akciju sabiedrības “ABLV </w:t>
      </w:r>
      <w:proofErr w:type="spellStart"/>
      <w:r w:rsidRPr="00577BF3">
        <w:rPr>
          <w:rFonts w:eastAsia="Calibri" w:cs="Times New Roman"/>
          <w:szCs w:val="24"/>
        </w:rPr>
        <w:t>Bank</w:t>
      </w:r>
      <w:proofErr w:type="spellEnd"/>
      <w:r w:rsidRPr="00577BF3">
        <w:rPr>
          <w:rFonts w:eastAsia="Calibri" w:cs="Times New Roman"/>
          <w:szCs w:val="24"/>
        </w:rPr>
        <w:t xml:space="preserve">” vadības iespējami izdarītu noziedzīgi iegūtu līdzekļu legalizēšanu lielā apmērā un organizētā grupā. </w:t>
      </w:r>
    </w:p>
    <w:p w14:paraId="616DFDD8" w14:textId="77777777" w:rsidR="00FE0F59" w:rsidRPr="00577BF3" w:rsidRDefault="00FE0F59" w:rsidP="000B624C">
      <w:pPr>
        <w:spacing w:after="0" w:line="240" w:lineRule="auto"/>
        <w:ind w:left="720"/>
        <w:contextualSpacing/>
        <w:jc w:val="both"/>
        <w:rPr>
          <w:rFonts w:eastAsia="Calibri" w:cs="Times New Roman"/>
          <w:szCs w:val="24"/>
        </w:rPr>
      </w:pPr>
    </w:p>
    <w:p w14:paraId="27A13AFD" w14:textId="5CC13250" w:rsidR="003A17E1" w:rsidRPr="000F6E92" w:rsidRDefault="003A17E1" w:rsidP="00CF4214">
      <w:pPr>
        <w:spacing w:after="0" w:line="240" w:lineRule="auto"/>
        <w:rPr>
          <w:rFonts w:eastAsia="Times New Roman" w:cs="Times New Roman"/>
          <w:b/>
          <w:bCs/>
          <w:i/>
          <w:iCs/>
          <w:color w:val="000000" w:themeColor="text1"/>
          <w:szCs w:val="24"/>
          <w:lang w:eastAsia="lv-LV"/>
        </w:rPr>
      </w:pPr>
      <w:r w:rsidRPr="000F6E92">
        <w:rPr>
          <w:rFonts w:eastAsia="Times New Roman" w:cs="Times New Roman"/>
          <w:b/>
          <w:bCs/>
          <w:i/>
          <w:iCs/>
          <w:color w:val="000000" w:themeColor="text1"/>
          <w:szCs w:val="24"/>
          <w:lang w:eastAsia="lv-LV"/>
        </w:rPr>
        <w:lastRenderedPageBreak/>
        <w:t>Metodikas nodaļas</w:t>
      </w:r>
      <w:r w:rsidR="00444F6E" w:rsidRPr="000F6E92">
        <w:rPr>
          <w:rFonts w:eastAsia="Times New Roman" w:cs="Times New Roman"/>
          <w:b/>
          <w:bCs/>
          <w:i/>
          <w:iCs/>
          <w:color w:val="000000" w:themeColor="text1"/>
          <w:szCs w:val="24"/>
          <w:lang w:eastAsia="lv-LV"/>
        </w:rPr>
        <w:t xml:space="preserve"> </w:t>
      </w:r>
      <w:r w:rsidR="000F6E92">
        <w:rPr>
          <w:rFonts w:eastAsia="Times New Roman" w:cs="Times New Roman"/>
          <w:b/>
          <w:bCs/>
          <w:i/>
          <w:iCs/>
          <w:color w:val="000000" w:themeColor="text1"/>
          <w:szCs w:val="24"/>
          <w:lang w:eastAsia="lv-LV"/>
        </w:rPr>
        <w:t xml:space="preserve">prokuroru </w:t>
      </w:r>
      <w:r w:rsidR="00444F6E" w:rsidRPr="000F6E92">
        <w:rPr>
          <w:rFonts w:eastAsia="Times New Roman" w:cs="Times New Roman"/>
          <w:b/>
          <w:bCs/>
          <w:i/>
          <w:iCs/>
          <w:color w:val="000000" w:themeColor="text1"/>
          <w:szCs w:val="24"/>
          <w:lang w:eastAsia="lv-LV"/>
        </w:rPr>
        <w:t>darba</w:t>
      </w:r>
      <w:r w:rsidRPr="000F6E92">
        <w:rPr>
          <w:rFonts w:eastAsia="Times New Roman" w:cs="Times New Roman"/>
          <w:b/>
          <w:bCs/>
          <w:i/>
          <w:iCs/>
          <w:color w:val="000000" w:themeColor="text1"/>
          <w:szCs w:val="24"/>
          <w:lang w:eastAsia="lv-LV"/>
        </w:rPr>
        <w:t xml:space="preserve"> slodzes dinamika 3 gadu griezumā</w:t>
      </w:r>
    </w:p>
    <w:p w14:paraId="6F60B83A" w14:textId="77777777" w:rsidR="003A17E1" w:rsidRPr="00577BF3" w:rsidRDefault="003A17E1" w:rsidP="00CF4214">
      <w:pPr>
        <w:spacing w:after="0" w:line="240" w:lineRule="auto"/>
        <w:rPr>
          <w:rFonts w:eastAsia="Times New Roman" w:cs="Times New Roman"/>
          <w:b/>
          <w:bCs/>
          <w:i/>
          <w:iCs/>
          <w:szCs w:val="24"/>
          <w:lang w:eastAsia="lv-LV"/>
        </w:rPr>
      </w:pPr>
    </w:p>
    <w:p w14:paraId="6838F376" w14:textId="488ABBA5" w:rsidR="00436EEE" w:rsidRPr="00577BF3" w:rsidRDefault="003A17E1" w:rsidP="00F62B7E">
      <w:pPr>
        <w:spacing w:after="0" w:line="240" w:lineRule="auto"/>
        <w:ind w:firstLine="720"/>
        <w:jc w:val="both"/>
        <w:rPr>
          <w:rFonts w:eastAsia="Times New Roman" w:cs="Times New Roman"/>
          <w:szCs w:val="24"/>
          <w:lang w:eastAsia="lv-LV"/>
        </w:rPr>
      </w:pPr>
      <w:r w:rsidRPr="00577BF3">
        <w:rPr>
          <w:rFonts w:eastAsia="Times New Roman" w:cs="Times New Roman"/>
          <w:szCs w:val="24"/>
          <w:lang w:eastAsia="lv-LV"/>
        </w:rPr>
        <w:t xml:space="preserve">Pēdējo trīs gadu </w:t>
      </w:r>
      <w:r w:rsidR="002F6CDE" w:rsidRPr="00577BF3">
        <w:rPr>
          <w:rFonts w:eastAsia="Times New Roman" w:cs="Times New Roman"/>
          <w:szCs w:val="24"/>
          <w:lang w:eastAsia="lv-LV"/>
        </w:rPr>
        <w:t xml:space="preserve">darba rezultātos </w:t>
      </w:r>
      <w:r w:rsidRPr="00577BF3">
        <w:rPr>
          <w:rFonts w:eastAsia="Times New Roman" w:cs="Times New Roman"/>
          <w:szCs w:val="24"/>
          <w:lang w:eastAsia="lv-LV"/>
        </w:rPr>
        <w:t xml:space="preserve">vērojams </w:t>
      </w:r>
      <w:r w:rsidR="00F666FF">
        <w:rPr>
          <w:rFonts w:eastAsia="Times New Roman" w:cs="Times New Roman"/>
          <w:szCs w:val="24"/>
          <w:lang w:eastAsia="lv-LV"/>
        </w:rPr>
        <w:t xml:space="preserve">Metodikas nodaļas </w:t>
      </w:r>
      <w:r w:rsidR="000F6E92">
        <w:rPr>
          <w:rFonts w:eastAsia="Times New Roman" w:cs="Times New Roman"/>
          <w:szCs w:val="24"/>
          <w:lang w:eastAsia="lv-LV"/>
        </w:rPr>
        <w:t xml:space="preserve">prokuroru </w:t>
      </w:r>
      <w:r w:rsidRPr="00577BF3">
        <w:rPr>
          <w:rFonts w:eastAsia="Times New Roman" w:cs="Times New Roman"/>
          <w:szCs w:val="24"/>
          <w:lang w:eastAsia="lv-LV"/>
        </w:rPr>
        <w:t xml:space="preserve">darba slodzes pieaugums. Galvenokārt </w:t>
      </w:r>
      <w:r w:rsidR="00F71B71" w:rsidRPr="00577BF3">
        <w:rPr>
          <w:rFonts w:eastAsia="Times New Roman" w:cs="Times New Roman"/>
          <w:szCs w:val="24"/>
          <w:lang w:eastAsia="lv-LV"/>
        </w:rPr>
        <w:t>tas</w:t>
      </w:r>
      <w:r w:rsidR="002F6CDE" w:rsidRPr="00577BF3">
        <w:rPr>
          <w:rFonts w:eastAsia="Times New Roman" w:cs="Times New Roman"/>
          <w:szCs w:val="24"/>
          <w:lang w:eastAsia="lv-LV"/>
        </w:rPr>
        <w:t xml:space="preserve"> attiecas</w:t>
      </w:r>
      <w:r w:rsidR="00453858" w:rsidRPr="00577BF3">
        <w:rPr>
          <w:rFonts w:eastAsia="Times New Roman" w:cs="Times New Roman"/>
          <w:szCs w:val="24"/>
          <w:lang w:eastAsia="lv-LV"/>
        </w:rPr>
        <w:t xml:space="preserve"> uz</w:t>
      </w:r>
      <w:r w:rsidRPr="00577BF3">
        <w:rPr>
          <w:rFonts w:eastAsia="Times New Roman" w:cs="Times New Roman"/>
          <w:szCs w:val="24"/>
          <w:lang w:eastAsia="lv-LV"/>
        </w:rPr>
        <w:t xml:space="preserve"> personām un institūcijām sagatavot</w:t>
      </w:r>
      <w:r w:rsidR="0044747C" w:rsidRPr="00577BF3">
        <w:rPr>
          <w:rFonts w:eastAsia="Times New Roman" w:cs="Times New Roman"/>
          <w:szCs w:val="24"/>
          <w:lang w:eastAsia="lv-LV"/>
        </w:rPr>
        <w:t>ajām</w:t>
      </w:r>
      <w:r w:rsidRPr="00577BF3">
        <w:rPr>
          <w:rFonts w:eastAsia="Times New Roman" w:cs="Times New Roman"/>
          <w:szCs w:val="24"/>
          <w:lang w:eastAsia="lv-LV"/>
        </w:rPr>
        <w:t xml:space="preserve"> vēstu</w:t>
      </w:r>
      <w:r w:rsidR="0044747C" w:rsidRPr="00577BF3">
        <w:rPr>
          <w:rFonts w:eastAsia="Times New Roman" w:cs="Times New Roman"/>
          <w:szCs w:val="24"/>
          <w:lang w:eastAsia="lv-LV"/>
        </w:rPr>
        <w:t>lēm</w:t>
      </w:r>
      <w:r w:rsidRPr="00577BF3">
        <w:rPr>
          <w:rFonts w:eastAsia="Times New Roman" w:cs="Times New Roman"/>
          <w:szCs w:val="24"/>
          <w:lang w:eastAsia="lv-LV"/>
        </w:rPr>
        <w:t>, iekšēj</w:t>
      </w:r>
      <w:r w:rsidR="0044747C" w:rsidRPr="00577BF3">
        <w:rPr>
          <w:rFonts w:eastAsia="Times New Roman" w:cs="Times New Roman"/>
          <w:szCs w:val="24"/>
          <w:lang w:eastAsia="lv-LV"/>
        </w:rPr>
        <w:t>iem</w:t>
      </w:r>
      <w:r w:rsidRPr="00577BF3">
        <w:rPr>
          <w:rFonts w:eastAsia="Times New Roman" w:cs="Times New Roman"/>
          <w:szCs w:val="24"/>
          <w:lang w:eastAsia="lv-LV"/>
        </w:rPr>
        <w:t xml:space="preserve"> normatīv</w:t>
      </w:r>
      <w:r w:rsidR="0044747C" w:rsidRPr="00577BF3">
        <w:rPr>
          <w:rFonts w:eastAsia="Times New Roman" w:cs="Times New Roman"/>
          <w:szCs w:val="24"/>
          <w:lang w:eastAsia="lv-LV"/>
        </w:rPr>
        <w:t>iem</w:t>
      </w:r>
      <w:r w:rsidRPr="00577BF3">
        <w:rPr>
          <w:rFonts w:eastAsia="Times New Roman" w:cs="Times New Roman"/>
          <w:szCs w:val="24"/>
          <w:lang w:eastAsia="lv-LV"/>
        </w:rPr>
        <w:t xml:space="preserve"> </w:t>
      </w:r>
      <w:r w:rsidR="00524064" w:rsidRPr="00577BF3">
        <w:rPr>
          <w:rFonts w:eastAsia="Times New Roman" w:cs="Times New Roman"/>
          <w:szCs w:val="24"/>
          <w:lang w:eastAsia="lv-LV"/>
        </w:rPr>
        <w:t>u. </w:t>
      </w:r>
      <w:r w:rsidR="0035109A" w:rsidRPr="00577BF3">
        <w:rPr>
          <w:rFonts w:eastAsia="Times New Roman" w:cs="Times New Roman"/>
          <w:szCs w:val="24"/>
          <w:lang w:eastAsia="lv-LV"/>
        </w:rPr>
        <w:t>c. dokument</w:t>
      </w:r>
      <w:r w:rsidR="0044747C" w:rsidRPr="00577BF3">
        <w:rPr>
          <w:rFonts w:eastAsia="Times New Roman" w:cs="Times New Roman"/>
          <w:szCs w:val="24"/>
          <w:lang w:eastAsia="lv-LV"/>
        </w:rPr>
        <w:t>iem</w:t>
      </w:r>
      <w:r w:rsidR="003B2072" w:rsidRPr="00577BF3">
        <w:rPr>
          <w:rFonts w:eastAsia="Times New Roman" w:cs="Times New Roman"/>
          <w:szCs w:val="24"/>
          <w:lang w:eastAsia="lv-LV"/>
        </w:rPr>
        <w:t xml:space="preserve">, kā arī </w:t>
      </w:r>
      <w:r w:rsidR="003D3F86" w:rsidRPr="00577BF3">
        <w:rPr>
          <w:rFonts w:eastAsia="Times New Roman" w:cs="Times New Roman"/>
          <w:szCs w:val="24"/>
          <w:lang w:eastAsia="lv-LV"/>
        </w:rPr>
        <w:t>dalīb</w:t>
      </w:r>
      <w:r w:rsidR="0044747C" w:rsidRPr="00577BF3">
        <w:rPr>
          <w:rFonts w:eastAsia="Times New Roman" w:cs="Times New Roman"/>
          <w:szCs w:val="24"/>
          <w:lang w:eastAsia="lv-LV"/>
        </w:rPr>
        <w:t>u</w:t>
      </w:r>
      <w:r w:rsidR="003D3F86" w:rsidRPr="00577BF3">
        <w:rPr>
          <w:rFonts w:eastAsia="Times New Roman" w:cs="Times New Roman"/>
          <w:szCs w:val="24"/>
          <w:lang w:eastAsia="lv-LV"/>
        </w:rPr>
        <w:t xml:space="preserve"> </w:t>
      </w:r>
      <w:r w:rsidRPr="00577BF3">
        <w:rPr>
          <w:rFonts w:eastAsia="Times New Roman" w:cs="Times New Roman"/>
          <w:szCs w:val="24"/>
          <w:lang w:eastAsia="lv-LV"/>
        </w:rPr>
        <w:t xml:space="preserve">dažādās </w:t>
      </w:r>
      <w:r w:rsidR="00BB31C6" w:rsidRPr="00577BF3">
        <w:rPr>
          <w:rFonts w:eastAsia="Times New Roman" w:cs="Times New Roman"/>
          <w:szCs w:val="24"/>
          <w:lang w:eastAsia="lv-LV"/>
        </w:rPr>
        <w:t>prokuratūras un citu institūciju</w:t>
      </w:r>
      <w:r w:rsidRPr="00577BF3">
        <w:rPr>
          <w:rFonts w:eastAsia="Times New Roman" w:cs="Times New Roman"/>
          <w:szCs w:val="24"/>
          <w:lang w:eastAsia="lv-LV"/>
        </w:rPr>
        <w:t xml:space="preserve"> sanāksm</w:t>
      </w:r>
      <w:r w:rsidR="003D3F86" w:rsidRPr="00577BF3">
        <w:rPr>
          <w:rFonts w:eastAsia="Times New Roman" w:cs="Times New Roman"/>
          <w:szCs w:val="24"/>
          <w:lang w:eastAsia="lv-LV"/>
        </w:rPr>
        <w:t>ē</w:t>
      </w:r>
      <w:r w:rsidR="009268A7" w:rsidRPr="00577BF3">
        <w:rPr>
          <w:rFonts w:eastAsia="Times New Roman" w:cs="Times New Roman"/>
          <w:szCs w:val="24"/>
          <w:lang w:eastAsia="lv-LV"/>
        </w:rPr>
        <w:t>s, darba grupās un apmācību pasākumos.</w:t>
      </w:r>
      <w:r w:rsidRPr="00577BF3">
        <w:rPr>
          <w:rFonts w:eastAsia="Times New Roman" w:cs="Times New Roman"/>
          <w:szCs w:val="24"/>
          <w:lang w:eastAsia="lv-LV"/>
        </w:rPr>
        <w:t xml:space="preserve"> </w:t>
      </w:r>
    </w:p>
    <w:p w14:paraId="08FA0C21" w14:textId="77777777" w:rsidR="000821DD" w:rsidRPr="00577BF3" w:rsidRDefault="000821DD" w:rsidP="00CF4214">
      <w:pPr>
        <w:spacing w:after="0" w:line="240" w:lineRule="auto"/>
        <w:ind w:firstLine="720"/>
        <w:jc w:val="both"/>
        <w:rPr>
          <w:rFonts w:eastAsia="Times New Roman" w:cs="Times New Roman"/>
          <w:szCs w:val="24"/>
          <w:lang w:eastAsia="lv-LV"/>
        </w:rPr>
      </w:pPr>
    </w:p>
    <w:p w14:paraId="4A90AAB9" w14:textId="5733D5FD" w:rsidR="00B47418" w:rsidRDefault="003A17E1" w:rsidP="00CF4214">
      <w:pPr>
        <w:spacing w:after="0" w:line="240" w:lineRule="auto"/>
        <w:rPr>
          <w:rFonts w:eastAsia="Times New Roman" w:cs="Times New Roman"/>
          <w:i/>
          <w:iCs/>
          <w:szCs w:val="24"/>
          <w:lang w:eastAsia="lv-LV"/>
        </w:rPr>
      </w:pPr>
      <w:r w:rsidRPr="00577BF3">
        <w:rPr>
          <w:rFonts w:eastAsia="Times New Roman" w:cs="Times New Roman"/>
          <w:i/>
          <w:iCs/>
          <w:szCs w:val="24"/>
          <w:lang w:eastAsia="lv-LV"/>
        </w:rPr>
        <w:t>Diagramma par Metodikas nodaļas prokuroru darba slodzi</w:t>
      </w:r>
    </w:p>
    <w:p w14:paraId="7AA536E1" w14:textId="77777777" w:rsidR="007E14CD" w:rsidRPr="00577BF3" w:rsidRDefault="007E14CD" w:rsidP="00CF4214">
      <w:pPr>
        <w:spacing w:after="0" w:line="240" w:lineRule="auto"/>
        <w:rPr>
          <w:rFonts w:eastAsia="Times New Roman" w:cs="Times New Roman"/>
          <w:i/>
          <w:iCs/>
          <w:szCs w:val="24"/>
          <w:lang w:eastAsia="lv-LV"/>
        </w:rPr>
      </w:pPr>
    </w:p>
    <w:p w14:paraId="0C4BA675" w14:textId="05B33C01" w:rsidR="003F5031" w:rsidRPr="00577BF3" w:rsidRDefault="003A17E1" w:rsidP="00215305">
      <w:pPr>
        <w:spacing w:after="0" w:line="240" w:lineRule="auto"/>
        <w:jc w:val="center"/>
        <w:rPr>
          <w:rFonts w:eastAsia="Times New Roman" w:cs="Times New Roman"/>
          <w:b/>
          <w:bCs/>
          <w:color w:val="000000" w:themeColor="text1"/>
          <w:szCs w:val="24"/>
          <w:u w:val="single"/>
          <w:lang w:eastAsia="lv-LV"/>
        </w:rPr>
      </w:pPr>
      <w:r w:rsidRPr="00577BF3">
        <w:rPr>
          <w:rFonts w:eastAsia="Times New Roman" w:cs="Times New Roman"/>
          <w:noProof/>
          <w:sz w:val="20"/>
          <w:szCs w:val="20"/>
          <w:lang w:eastAsia="lv-LV"/>
        </w:rPr>
        <w:drawing>
          <wp:inline distT="0" distB="0" distL="0" distR="0" wp14:anchorId="7F58A9D2" wp14:editId="61A72068">
            <wp:extent cx="4292600" cy="2861734"/>
            <wp:effectExtent l="0" t="0" r="12700" b="1524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45CC3181" w14:textId="77777777" w:rsidR="002D4B12" w:rsidRPr="00577BF3" w:rsidRDefault="002D4B12" w:rsidP="00CF4214">
      <w:pPr>
        <w:spacing w:after="0" w:line="240" w:lineRule="auto"/>
        <w:jc w:val="center"/>
        <w:rPr>
          <w:rFonts w:eastAsia="Times New Roman" w:cs="Times New Roman"/>
          <w:b/>
          <w:bCs/>
          <w:color w:val="000000" w:themeColor="text1"/>
          <w:szCs w:val="24"/>
          <w:u w:val="single"/>
          <w:lang w:eastAsia="lv-LV"/>
        </w:rPr>
      </w:pPr>
    </w:p>
    <w:p w14:paraId="35C7A0F3" w14:textId="3EDC8C9C" w:rsidR="002D4B12" w:rsidRPr="00577BF3" w:rsidRDefault="002D4B12" w:rsidP="00C179C8">
      <w:pPr>
        <w:spacing w:after="0" w:line="240" w:lineRule="auto"/>
        <w:ind w:firstLine="720"/>
        <w:jc w:val="both"/>
        <w:rPr>
          <w:rFonts w:eastAsia="Times New Roman" w:cs="Times New Roman"/>
          <w:szCs w:val="24"/>
          <w:lang w:eastAsia="lv-LV"/>
        </w:rPr>
      </w:pPr>
      <w:r w:rsidRPr="00577BF3">
        <w:rPr>
          <w:rFonts w:eastAsia="Times New Roman" w:cs="Times New Roman"/>
          <w:szCs w:val="24"/>
          <w:lang w:eastAsia="lv-LV"/>
        </w:rPr>
        <w:t>Slodzes pieaugumu paredzēts kompensēt ar jurista – analītiķa iesaisti Metodikas nodaļas darbā. Praksē konstatēts, ka valsts pārvaldes institūcijas ļoti vēlas Metodikas nodaļas prokurora kā eksperta dalību arī tādu jautājumu izlemšanā, kas ir šīs institūcijas kompetencē, bet nepieciešams prokurora padoms konkrēta jautājuma pareizā izlemšanā. Tā kā šī vēlme</w:t>
      </w:r>
      <w:r w:rsidR="00CA3F68">
        <w:rPr>
          <w:rFonts w:eastAsia="Times New Roman" w:cs="Times New Roman"/>
          <w:szCs w:val="24"/>
          <w:lang w:eastAsia="lv-LV"/>
        </w:rPr>
        <w:t xml:space="preserve"> ir</w:t>
      </w:r>
      <w:r w:rsidRPr="00577BF3">
        <w:rPr>
          <w:rFonts w:eastAsia="Times New Roman" w:cs="Times New Roman"/>
          <w:szCs w:val="24"/>
          <w:lang w:eastAsia="lv-LV"/>
        </w:rPr>
        <w:t xml:space="preserve"> nostiprināta ārējā normatīvajā aktā, tad Ģenerālprokuratūras pārstāvja dalība ir obligāta. Piemēram, Metodikas nodaļas prokurors, ievērojot Ministru kabineta </w:t>
      </w:r>
      <w:r w:rsidRPr="00577BF3">
        <w:rPr>
          <w:rFonts w:cs="Times New Roman"/>
          <w:szCs w:val="24"/>
        </w:rPr>
        <w:t xml:space="preserve">2019. gada 3. septembra noteikumu Nr. 414 “Kārtība, kādā tiek izvērtēta personas atbilstība pedagoga amatam” </w:t>
      </w:r>
      <w:r w:rsidRPr="00577BF3">
        <w:rPr>
          <w:rFonts w:eastAsia="Times New Roman" w:cs="Times New Roman"/>
          <w:szCs w:val="24"/>
          <w:lang w:eastAsia="lv-LV"/>
        </w:rPr>
        <w:t xml:space="preserve">9.5. punktā noteikto, ka Izglītības </w:t>
      </w:r>
      <w:r w:rsidRPr="00577BF3">
        <w:rPr>
          <w:rFonts w:eastAsia="Calibri" w:cs="Times New Roman"/>
          <w:bCs/>
          <w:szCs w:val="24"/>
        </w:rPr>
        <w:t>kvalitātes valsts dienesta izveidotajā komisijā</w:t>
      </w:r>
      <w:r w:rsidRPr="00577BF3">
        <w:rPr>
          <w:rFonts w:eastAsia="Times New Roman" w:cs="Times New Roman"/>
          <w:szCs w:val="24"/>
          <w:lang w:eastAsia="lv-LV"/>
        </w:rPr>
        <w:t xml:space="preserve"> iekļauj Ģenerālprokuratūras pārstāvi, piedalās personu sodāmības izvērtēšanas procesā, lemjot jautājumu par atļauju šīm personām nodarboties ar pedagoģisko darbu. Turklāt prokurors ir vienīgais profesionālis šajā komisijā, kas dod iespēju konkrēto jautājumu izlemt saprātīgi un saskaņā ar normatīvajiem aktiem.</w:t>
      </w:r>
    </w:p>
    <w:p w14:paraId="38291557" w14:textId="77777777" w:rsidR="00C179C8" w:rsidRPr="00A521DC" w:rsidRDefault="00C179C8" w:rsidP="00CF4214">
      <w:pPr>
        <w:spacing w:after="0" w:line="240" w:lineRule="auto"/>
        <w:jc w:val="center"/>
        <w:rPr>
          <w:rFonts w:eastAsia="Times New Roman" w:cs="Times New Roman"/>
          <w:b/>
          <w:bCs/>
          <w:szCs w:val="24"/>
          <w:lang w:eastAsia="lv-LV"/>
        </w:rPr>
      </w:pPr>
    </w:p>
    <w:p w14:paraId="0F328948" w14:textId="0F4A9DC8" w:rsidR="00256E82" w:rsidRPr="00577BF3" w:rsidRDefault="00256E82" w:rsidP="00CF4214">
      <w:pPr>
        <w:spacing w:after="0" w:line="240" w:lineRule="auto"/>
        <w:jc w:val="center"/>
        <w:rPr>
          <w:rFonts w:eastAsia="Times New Roman" w:cs="Times New Roman"/>
          <w:b/>
          <w:bCs/>
          <w:sz w:val="28"/>
          <w:szCs w:val="28"/>
          <w:lang w:eastAsia="lv-LV"/>
        </w:rPr>
      </w:pPr>
      <w:r w:rsidRPr="00577BF3">
        <w:rPr>
          <w:rFonts w:eastAsia="Times New Roman" w:cs="Times New Roman"/>
          <w:b/>
          <w:bCs/>
          <w:sz w:val="28"/>
          <w:szCs w:val="28"/>
          <w:lang w:eastAsia="lv-LV"/>
        </w:rPr>
        <w:t xml:space="preserve">III. Starptautiskās sadarbības nodaļas </w:t>
      </w:r>
      <w:r w:rsidR="00E72815">
        <w:rPr>
          <w:rFonts w:eastAsia="Times New Roman" w:cs="Times New Roman"/>
          <w:b/>
          <w:bCs/>
          <w:sz w:val="28"/>
          <w:szCs w:val="28"/>
          <w:lang w:eastAsia="lv-LV"/>
        </w:rPr>
        <w:t xml:space="preserve">prokuroru </w:t>
      </w:r>
      <w:r w:rsidRPr="00577BF3">
        <w:rPr>
          <w:rFonts w:eastAsia="Times New Roman" w:cs="Times New Roman"/>
          <w:b/>
          <w:bCs/>
          <w:sz w:val="28"/>
          <w:szCs w:val="28"/>
          <w:lang w:eastAsia="lv-LV"/>
        </w:rPr>
        <w:t>darba rādītāji</w:t>
      </w:r>
    </w:p>
    <w:p w14:paraId="18B628F2" w14:textId="2CDFC596" w:rsidR="00256E82" w:rsidRPr="00F62B7E" w:rsidRDefault="00256E82" w:rsidP="00CF4214">
      <w:pPr>
        <w:spacing w:after="0" w:line="240" w:lineRule="auto"/>
        <w:jc w:val="both"/>
        <w:rPr>
          <w:rFonts w:eastAsia="Times New Roman" w:cs="Times New Roman"/>
          <w:b/>
          <w:bCs/>
          <w:color w:val="000000" w:themeColor="text1"/>
          <w:szCs w:val="24"/>
          <w:lang w:eastAsia="lv-LV"/>
        </w:rPr>
      </w:pPr>
    </w:p>
    <w:p w14:paraId="7EAC2800" w14:textId="781A12DD" w:rsidR="00256E82" w:rsidRPr="00577BF3" w:rsidRDefault="000F2846" w:rsidP="003F267F">
      <w:pPr>
        <w:spacing w:after="0" w:line="240" w:lineRule="auto"/>
        <w:ind w:firstLine="720"/>
        <w:jc w:val="both"/>
        <w:rPr>
          <w:rFonts w:eastAsia="Times New Roman" w:cs="Times New Roman"/>
          <w:color w:val="000000" w:themeColor="text1"/>
          <w:szCs w:val="24"/>
          <w:lang w:eastAsia="lv-LV"/>
        </w:rPr>
      </w:pPr>
      <w:r w:rsidRPr="00577BF3">
        <w:rPr>
          <w:rFonts w:eastAsia="Times New Roman" w:cs="Times New Roman"/>
          <w:color w:val="000000" w:themeColor="text1"/>
          <w:szCs w:val="24"/>
          <w:lang w:eastAsia="lv-LV"/>
        </w:rPr>
        <w:t>Starptautiskās sadarbības n</w:t>
      </w:r>
      <w:r w:rsidR="00256E82" w:rsidRPr="00577BF3">
        <w:rPr>
          <w:rFonts w:eastAsia="Times New Roman" w:cs="Times New Roman"/>
          <w:color w:val="000000" w:themeColor="text1"/>
          <w:szCs w:val="24"/>
          <w:lang w:eastAsia="lv-LV"/>
        </w:rPr>
        <w:t>odaļas darba organizācija tiek veikta, pamatojoties uz Kriminālprocesa likuma C daļā minēto funkciju izpildi, proti</w:t>
      </w:r>
      <w:r w:rsidR="00DD441E" w:rsidRPr="00577BF3">
        <w:rPr>
          <w:rFonts w:eastAsia="Times New Roman" w:cs="Times New Roman"/>
          <w:color w:val="000000" w:themeColor="text1"/>
          <w:szCs w:val="24"/>
          <w:lang w:eastAsia="lv-LV"/>
        </w:rPr>
        <w:t>:</w:t>
      </w:r>
      <w:r w:rsidR="00256E82" w:rsidRPr="00577BF3">
        <w:rPr>
          <w:rFonts w:eastAsia="Times New Roman" w:cs="Times New Roman"/>
          <w:color w:val="000000" w:themeColor="text1"/>
          <w:szCs w:val="24"/>
          <w:lang w:eastAsia="lv-LV"/>
        </w:rPr>
        <w:t xml:space="preserve"> </w:t>
      </w:r>
      <w:r w:rsidR="00FC2EA3" w:rsidRPr="00577BF3">
        <w:rPr>
          <w:rFonts w:eastAsia="Times New Roman" w:cs="Times New Roman"/>
          <w:color w:val="000000" w:themeColor="text1"/>
          <w:szCs w:val="24"/>
          <w:lang w:eastAsia="lv-LV"/>
        </w:rPr>
        <w:t>1) </w:t>
      </w:r>
      <w:r w:rsidR="00256E82" w:rsidRPr="00577BF3">
        <w:rPr>
          <w:rFonts w:eastAsia="Times New Roman" w:cs="Times New Roman"/>
          <w:color w:val="000000" w:themeColor="text1"/>
          <w:szCs w:val="24"/>
          <w:lang w:eastAsia="lv-LV"/>
        </w:rPr>
        <w:t>prokurori veic personas izdošanas no Latvijas lūgumu izvērtēšanu un izpildi un analoģisku lūgumu iesniegšanu ārvalstij (tai skaitā Eiropas apcietinājuma lēmumu pieņemšanu),</w:t>
      </w:r>
      <w:r w:rsidR="00FC2EA3" w:rsidRPr="00577BF3">
        <w:rPr>
          <w:rFonts w:cs="Times New Roman"/>
        </w:rPr>
        <w:t> </w:t>
      </w:r>
      <w:r w:rsidR="00FC2EA3" w:rsidRPr="00577BF3">
        <w:rPr>
          <w:rFonts w:eastAsia="Times New Roman" w:cs="Times New Roman"/>
          <w:color w:val="000000" w:themeColor="text1"/>
          <w:szCs w:val="24"/>
          <w:lang w:eastAsia="lv-LV"/>
        </w:rPr>
        <w:t>2)</w:t>
      </w:r>
      <w:r w:rsidR="00FC2EA3" w:rsidRPr="00577BF3">
        <w:rPr>
          <w:rFonts w:cs="Times New Roman"/>
        </w:rPr>
        <w:t> </w:t>
      </w:r>
      <w:r w:rsidR="00256E82" w:rsidRPr="00577BF3">
        <w:rPr>
          <w:rFonts w:eastAsia="Times New Roman" w:cs="Times New Roman"/>
          <w:color w:val="000000" w:themeColor="text1"/>
          <w:szCs w:val="24"/>
          <w:lang w:eastAsia="lv-LV"/>
        </w:rPr>
        <w:t xml:space="preserve">kriminālprocesa nodošanu/pārņemšanu, </w:t>
      </w:r>
      <w:r w:rsidR="00FC2EA3" w:rsidRPr="00577BF3">
        <w:rPr>
          <w:rFonts w:eastAsia="Times New Roman" w:cs="Times New Roman"/>
          <w:color w:val="000000" w:themeColor="text1"/>
          <w:szCs w:val="24"/>
          <w:lang w:eastAsia="lv-LV"/>
        </w:rPr>
        <w:t>3) </w:t>
      </w:r>
      <w:r w:rsidR="00256E82" w:rsidRPr="00577BF3">
        <w:rPr>
          <w:rFonts w:eastAsia="Times New Roman" w:cs="Times New Roman"/>
          <w:color w:val="000000" w:themeColor="text1"/>
          <w:szCs w:val="24"/>
          <w:lang w:eastAsia="lv-LV"/>
        </w:rPr>
        <w:t>no ārvalsts saņemto tiesiskās palīdzības lūgumu par procesuālās darbības veikšanu izvērtēšanu/izpildi un analoģisku lūgumu nosūtīšanu ārvalstij. Prokurori nosacīti ir specializējušies vienā no trim aprakstītajiem starptautiskās sadarbības veidiem, kas gan neizslēdz iespēju saņemt izpildē arī citu</w:t>
      </w:r>
      <w:r w:rsidRPr="00577BF3">
        <w:rPr>
          <w:rFonts w:eastAsia="Times New Roman" w:cs="Times New Roman"/>
          <w:color w:val="000000" w:themeColor="text1"/>
          <w:szCs w:val="24"/>
          <w:lang w:eastAsia="lv-LV"/>
        </w:rPr>
        <w:t>s</w:t>
      </w:r>
      <w:r w:rsidR="00256E82" w:rsidRPr="00577BF3">
        <w:rPr>
          <w:rFonts w:eastAsia="Times New Roman" w:cs="Times New Roman"/>
          <w:color w:val="000000" w:themeColor="text1"/>
          <w:szCs w:val="24"/>
          <w:lang w:eastAsia="lv-LV"/>
        </w:rPr>
        <w:t xml:space="preserve"> starptautiskās sadarbības lūgum</w:t>
      </w:r>
      <w:r w:rsidR="00FC2EA3" w:rsidRPr="00577BF3">
        <w:rPr>
          <w:rFonts w:eastAsia="Times New Roman" w:cs="Times New Roman"/>
          <w:color w:val="000000" w:themeColor="text1"/>
          <w:szCs w:val="24"/>
          <w:lang w:eastAsia="lv-LV"/>
        </w:rPr>
        <w:t>a veidus</w:t>
      </w:r>
      <w:r w:rsidR="00256E82" w:rsidRPr="00577BF3">
        <w:rPr>
          <w:rFonts w:eastAsia="Times New Roman" w:cs="Times New Roman"/>
          <w:color w:val="000000" w:themeColor="text1"/>
          <w:szCs w:val="24"/>
          <w:lang w:eastAsia="lv-LV"/>
        </w:rPr>
        <w:t>, tā</w:t>
      </w:r>
      <w:r w:rsidR="00FC2EA3" w:rsidRPr="00577BF3">
        <w:rPr>
          <w:rFonts w:eastAsia="Times New Roman" w:cs="Times New Roman"/>
          <w:color w:val="000000" w:themeColor="text1"/>
          <w:szCs w:val="24"/>
          <w:lang w:eastAsia="lv-LV"/>
        </w:rPr>
        <w:t>pēc</w:t>
      </w:r>
      <w:r w:rsidR="00A45CB2" w:rsidRPr="00577BF3">
        <w:rPr>
          <w:rFonts w:eastAsia="Times New Roman" w:cs="Times New Roman"/>
          <w:color w:val="000000" w:themeColor="text1"/>
          <w:szCs w:val="24"/>
          <w:lang w:eastAsia="lv-LV"/>
        </w:rPr>
        <w:t xml:space="preserve"> n</w:t>
      </w:r>
      <w:r w:rsidR="00256E82" w:rsidRPr="00577BF3">
        <w:rPr>
          <w:rFonts w:eastAsia="Times New Roman" w:cs="Times New Roman"/>
          <w:color w:val="000000" w:themeColor="text1"/>
          <w:szCs w:val="24"/>
          <w:lang w:eastAsia="lv-LV"/>
        </w:rPr>
        <w:t>oslodze ir atkarīga no saņemto lūgumu daudzuma.</w:t>
      </w:r>
    </w:p>
    <w:p w14:paraId="2D8785BB" w14:textId="77777777" w:rsidR="00256E82" w:rsidRPr="00577BF3" w:rsidRDefault="00256E82" w:rsidP="00CF4214">
      <w:pPr>
        <w:spacing w:after="0" w:line="240" w:lineRule="auto"/>
        <w:jc w:val="both"/>
        <w:rPr>
          <w:rFonts w:eastAsia="Times New Roman" w:cs="Times New Roman"/>
          <w:color w:val="000000" w:themeColor="text1"/>
          <w:szCs w:val="24"/>
          <w:lang w:eastAsia="lv-LV"/>
        </w:rPr>
      </w:pPr>
    </w:p>
    <w:p w14:paraId="432228FB" w14:textId="1BDA1FDF" w:rsidR="00256E82" w:rsidRPr="00577BF3" w:rsidRDefault="00256E82" w:rsidP="00CF4214">
      <w:pPr>
        <w:spacing w:after="0" w:line="240" w:lineRule="auto"/>
        <w:jc w:val="both"/>
        <w:rPr>
          <w:rFonts w:eastAsia="Times New Roman" w:cs="Times New Roman"/>
          <w:b/>
          <w:bCs/>
          <w:i/>
          <w:iCs/>
          <w:color w:val="000000" w:themeColor="text1"/>
          <w:szCs w:val="24"/>
          <w:lang w:eastAsia="lv-LV"/>
        </w:rPr>
      </w:pPr>
      <w:r w:rsidRPr="00577BF3">
        <w:rPr>
          <w:rFonts w:eastAsia="Times New Roman" w:cs="Times New Roman"/>
          <w:b/>
          <w:bCs/>
          <w:i/>
          <w:iCs/>
          <w:color w:val="000000" w:themeColor="text1"/>
          <w:szCs w:val="24"/>
          <w:lang w:eastAsia="lv-LV"/>
        </w:rPr>
        <w:lastRenderedPageBreak/>
        <w:t xml:space="preserve">Starptautiskās sadarbības nodaļas </w:t>
      </w:r>
      <w:r w:rsidR="00E72815">
        <w:rPr>
          <w:rFonts w:eastAsia="Times New Roman" w:cs="Times New Roman"/>
          <w:b/>
          <w:bCs/>
          <w:i/>
          <w:iCs/>
          <w:color w:val="000000" w:themeColor="text1"/>
          <w:szCs w:val="24"/>
          <w:lang w:eastAsia="lv-LV"/>
        </w:rPr>
        <w:t xml:space="preserve">prokuroru </w:t>
      </w:r>
      <w:r w:rsidRPr="00577BF3">
        <w:rPr>
          <w:rFonts w:eastAsia="Times New Roman" w:cs="Times New Roman"/>
          <w:b/>
          <w:bCs/>
          <w:i/>
          <w:iCs/>
          <w:color w:val="000000" w:themeColor="text1"/>
          <w:szCs w:val="24"/>
          <w:lang w:eastAsia="lv-LV"/>
        </w:rPr>
        <w:t>darba statistiskie rādītāji</w:t>
      </w:r>
    </w:p>
    <w:p w14:paraId="108AFB0E" w14:textId="77777777" w:rsidR="00256E82" w:rsidRPr="00215305" w:rsidRDefault="00256E82" w:rsidP="00CF4214">
      <w:pPr>
        <w:spacing w:after="0" w:line="240" w:lineRule="auto"/>
        <w:jc w:val="both"/>
        <w:rPr>
          <w:rFonts w:eastAsia="Times New Roman" w:cs="Times New Roman"/>
          <w:szCs w:val="24"/>
          <w:lang w:eastAsia="lv-LV"/>
        </w:rPr>
      </w:pPr>
    </w:p>
    <w:tbl>
      <w:tblPr>
        <w:tblStyle w:val="GridTable5Dark-Accent5"/>
        <w:tblW w:w="9091" w:type="dxa"/>
        <w:tblLayout w:type="fixed"/>
        <w:tblLook w:val="0500" w:firstRow="0" w:lastRow="0" w:firstColumn="0" w:lastColumn="1" w:noHBand="0" w:noVBand="1"/>
      </w:tblPr>
      <w:tblGrid>
        <w:gridCol w:w="586"/>
        <w:gridCol w:w="7654"/>
        <w:gridCol w:w="851"/>
      </w:tblGrid>
      <w:tr w:rsidR="00256E82" w:rsidRPr="00215305" w14:paraId="00244A62" w14:textId="77777777" w:rsidTr="008B6F98">
        <w:trPr>
          <w:cnfStyle w:val="000000100000" w:firstRow="0" w:lastRow="0" w:firstColumn="0" w:lastColumn="0" w:oddVBand="0" w:evenVBand="0" w:oddHBand="1" w:evenHBand="0" w:firstRowFirstColumn="0" w:firstRowLastColumn="0" w:lastRowFirstColumn="0" w:lastRowLastColumn="0"/>
        </w:trPr>
        <w:tc>
          <w:tcPr>
            <w:cnfStyle w:val="000100000000" w:firstRow="0" w:lastRow="0" w:firstColumn="0" w:lastColumn="1" w:oddVBand="0" w:evenVBand="0" w:oddHBand="0" w:evenHBand="0" w:firstRowFirstColumn="0" w:firstRowLastColumn="0" w:lastRowFirstColumn="0" w:lastRowLastColumn="0"/>
            <w:tcW w:w="9091" w:type="dxa"/>
            <w:gridSpan w:val="3"/>
          </w:tcPr>
          <w:p w14:paraId="3ECE01B5" w14:textId="77777777" w:rsidR="00256E82" w:rsidRPr="00215305" w:rsidRDefault="00256E82" w:rsidP="00CF4214">
            <w:pPr>
              <w:jc w:val="center"/>
              <w:rPr>
                <w:rFonts w:eastAsia="Times New Roman" w:cs="Times New Roman"/>
                <w:i/>
                <w:iCs/>
                <w:color w:val="auto"/>
                <w:szCs w:val="24"/>
                <w:lang w:eastAsia="lv-LV"/>
              </w:rPr>
            </w:pPr>
            <w:r w:rsidRPr="00215305">
              <w:rPr>
                <w:rFonts w:eastAsia="Times New Roman" w:cs="Times New Roman"/>
                <w:i/>
                <w:iCs/>
                <w:color w:val="auto"/>
                <w:szCs w:val="24"/>
                <w:lang w:eastAsia="lv-LV"/>
              </w:rPr>
              <w:t>No ārvalstīm saņemtie lūgumi</w:t>
            </w:r>
          </w:p>
        </w:tc>
      </w:tr>
      <w:tr w:rsidR="00256E82" w:rsidRPr="00215305" w14:paraId="059492D8" w14:textId="77777777" w:rsidTr="008B6F98">
        <w:tc>
          <w:tcPr>
            <w:tcW w:w="586" w:type="dxa"/>
          </w:tcPr>
          <w:p w14:paraId="0B464BF9" w14:textId="77777777" w:rsidR="00256E82" w:rsidRPr="00215305" w:rsidRDefault="00256E82" w:rsidP="00B16727">
            <w:pPr>
              <w:numPr>
                <w:ilvl w:val="0"/>
                <w:numId w:val="8"/>
              </w:numPr>
              <w:ind w:left="334"/>
              <w:jc w:val="center"/>
              <w:rPr>
                <w:rFonts w:eastAsia="Calibri" w:cs="Times New Roman"/>
                <w:bCs/>
                <w:szCs w:val="24"/>
              </w:rPr>
            </w:pPr>
          </w:p>
        </w:tc>
        <w:tc>
          <w:tcPr>
            <w:tcW w:w="7654" w:type="dxa"/>
          </w:tcPr>
          <w:p w14:paraId="22DD560B" w14:textId="77777777" w:rsidR="00256E82" w:rsidRPr="00215305" w:rsidRDefault="00256E82" w:rsidP="00CF4214">
            <w:pPr>
              <w:rPr>
                <w:rFonts w:eastAsia="Times New Roman" w:cs="Times New Roman"/>
                <w:bCs/>
                <w:szCs w:val="24"/>
                <w:lang w:eastAsia="lv-LV"/>
              </w:rPr>
            </w:pPr>
            <w:r w:rsidRPr="00215305">
              <w:rPr>
                <w:rFonts w:eastAsia="Times New Roman" w:cs="Times New Roman"/>
                <w:bCs/>
                <w:szCs w:val="24"/>
                <w:lang w:eastAsia="lv-LV"/>
              </w:rPr>
              <w:t>No ārvalstī saņemtie tiesiskās palīdzības lūgumi</w:t>
            </w:r>
          </w:p>
        </w:tc>
        <w:tc>
          <w:tcPr>
            <w:cnfStyle w:val="000100000000" w:firstRow="0" w:lastRow="0" w:firstColumn="0" w:lastColumn="1" w:oddVBand="0" w:evenVBand="0" w:oddHBand="0" w:evenHBand="0" w:firstRowFirstColumn="0" w:firstRowLastColumn="0" w:lastRowFirstColumn="0" w:lastRowLastColumn="0"/>
            <w:tcW w:w="851" w:type="dxa"/>
          </w:tcPr>
          <w:p w14:paraId="203AA9E6" w14:textId="77777777" w:rsidR="00256E82" w:rsidRPr="00215305" w:rsidRDefault="00256E82" w:rsidP="00CF4214">
            <w:pPr>
              <w:jc w:val="center"/>
              <w:rPr>
                <w:rFonts w:eastAsia="Times New Roman" w:cs="Times New Roman"/>
                <w:color w:val="auto"/>
                <w:szCs w:val="24"/>
                <w:lang w:eastAsia="lv-LV"/>
              </w:rPr>
            </w:pPr>
            <w:r w:rsidRPr="00215305">
              <w:rPr>
                <w:rFonts w:eastAsia="Times New Roman" w:cs="Times New Roman"/>
                <w:color w:val="auto"/>
                <w:szCs w:val="24"/>
                <w:lang w:eastAsia="lv-LV"/>
              </w:rPr>
              <w:t>866</w:t>
            </w:r>
          </w:p>
        </w:tc>
      </w:tr>
      <w:tr w:rsidR="00256E82" w:rsidRPr="00215305" w14:paraId="3220A991" w14:textId="77777777" w:rsidTr="008B6F98">
        <w:trPr>
          <w:cnfStyle w:val="000000100000" w:firstRow="0" w:lastRow="0" w:firstColumn="0" w:lastColumn="0" w:oddVBand="0" w:evenVBand="0" w:oddHBand="1" w:evenHBand="0" w:firstRowFirstColumn="0" w:firstRowLastColumn="0" w:lastRowFirstColumn="0" w:lastRowLastColumn="0"/>
        </w:trPr>
        <w:tc>
          <w:tcPr>
            <w:tcW w:w="586" w:type="dxa"/>
          </w:tcPr>
          <w:p w14:paraId="2FD21FBB" w14:textId="77777777" w:rsidR="00256E82" w:rsidRPr="00215305" w:rsidRDefault="00256E82" w:rsidP="00B16727">
            <w:pPr>
              <w:numPr>
                <w:ilvl w:val="0"/>
                <w:numId w:val="8"/>
              </w:numPr>
              <w:ind w:left="334"/>
              <w:jc w:val="center"/>
              <w:rPr>
                <w:rFonts w:eastAsia="Calibri" w:cs="Times New Roman"/>
                <w:bCs/>
                <w:szCs w:val="24"/>
              </w:rPr>
            </w:pPr>
          </w:p>
        </w:tc>
        <w:tc>
          <w:tcPr>
            <w:tcW w:w="7654" w:type="dxa"/>
          </w:tcPr>
          <w:p w14:paraId="2B180E0E" w14:textId="77777777" w:rsidR="00256E82" w:rsidRPr="00215305" w:rsidRDefault="00256E82" w:rsidP="00CF4214">
            <w:pPr>
              <w:rPr>
                <w:rFonts w:eastAsia="Times New Roman" w:cs="Times New Roman"/>
                <w:bCs/>
                <w:szCs w:val="24"/>
                <w:lang w:eastAsia="lv-LV"/>
              </w:rPr>
            </w:pPr>
            <w:r w:rsidRPr="00215305">
              <w:rPr>
                <w:rFonts w:eastAsia="Times New Roman" w:cs="Times New Roman"/>
                <w:bCs/>
                <w:szCs w:val="24"/>
                <w:lang w:eastAsia="lv-LV"/>
              </w:rPr>
              <w:t>Izdošanas lūgumi ārpus Eiropas Savienības dalībvalstīm</w:t>
            </w:r>
          </w:p>
        </w:tc>
        <w:tc>
          <w:tcPr>
            <w:cnfStyle w:val="000100000000" w:firstRow="0" w:lastRow="0" w:firstColumn="0" w:lastColumn="1" w:oddVBand="0" w:evenVBand="0" w:oddHBand="0" w:evenHBand="0" w:firstRowFirstColumn="0" w:firstRowLastColumn="0" w:lastRowFirstColumn="0" w:lastRowLastColumn="0"/>
            <w:tcW w:w="851" w:type="dxa"/>
          </w:tcPr>
          <w:p w14:paraId="54E00B5C" w14:textId="77777777" w:rsidR="00256E82" w:rsidRPr="00215305" w:rsidRDefault="00256E82" w:rsidP="00CF4214">
            <w:pPr>
              <w:jc w:val="center"/>
              <w:rPr>
                <w:rFonts w:eastAsia="Times New Roman" w:cs="Times New Roman"/>
                <w:color w:val="auto"/>
                <w:szCs w:val="24"/>
                <w:lang w:eastAsia="lv-LV"/>
              </w:rPr>
            </w:pPr>
            <w:r w:rsidRPr="00215305">
              <w:rPr>
                <w:rFonts w:eastAsia="Times New Roman" w:cs="Times New Roman"/>
                <w:color w:val="auto"/>
                <w:szCs w:val="24"/>
                <w:lang w:eastAsia="lv-LV"/>
              </w:rPr>
              <w:t>10</w:t>
            </w:r>
          </w:p>
        </w:tc>
      </w:tr>
      <w:tr w:rsidR="00256E82" w:rsidRPr="00215305" w14:paraId="2809EAFA" w14:textId="77777777" w:rsidTr="008B6F98">
        <w:tc>
          <w:tcPr>
            <w:tcW w:w="586" w:type="dxa"/>
          </w:tcPr>
          <w:p w14:paraId="2A15F971" w14:textId="77777777" w:rsidR="00256E82" w:rsidRPr="00215305" w:rsidRDefault="00256E82" w:rsidP="00B16727">
            <w:pPr>
              <w:numPr>
                <w:ilvl w:val="0"/>
                <w:numId w:val="8"/>
              </w:numPr>
              <w:ind w:left="334"/>
              <w:jc w:val="center"/>
              <w:rPr>
                <w:rFonts w:eastAsia="Calibri" w:cs="Times New Roman"/>
                <w:bCs/>
                <w:szCs w:val="24"/>
              </w:rPr>
            </w:pPr>
          </w:p>
        </w:tc>
        <w:tc>
          <w:tcPr>
            <w:tcW w:w="7654" w:type="dxa"/>
          </w:tcPr>
          <w:p w14:paraId="280F2EC2" w14:textId="77777777" w:rsidR="00256E82" w:rsidRPr="00215305" w:rsidRDefault="00256E82" w:rsidP="00CF4214">
            <w:pPr>
              <w:rPr>
                <w:rFonts w:eastAsia="Times New Roman" w:cs="Times New Roman"/>
                <w:bCs/>
                <w:szCs w:val="24"/>
                <w:lang w:eastAsia="lv-LV"/>
              </w:rPr>
            </w:pPr>
            <w:r w:rsidRPr="00215305">
              <w:rPr>
                <w:rFonts w:eastAsia="Times New Roman" w:cs="Times New Roman"/>
                <w:bCs/>
                <w:szCs w:val="24"/>
                <w:lang w:eastAsia="lv-LV"/>
              </w:rPr>
              <w:t>Pieņemti Eiropas apcietinājuma lēmumi (skaits)</w:t>
            </w:r>
          </w:p>
        </w:tc>
        <w:tc>
          <w:tcPr>
            <w:cnfStyle w:val="000100000000" w:firstRow="0" w:lastRow="0" w:firstColumn="0" w:lastColumn="1" w:oddVBand="0" w:evenVBand="0" w:oddHBand="0" w:evenHBand="0" w:firstRowFirstColumn="0" w:firstRowLastColumn="0" w:lastRowFirstColumn="0" w:lastRowLastColumn="0"/>
            <w:tcW w:w="851" w:type="dxa"/>
          </w:tcPr>
          <w:p w14:paraId="69817F9F" w14:textId="77777777" w:rsidR="00256E82" w:rsidRPr="00215305" w:rsidRDefault="00256E82" w:rsidP="00CF4214">
            <w:pPr>
              <w:jc w:val="center"/>
              <w:rPr>
                <w:rFonts w:eastAsia="Times New Roman" w:cs="Times New Roman"/>
                <w:color w:val="auto"/>
                <w:szCs w:val="24"/>
                <w:lang w:eastAsia="lv-LV"/>
              </w:rPr>
            </w:pPr>
            <w:r w:rsidRPr="00215305">
              <w:rPr>
                <w:rFonts w:eastAsia="Times New Roman" w:cs="Times New Roman"/>
                <w:color w:val="auto"/>
                <w:szCs w:val="24"/>
                <w:lang w:eastAsia="lv-LV"/>
              </w:rPr>
              <w:t>45</w:t>
            </w:r>
          </w:p>
        </w:tc>
      </w:tr>
      <w:tr w:rsidR="00256E82" w:rsidRPr="00577BF3" w14:paraId="30ADB450" w14:textId="77777777" w:rsidTr="008B6F98">
        <w:trPr>
          <w:cnfStyle w:val="000000100000" w:firstRow="0" w:lastRow="0" w:firstColumn="0" w:lastColumn="0" w:oddVBand="0" w:evenVBand="0" w:oddHBand="1" w:evenHBand="0" w:firstRowFirstColumn="0" w:firstRowLastColumn="0" w:lastRowFirstColumn="0" w:lastRowLastColumn="0"/>
        </w:trPr>
        <w:tc>
          <w:tcPr>
            <w:tcW w:w="586" w:type="dxa"/>
          </w:tcPr>
          <w:p w14:paraId="1F884819"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4A42A14D"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Tranzīta lūgumi</w:t>
            </w:r>
          </w:p>
        </w:tc>
        <w:tc>
          <w:tcPr>
            <w:cnfStyle w:val="000100000000" w:firstRow="0" w:lastRow="0" w:firstColumn="0" w:lastColumn="1" w:oddVBand="0" w:evenVBand="0" w:oddHBand="0" w:evenHBand="0" w:firstRowFirstColumn="0" w:firstRowLastColumn="0" w:lastRowFirstColumn="0" w:lastRowLastColumn="0"/>
            <w:tcW w:w="851" w:type="dxa"/>
          </w:tcPr>
          <w:p w14:paraId="7932E5FB"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16</w:t>
            </w:r>
          </w:p>
        </w:tc>
      </w:tr>
      <w:tr w:rsidR="00256E82" w:rsidRPr="00577BF3" w14:paraId="12CB2E51" w14:textId="77777777" w:rsidTr="008B6F98">
        <w:tc>
          <w:tcPr>
            <w:tcW w:w="586" w:type="dxa"/>
          </w:tcPr>
          <w:p w14:paraId="12EB2AB8"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62D29D86"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Par kriminālprocesa pārņemšanu/nodošanu</w:t>
            </w:r>
          </w:p>
        </w:tc>
        <w:tc>
          <w:tcPr>
            <w:cnfStyle w:val="000100000000" w:firstRow="0" w:lastRow="0" w:firstColumn="0" w:lastColumn="1" w:oddVBand="0" w:evenVBand="0" w:oddHBand="0" w:evenHBand="0" w:firstRowFirstColumn="0" w:firstRowLastColumn="0" w:lastRowFirstColumn="0" w:lastRowLastColumn="0"/>
            <w:tcW w:w="851" w:type="dxa"/>
          </w:tcPr>
          <w:p w14:paraId="44F1FEDD"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24</w:t>
            </w:r>
          </w:p>
        </w:tc>
      </w:tr>
      <w:tr w:rsidR="00256E82" w:rsidRPr="00577BF3" w14:paraId="3A1CAD12" w14:textId="77777777" w:rsidTr="008B6F98">
        <w:trPr>
          <w:cnfStyle w:val="000000100000" w:firstRow="0" w:lastRow="0" w:firstColumn="0" w:lastColumn="0" w:oddVBand="0" w:evenVBand="0" w:oddHBand="1" w:evenHBand="0" w:firstRowFirstColumn="0" w:firstRowLastColumn="0" w:lastRowFirstColumn="0" w:lastRowLastColumn="0"/>
          <w:trHeight w:val="410"/>
        </w:trPr>
        <w:tc>
          <w:tcPr>
            <w:cnfStyle w:val="000100000000" w:firstRow="0" w:lastRow="0" w:firstColumn="0" w:lastColumn="1" w:oddVBand="0" w:evenVBand="0" w:oddHBand="0" w:evenHBand="0" w:firstRowFirstColumn="0" w:firstRowLastColumn="0" w:lastRowFirstColumn="0" w:lastRowLastColumn="0"/>
            <w:tcW w:w="9091" w:type="dxa"/>
            <w:gridSpan w:val="3"/>
          </w:tcPr>
          <w:p w14:paraId="17BC9E96" w14:textId="77777777" w:rsidR="00256E82" w:rsidRPr="00577BF3" w:rsidRDefault="00256E82" w:rsidP="00CF4214">
            <w:pPr>
              <w:jc w:val="center"/>
              <w:rPr>
                <w:rFonts w:eastAsia="Times New Roman" w:cs="Times New Roman"/>
                <w:i/>
                <w:iCs/>
                <w:color w:val="000000"/>
                <w:szCs w:val="24"/>
                <w:lang w:eastAsia="lv-LV"/>
              </w:rPr>
            </w:pPr>
            <w:r w:rsidRPr="00577BF3">
              <w:rPr>
                <w:rFonts w:eastAsia="Times New Roman" w:cs="Times New Roman"/>
                <w:i/>
                <w:iCs/>
                <w:color w:val="000000"/>
                <w:szCs w:val="24"/>
                <w:lang w:eastAsia="lv-LV"/>
              </w:rPr>
              <w:t>Latvijas lūgumi ārvalstīm kriminālprocesā</w:t>
            </w:r>
          </w:p>
        </w:tc>
      </w:tr>
      <w:tr w:rsidR="00256E82" w:rsidRPr="00577BF3" w14:paraId="78ABB8C7" w14:textId="77777777" w:rsidTr="008B6F98">
        <w:trPr>
          <w:trHeight w:val="280"/>
        </w:trPr>
        <w:tc>
          <w:tcPr>
            <w:tcW w:w="586" w:type="dxa"/>
          </w:tcPr>
          <w:p w14:paraId="79285770"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1BAF63F8"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Par tiesiskās palīdzības sniegšanu</w:t>
            </w:r>
          </w:p>
        </w:tc>
        <w:tc>
          <w:tcPr>
            <w:cnfStyle w:val="000100000000" w:firstRow="0" w:lastRow="0" w:firstColumn="0" w:lastColumn="1" w:oddVBand="0" w:evenVBand="0" w:oddHBand="0" w:evenHBand="0" w:firstRowFirstColumn="0" w:firstRowLastColumn="0" w:lastRowFirstColumn="0" w:lastRowLastColumn="0"/>
            <w:tcW w:w="851" w:type="dxa"/>
          </w:tcPr>
          <w:p w14:paraId="329AD35F"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789</w:t>
            </w:r>
          </w:p>
        </w:tc>
      </w:tr>
      <w:tr w:rsidR="00256E82" w:rsidRPr="00577BF3" w14:paraId="5FEF136D" w14:textId="77777777" w:rsidTr="008B6F98">
        <w:trPr>
          <w:cnfStyle w:val="000000100000" w:firstRow="0" w:lastRow="0" w:firstColumn="0" w:lastColumn="0" w:oddVBand="0" w:evenVBand="0" w:oddHBand="1" w:evenHBand="0" w:firstRowFirstColumn="0" w:firstRowLastColumn="0" w:lastRowFirstColumn="0" w:lastRowLastColumn="0"/>
          <w:trHeight w:val="413"/>
        </w:trPr>
        <w:tc>
          <w:tcPr>
            <w:tcW w:w="586" w:type="dxa"/>
          </w:tcPr>
          <w:p w14:paraId="6EDC9F41"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20D66F49"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Personu izdošanas lūgumi ārpus Eiropas Savienības</w:t>
            </w:r>
          </w:p>
        </w:tc>
        <w:tc>
          <w:tcPr>
            <w:cnfStyle w:val="000100000000" w:firstRow="0" w:lastRow="0" w:firstColumn="0" w:lastColumn="1" w:oddVBand="0" w:evenVBand="0" w:oddHBand="0" w:evenHBand="0" w:firstRowFirstColumn="0" w:firstRowLastColumn="0" w:lastRowFirstColumn="0" w:lastRowLastColumn="0"/>
            <w:tcW w:w="851" w:type="dxa"/>
          </w:tcPr>
          <w:p w14:paraId="5D7801EF"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2</w:t>
            </w:r>
          </w:p>
        </w:tc>
      </w:tr>
      <w:tr w:rsidR="00256E82" w:rsidRPr="00577BF3" w14:paraId="6978CB29" w14:textId="77777777" w:rsidTr="008B6F98">
        <w:trPr>
          <w:trHeight w:val="321"/>
        </w:trPr>
        <w:tc>
          <w:tcPr>
            <w:tcW w:w="586" w:type="dxa"/>
          </w:tcPr>
          <w:p w14:paraId="71C9221F"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4C2F042F"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Eiropas apcietinājuma lēmumi</w:t>
            </w:r>
          </w:p>
        </w:tc>
        <w:tc>
          <w:tcPr>
            <w:cnfStyle w:val="000100000000" w:firstRow="0" w:lastRow="0" w:firstColumn="0" w:lastColumn="1" w:oddVBand="0" w:evenVBand="0" w:oddHBand="0" w:evenHBand="0" w:firstRowFirstColumn="0" w:firstRowLastColumn="0" w:lastRowFirstColumn="0" w:lastRowLastColumn="0"/>
            <w:tcW w:w="851" w:type="dxa"/>
          </w:tcPr>
          <w:p w14:paraId="42C061E8"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61</w:t>
            </w:r>
          </w:p>
        </w:tc>
      </w:tr>
      <w:tr w:rsidR="00256E82" w:rsidRPr="00577BF3" w14:paraId="33B57A69" w14:textId="77777777" w:rsidTr="008B6F98">
        <w:trPr>
          <w:cnfStyle w:val="000000100000" w:firstRow="0" w:lastRow="0" w:firstColumn="0" w:lastColumn="0" w:oddVBand="0" w:evenVBand="0" w:oddHBand="1" w:evenHBand="0" w:firstRowFirstColumn="0" w:firstRowLastColumn="0" w:lastRowFirstColumn="0" w:lastRowLastColumn="0"/>
          <w:trHeight w:val="321"/>
        </w:trPr>
        <w:tc>
          <w:tcPr>
            <w:tcW w:w="586" w:type="dxa"/>
          </w:tcPr>
          <w:p w14:paraId="5A16C17B"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36096081"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Eiropas apcietinājuma lēmumi personas izsludināšanai starptautiskajā meklēšanā</w:t>
            </w:r>
          </w:p>
        </w:tc>
        <w:tc>
          <w:tcPr>
            <w:cnfStyle w:val="000100000000" w:firstRow="0" w:lastRow="0" w:firstColumn="0" w:lastColumn="1" w:oddVBand="0" w:evenVBand="0" w:oddHBand="0" w:evenHBand="0" w:firstRowFirstColumn="0" w:firstRowLastColumn="0" w:lastRowFirstColumn="0" w:lastRowLastColumn="0"/>
            <w:tcW w:w="851" w:type="dxa"/>
          </w:tcPr>
          <w:p w14:paraId="20C80005"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100</w:t>
            </w:r>
          </w:p>
        </w:tc>
      </w:tr>
      <w:tr w:rsidR="00256E82" w:rsidRPr="00577BF3" w14:paraId="656A87FB" w14:textId="77777777" w:rsidTr="008B6F98">
        <w:trPr>
          <w:trHeight w:val="410"/>
        </w:trPr>
        <w:tc>
          <w:tcPr>
            <w:tcW w:w="586" w:type="dxa"/>
          </w:tcPr>
          <w:p w14:paraId="5425E9A2"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4D80BD5F"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Tranzīta lūgumi</w:t>
            </w:r>
          </w:p>
        </w:tc>
        <w:tc>
          <w:tcPr>
            <w:cnfStyle w:val="000100000000" w:firstRow="0" w:lastRow="0" w:firstColumn="0" w:lastColumn="1" w:oddVBand="0" w:evenVBand="0" w:oddHBand="0" w:evenHBand="0" w:firstRowFirstColumn="0" w:firstRowLastColumn="0" w:lastRowFirstColumn="0" w:lastRowLastColumn="0"/>
            <w:tcW w:w="851" w:type="dxa"/>
          </w:tcPr>
          <w:p w14:paraId="5EEDD754"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6</w:t>
            </w:r>
          </w:p>
        </w:tc>
      </w:tr>
      <w:tr w:rsidR="00256E82" w:rsidRPr="00577BF3" w14:paraId="40FBD576" w14:textId="77777777" w:rsidTr="008B6F98">
        <w:trPr>
          <w:cnfStyle w:val="000000100000" w:firstRow="0" w:lastRow="0" w:firstColumn="0" w:lastColumn="0" w:oddVBand="0" w:evenVBand="0" w:oddHBand="1" w:evenHBand="0" w:firstRowFirstColumn="0" w:firstRowLastColumn="0" w:lastRowFirstColumn="0" w:lastRowLastColumn="0"/>
          <w:trHeight w:val="272"/>
        </w:trPr>
        <w:tc>
          <w:tcPr>
            <w:tcW w:w="586" w:type="dxa"/>
          </w:tcPr>
          <w:p w14:paraId="42EF998D"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7CE2893D"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Par kriminālprocesa nodošanu/pārņemšanu</w:t>
            </w:r>
          </w:p>
        </w:tc>
        <w:tc>
          <w:tcPr>
            <w:cnfStyle w:val="000100000000" w:firstRow="0" w:lastRow="0" w:firstColumn="0" w:lastColumn="1" w:oddVBand="0" w:evenVBand="0" w:oddHBand="0" w:evenHBand="0" w:firstRowFirstColumn="0" w:firstRowLastColumn="0" w:lastRowFirstColumn="0" w:lastRowLastColumn="0"/>
            <w:tcW w:w="851" w:type="dxa"/>
          </w:tcPr>
          <w:p w14:paraId="19B7F341"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52</w:t>
            </w:r>
          </w:p>
        </w:tc>
      </w:tr>
      <w:tr w:rsidR="00256E82" w:rsidRPr="00577BF3" w14:paraId="5190A31F" w14:textId="77777777" w:rsidTr="008B6F98">
        <w:trPr>
          <w:trHeight w:val="465"/>
        </w:trPr>
        <w:tc>
          <w:tcPr>
            <w:tcW w:w="586" w:type="dxa"/>
          </w:tcPr>
          <w:p w14:paraId="1838E956" w14:textId="77777777" w:rsidR="00256E82" w:rsidRPr="00577BF3" w:rsidRDefault="00256E82" w:rsidP="00B16727">
            <w:pPr>
              <w:numPr>
                <w:ilvl w:val="0"/>
                <w:numId w:val="8"/>
              </w:numPr>
              <w:ind w:left="334"/>
              <w:jc w:val="center"/>
              <w:rPr>
                <w:rFonts w:eastAsia="Calibri" w:cs="Times New Roman"/>
                <w:bCs/>
                <w:color w:val="000000"/>
                <w:szCs w:val="24"/>
              </w:rPr>
            </w:pPr>
          </w:p>
        </w:tc>
        <w:tc>
          <w:tcPr>
            <w:tcW w:w="7654" w:type="dxa"/>
          </w:tcPr>
          <w:p w14:paraId="5A5C3712" w14:textId="77777777" w:rsidR="00256E82" w:rsidRPr="00577BF3" w:rsidRDefault="00256E82" w:rsidP="00CF4214">
            <w:pPr>
              <w:rPr>
                <w:rFonts w:eastAsia="Times New Roman" w:cs="Times New Roman"/>
                <w:bCs/>
                <w:color w:val="000000"/>
                <w:szCs w:val="24"/>
                <w:lang w:eastAsia="lv-LV"/>
              </w:rPr>
            </w:pPr>
            <w:r w:rsidRPr="00577BF3">
              <w:rPr>
                <w:rFonts w:eastAsia="Times New Roman" w:cs="Times New Roman"/>
                <w:bCs/>
                <w:color w:val="000000"/>
                <w:szCs w:val="24"/>
                <w:lang w:eastAsia="lv-LV"/>
              </w:rPr>
              <w:t>Par ar brīvības atņemšanu nesaistītu drošības līdzekļa izpildi</w:t>
            </w:r>
          </w:p>
        </w:tc>
        <w:tc>
          <w:tcPr>
            <w:cnfStyle w:val="000100000000" w:firstRow="0" w:lastRow="0" w:firstColumn="0" w:lastColumn="1" w:oddVBand="0" w:evenVBand="0" w:oddHBand="0" w:evenHBand="0" w:firstRowFirstColumn="0" w:firstRowLastColumn="0" w:lastRowFirstColumn="0" w:lastRowLastColumn="0"/>
            <w:tcW w:w="851" w:type="dxa"/>
          </w:tcPr>
          <w:p w14:paraId="1EB99B89" w14:textId="77777777" w:rsidR="00256E82" w:rsidRPr="00577BF3" w:rsidRDefault="00256E82" w:rsidP="00CF4214">
            <w:pPr>
              <w:jc w:val="center"/>
              <w:rPr>
                <w:rFonts w:eastAsia="Times New Roman" w:cs="Times New Roman"/>
                <w:color w:val="000000"/>
                <w:szCs w:val="24"/>
                <w:lang w:eastAsia="lv-LV"/>
              </w:rPr>
            </w:pPr>
            <w:r w:rsidRPr="00577BF3">
              <w:rPr>
                <w:rFonts w:eastAsia="Times New Roman" w:cs="Times New Roman"/>
                <w:color w:val="000000"/>
                <w:szCs w:val="24"/>
                <w:lang w:eastAsia="lv-LV"/>
              </w:rPr>
              <w:t>1</w:t>
            </w:r>
          </w:p>
        </w:tc>
      </w:tr>
    </w:tbl>
    <w:p w14:paraId="1039CFFE" w14:textId="77777777" w:rsidR="007E14CD" w:rsidRDefault="007E14CD" w:rsidP="00CF4214">
      <w:pPr>
        <w:spacing w:after="0" w:line="240" w:lineRule="auto"/>
        <w:rPr>
          <w:rFonts w:eastAsia="Times New Roman" w:cs="Times New Roman"/>
          <w:b/>
          <w:bCs/>
          <w:i/>
          <w:iCs/>
          <w:color w:val="000000" w:themeColor="text1"/>
          <w:szCs w:val="24"/>
          <w:lang w:eastAsia="lv-LV"/>
        </w:rPr>
      </w:pPr>
    </w:p>
    <w:p w14:paraId="46EBD3A3" w14:textId="63E79E7B" w:rsidR="00256E82" w:rsidRPr="00577BF3" w:rsidRDefault="00256E82" w:rsidP="00CF4214">
      <w:pPr>
        <w:spacing w:after="0" w:line="240" w:lineRule="auto"/>
        <w:rPr>
          <w:rFonts w:eastAsia="Times New Roman" w:cs="Times New Roman"/>
          <w:b/>
          <w:bCs/>
          <w:i/>
          <w:iCs/>
          <w:color w:val="000000" w:themeColor="text1"/>
          <w:szCs w:val="24"/>
          <w:lang w:eastAsia="lv-LV"/>
        </w:rPr>
      </w:pPr>
      <w:r w:rsidRPr="00577BF3">
        <w:rPr>
          <w:rFonts w:eastAsia="Times New Roman" w:cs="Times New Roman"/>
          <w:b/>
          <w:bCs/>
          <w:i/>
          <w:iCs/>
          <w:color w:val="000000" w:themeColor="text1"/>
          <w:szCs w:val="24"/>
          <w:lang w:eastAsia="lv-LV"/>
        </w:rPr>
        <w:t xml:space="preserve">Atsevišķi būtiskākie Starptautiskās sadarbības nodaļas </w:t>
      </w:r>
      <w:r w:rsidR="00E72815">
        <w:rPr>
          <w:rFonts w:eastAsia="Times New Roman" w:cs="Times New Roman"/>
          <w:b/>
          <w:bCs/>
          <w:i/>
          <w:iCs/>
          <w:color w:val="000000" w:themeColor="text1"/>
          <w:szCs w:val="24"/>
          <w:lang w:eastAsia="lv-LV"/>
        </w:rPr>
        <w:t xml:space="preserve">prokuroru </w:t>
      </w:r>
      <w:r w:rsidRPr="00577BF3">
        <w:rPr>
          <w:rFonts w:eastAsia="Times New Roman" w:cs="Times New Roman"/>
          <w:b/>
          <w:bCs/>
          <w:i/>
          <w:iCs/>
          <w:color w:val="000000" w:themeColor="text1"/>
          <w:szCs w:val="24"/>
          <w:lang w:eastAsia="lv-LV"/>
        </w:rPr>
        <w:t>darbi</w:t>
      </w:r>
    </w:p>
    <w:p w14:paraId="7AB4181A" w14:textId="77777777" w:rsidR="00701171" w:rsidRPr="007E14CD" w:rsidRDefault="00701171" w:rsidP="007E14CD">
      <w:pPr>
        <w:spacing w:after="0" w:line="240" w:lineRule="auto"/>
        <w:rPr>
          <w:rFonts w:eastAsia="Times New Roman" w:cs="Times New Roman"/>
          <w:b/>
          <w:bCs/>
          <w:i/>
          <w:iCs/>
          <w:color w:val="000000" w:themeColor="text1"/>
          <w:szCs w:val="24"/>
          <w:lang w:eastAsia="lv-LV"/>
        </w:rPr>
      </w:pPr>
    </w:p>
    <w:p w14:paraId="38E7EBAE" w14:textId="1425C20C" w:rsidR="00256E82" w:rsidRPr="00577BF3" w:rsidRDefault="00256E82" w:rsidP="00B16727">
      <w:pPr>
        <w:pStyle w:val="ListParagraph"/>
        <w:numPr>
          <w:ilvl w:val="0"/>
          <w:numId w:val="7"/>
        </w:numPr>
        <w:spacing w:after="0" w:line="240" w:lineRule="auto"/>
        <w:jc w:val="both"/>
        <w:rPr>
          <w:rFonts w:eastAsia="Times New Roman" w:cs="Times New Roman"/>
          <w:b/>
          <w:bCs/>
          <w:color w:val="000000" w:themeColor="text1"/>
          <w:szCs w:val="24"/>
          <w:lang w:eastAsia="lv-LV"/>
        </w:rPr>
      </w:pPr>
      <w:r w:rsidRPr="00577BF3">
        <w:rPr>
          <w:rFonts w:eastAsia="Calibri" w:cs="Times New Roman"/>
          <w:szCs w:val="24"/>
        </w:rPr>
        <w:t>Turpināta dalība 2019.</w:t>
      </w:r>
      <w:r w:rsidR="00A45CB2" w:rsidRPr="00577BF3">
        <w:rPr>
          <w:rFonts w:eastAsia="Calibri" w:cs="Times New Roman"/>
          <w:szCs w:val="24"/>
        </w:rPr>
        <w:t> </w:t>
      </w:r>
      <w:r w:rsidRPr="00577BF3">
        <w:rPr>
          <w:rFonts w:eastAsia="Calibri" w:cs="Times New Roman"/>
          <w:szCs w:val="24"/>
        </w:rPr>
        <w:t>gada oktobrī iesākt</w:t>
      </w:r>
      <w:r w:rsidR="00A45CB2" w:rsidRPr="00577BF3">
        <w:rPr>
          <w:rFonts w:eastAsia="Calibri" w:cs="Times New Roman"/>
          <w:szCs w:val="24"/>
        </w:rPr>
        <w:t>aj</w:t>
      </w:r>
      <w:r w:rsidRPr="00577BF3">
        <w:rPr>
          <w:rFonts w:eastAsia="Calibri" w:cs="Times New Roman"/>
          <w:szCs w:val="24"/>
        </w:rPr>
        <w:t>ā starptautisk</w:t>
      </w:r>
      <w:r w:rsidR="00A45CB2" w:rsidRPr="00577BF3">
        <w:rPr>
          <w:rFonts w:eastAsia="Calibri" w:cs="Times New Roman"/>
          <w:szCs w:val="24"/>
        </w:rPr>
        <w:t>aj</w:t>
      </w:r>
      <w:r w:rsidRPr="00577BF3">
        <w:rPr>
          <w:rFonts w:eastAsia="Calibri" w:cs="Times New Roman"/>
          <w:szCs w:val="24"/>
        </w:rPr>
        <w:t>ā policijas un prokuratūras rīkot</w:t>
      </w:r>
      <w:r w:rsidR="00A45CB2" w:rsidRPr="00577BF3">
        <w:rPr>
          <w:rFonts w:eastAsia="Calibri" w:cs="Times New Roman"/>
          <w:szCs w:val="24"/>
        </w:rPr>
        <w:t>aj</w:t>
      </w:r>
      <w:r w:rsidRPr="00577BF3">
        <w:rPr>
          <w:rFonts w:eastAsia="Calibri" w:cs="Times New Roman"/>
          <w:szCs w:val="24"/>
        </w:rPr>
        <w:t>ā operācijā, kas vienlaicīgi notika 16 valstīs, tai skaitā ASV, Gruzijā, Šveicē un Austrālijā, un sevī ietvēra plaša spektra tiesiskās palīdzības sniegšanu un personu aizturēšanu izdošanas nolūkā par noziedzīgi iegūtu līdzekļu legaliz</w:t>
      </w:r>
      <w:r w:rsidR="00894C25" w:rsidRPr="00577BF3">
        <w:rPr>
          <w:rFonts w:eastAsia="Calibri" w:cs="Times New Roman"/>
          <w:szCs w:val="24"/>
        </w:rPr>
        <w:t>ēšanu</w:t>
      </w:r>
      <w:r w:rsidRPr="00577BF3">
        <w:rPr>
          <w:rFonts w:eastAsia="Calibri" w:cs="Times New Roman"/>
          <w:szCs w:val="24"/>
        </w:rPr>
        <w:t xml:space="preserve"> lielā apmērā, kas 2020.</w:t>
      </w:r>
      <w:r w:rsidR="00894C25" w:rsidRPr="00577BF3">
        <w:rPr>
          <w:rFonts w:eastAsia="Calibri" w:cs="Times New Roman"/>
          <w:szCs w:val="24"/>
        </w:rPr>
        <w:t> </w:t>
      </w:r>
      <w:r w:rsidRPr="00577BF3">
        <w:rPr>
          <w:rFonts w:eastAsia="Calibri" w:cs="Times New Roman"/>
          <w:szCs w:val="24"/>
        </w:rPr>
        <w:t>gadā rezu</w:t>
      </w:r>
      <w:r w:rsidR="00894C25" w:rsidRPr="00577BF3">
        <w:rPr>
          <w:rFonts w:eastAsia="Calibri" w:cs="Times New Roman"/>
          <w:szCs w:val="24"/>
        </w:rPr>
        <w:t>ltējās</w:t>
      </w:r>
      <w:r w:rsidRPr="00577BF3">
        <w:rPr>
          <w:rFonts w:eastAsia="Calibri" w:cs="Times New Roman"/>
          <w:szCs w:val="24"/>
        </w:rPr>
        <w:t xml:space="preserve"> ar 1 personas izdošanu ASV. </w:t>
      </w:r>
    </w:p>
    <w:p w14:paraId="3449380C" w14:textId="2416555E" w:rsidR="00256E82" w:rsidRPr="00577BF3" w:rsidRDefault="00256E82" w:rsidP="00B16727">
      <w:pPr>
        <w:pStyle w:val="ListParagraph"/>
        <w:numPr>
          <w:ilvl w:val="0"/>
          <w:numId w:val="7"/>
        </w:numPr>
        <w:spacing w:after="0" w:line="240" w:lineRule="auto"/>
        <w:jc w:val="both"/>
        <w:rPr>
          <w:rFonts w:eastAsia="Times New Roman" w:cs="Times New Roman"/>
          <w:b/>
          <w:bCs/>
          <w:color w:val="000000" w:themeColor="text1"/>
          <w:szCs w:val="24"/>
          <w:lang w:eastAsia="lv-LV"/>
        </w:rPr>
      </w:pPr>
      <w:r w:rsidRPr="00577BF3">
        <w:rPr>
          <w:rFonts w:eastAsia="Calibri" w:cs="Times New Roman"/>
          <w:szCs w:val="24"/>
        </w:rPr>
        <w:t>Izstrādāts pārskats Eiropas Savienības Padomes 9.</w:t>
      </w:r>
      <w:r w:rsidR="00894C25" w:rsidRPr="00577BF3">
        <w:rPr>
          <w:rFonts w:eastAsia="Calibri" w:cs="Times New Roman"/>
          <w:szCs w:val="24"/>
        </w:rPr>
        <w:t> </w:t>
      </w:r>
      <w:r w:rsidRPr="00577BF3">
        <w:rPr>
          <w:rFonts w:eastAsia="Calibri" w:cs="Times New Roman"/>
          <w:szCs w:val="24"/>
        </w:rPr>
        <w:t>savstarpējās novērtēšanas kārtas kontekstā par jautājumiem, kas saistīti ar praktiskās piemērošanas problemātiku atsevišķiem E</w:t>
      </w:r>
      <w:r w:rsidR="001A4DAD" w:rsidRPr="00577BF3">
        <w:rPr>
          <w:rFonts w:eastAsia="Calibri" w:cs="Times New Roman"/>
          <w:szCs w:val="24"/>
        </w:rPr>
        <w:t>iropas Savienības</w:t>
      </w:r>
      <w:r w:rsidRPr="00577BF3">
        <w:rPr>
          <w:rFonts w:eastAsia="Calibri" w:cs="Times New Roman"/>
          <w:szCs w:val="24"/>
        </w:rPr>
        <w:t xml:space="preserve"> Pamatlēmumiem par savstarpējās atzīšanas principa piemērošanu.</w:t>
      </w:r>
    </w:p>
    <w:p w14:paraId="77F7E2EC" w14:textId="29ED3AA3" w:rsidR="00256E82" w:rsidRPr="00577BF3" w:rsidRDefault="00256E82" w:rsidP="00B16727">
      <w:pPr>
        <w:pStyle w:val="ListParagraph"/>
        <w:numPr>
          <w:ilvl w:val="0"/>
          <w:numId w:val="7"/>
        </w:numPr>
        <w:spacing w:after="0" w:line="240" w:lineRule="auto"/>
        <w:jc w:val="both"/>
        <w:rPr>
          <w:rFonts w:eastAsia="Times New Roman" w:cs="Times New Roman"/>
          <w:b/>
          <w:bCs/>
          <w:color w:val="000000" w:themeColor="text1"/>
          <w:szCs w:val="24"/>
          <w:lang w:eastAsia="lv-LV"/>
        </w:rPr>
      </w:pPr>
      <w:r w:rsidRPr="00577BF3">
        <w:rPr>
          <w:rFonts w:eastAsia="Calibri" w:cs="Times New Roman"/>
          <w:szCs w:val="24"/>
        </w:rPr>
        <w:t xml:space="preserve">Ņemta regulāra dalība Tieslietu ministrijas izveidotās </w:t>
      </w:r>
      <w:r w:rsidR="00894C25" w:rsidRPr="00577BF3">
        <w:rPr>
          <w:rFonts w:eastAsia="Calibri" w:cs="Times New Roman"/>
          <w:szCs w:val="24"/>
        </w:rPr>
        <w:t xml:space="preserve">pastāvīgās </w:t>
      </w:r>
      <w:r w:rsidRPr="00577BF3">
        <w:rPr>
          <w:rFonts w:eastAsia="Calibri" w:cs="Times New Roman"/>
          <w:szCs w:val="24"/>
        </w:rPr>
        <w:t>Kriminālprocesa likuma grozījumu izstrādes darba grupas sēdēs, kur tika skatīti jautājumi, kas skar tiesisko sadarbību krimināllietās, kā arī Tieslietu ministrijas organizēt</w:t>
      </w:r>
      <w:r w:rsidR="000465C2" w:rsidRPr="00577BF3">
        <w:rPr>
          <w:rFonts w:eastAsia="Calibri" w:cs="Times New Roman"/>
          <w:szCs w:val="24"/>
        </w:rPr>
        <w:t>aj</w:t>
      </w:r>
      <w:r w:rsidRPr="00577BF3">
        <w:rPr>
          <w:rFonts w:eastAsia="Calibri" w:cs="Times New Roman"/>
          <w:szCs w:val="24"/>
        </w:rPr>
        <w:t>ās starpinstitucionāl</w:t>
      </w:r>
      <w:r w:rsidR="000465C2" w:rsidRPr="00577BF3">
        <w:rPr>
          <w:rFonts w:eastAsia="Calibri" w:cs="Times New Roman"/>
          <w:szCs w:val="24"/>
        </w:rPr>
        <w:t>aj</w:t>
      </w:r>
      <w:r w:rsidRPr="00577BF3">
        <w:rPr>
          <w:rFonts w:eastAsia="Calibri" w:cs="Times New Roman"/>
          <w:szCs w:val="24"/>
        </w:rPr>
        <w:t>ās sanāksmēs par  priekšlikumiem Eiropas Parlamenta un Padomes Regulai “Par Eiropas elektronisko pierādījumu sniegšanas un saglabāšanas rīkojumiem elektronisko pierādījumu gūšanai krimināllietās”.</w:t>
      </w:r>
    </w:p>
    <w:p w14:paraId="72605C59" w14:textId="77777777" w:rsidR="00DC183C" w:rsidRPr="00577BF3" w:rsidRDefault="00256E82" w:rsidP="00B16727">
      <w:pPr>
        <w:pStyle w:val="ListParagraph"/>
        <w:numPr>
          <w:ilvl w:val="0"/>
          <w:numId w:val="7"/>
        </w:numPr>
        <w:spacing w:after="0" w:line="240" w:lineRule="auto"/>
        <w:jc w:val="both"/>
        <w:rPr>
          <w:rFonts w:eastAsia="Times New Roman" w:cs="Times New Roman"/>
          <w:b/>
          <w:bCs/>
          <w:color w:val="000000" w:themeColor="text1"/>
          <w:szCs w:val="24"/>
          <w:lang w:eastAsia="lv-LV"/>
        </w:rPr>
      </w:pPr>
      <w:r w:rsidRPr="00577BF3">
        <w:rPr>
          <w:rFonts w:eastAsia="Calibri" w:cs="Times New Roman"/>
          <w:szCs w:val="24"/>
        </w:rPr>
        <w:t>Pastāvīgi sniegts viedoklis Eiropas Tiesā uzsākt</w:t>
      </w:r>
      <w:r w:rsidR="00894C25" w:rsidRPr="00577BF3">
        <w:rPr>
          <w:rFonts w:eastAsia="Calibri" w:cs="Times New Roman"/>
          <w:szCs w:val="24"/>
        </w:rPr>
        <w:t>aj</w:t>
      </w:r>
      <w:r w:rsidRPr="00577BF3">
        <w:rPr>
          <w:rFonts w:eastAsia="Calibri" w:cs="Times New Roman"/>
          <w:szCs w:val="24"/>
        </w:rPr>
        <w:t>ā</w:t>
      </w:r>
      <w:r w:rsidR="009E2563" w:rsidRPr="00577BF3">
        <w:rPr>
          <w:rFonts w:eastAsia="Calibri" w:cs="Times New Roman"/>
          <w:szCs w:val="24"/>
        </w:rPr>
        <w:t>s</w:t>
      </w:r>
      <w:r w:rsidRPr="00577BF3">
        <w:rPr>
          <w:rFonts w:eastAsia="Calibri" w:cs="Times New Roman"/>
          <w:szCs w:val="24"/>
        </w:rPr>
        <w:t xml:space="preserve"> lietā</w:t>
      </w:r>
      <w:r w:rsidR="009E2563" w:rsidRPr="00577BF3">
        <w:rPr>
          <w:rFonts w:eastAsia="Calibri" w:cs="Times New Roman"/>
          <w:szCs w:val="24"/>
        </w:rPr>
        <w:t>s</w:t>
      </w:r>
      <w:r w:rsidRPr="00577BF3">
        <w:rPr>
          <w:rFonts w:eastAsia="Calibri" w:cs="Times New Roman"/>
          <w:szCs w:val="24"/>
        </w:rPr>
        <w:t xml:space="preserve"> par prejudiciālā nolēmuma sniegšanu, tai skaitā lietā C-398/19, kas skar E</w:t>
      </w:r>
      <w:r w:rsidR="000465C2" w:rsidRPr="00577BF3">
        <w:rPr>
          <w:rFonts w:eastAsia="Calibri" w:cs="Times New Roman"/>
          <w:szCs w:val="24"/>
        </w:rPr>
        <w:t>iropas Savienības</w:t>
      </w:r>
      <w:r w:rsidRPr="00577BF3">
        <w:rPr>
          <w:rFonts w:eastAsia="Calibri" w:cs="Times New Roman"/>
          <w:szCs w:val="24"/>
        </w:rPr>
        <w:t xml:space="preserve"> pilsoņu izdošanu trešajām valstīm; lietā C-510/19, kas definē Eiropas apcietinājuma lēmuma izpildes tiesu varas iestādes statusu; lietā C-852/19 par tiesiskās aizsardzības līdzekļiem Eiropas izmeklēšanas rīkojuma pieņemšanas gadījumā, kad tiek prasīta kratīšana vai aresta uzlikšana mantai; lietā C-203/20 par </w:t>
      </w:r>
      <w:r w:rsidRPr="00577BF3">
        <w:rPr>
          <w:rFonts w:eastAsia="Calibri" w:cs="Times New Roman"/>
          <w:i/>
          <w:iCs/>
          <w:szCs w:val="24"/>
        </w:rPr>
        <w:t xml:space="preserve">ne </w:t>
      </w:r>
      <w:proofErr w:type="spellStart"/>
      <w:r w:rsidRPr="00577BF3">
        <w:rPr>
          <w:rFonts w:eastAsia="Calibri" w:cs="Times New Roman"/>
          <w:i/>
          <w:iCs/>
          <w:szCs w:val="24"/>
        </w:rPr>
        <w:t>bis</w:t>
      </w:r>
      <w:proofErr w:type="spellEnd"/>
      <w:r w:rsidRPr="00577BF3">
        <w:rPr>
          <w:rFonts w:eastAsia="Calibri" w:cs="Times New Roman"/>
          <w:i/>
          <w:iCs/>
          <w:szCs w:val="24"/>
        </w:rPr>
        <w:t xml:space="preserve"> </w:t>
      </w:r>
      <w:proofErr w:type="spellStart"/>
      <w:r w:rsidRPr="00577BF3">
        <w:rPr>
          <w:rFonts w:eastAsia="Calibri" w:cs="Times New Roman"/>
          <w:i/>
          <w:iCs/>
          <w:szCs w:val="24"/>
        </w:rPr>
        <w:t>in</w:t>
      </w:r>
      <w:proofErr w:type="spellEnd"/>
      <w:r w:rsidRPr="00577BF3">
        <w:rPr>
          <w:rFonts w:eastAsia="Calibri" w:cs="Times New Roman"/>
          <w:i/>
          <w:iCs/>
          <w:szCs w:val="24"/>
        </w:rPr>
        <w:t xml:space="preserve"> </w:t>
      </w:r>
      <w:proofErr w:type="spellStart"/>
      <w:r w:rsidRPr="00577BF3">
        <w:rPr>
          <w:rFonts w:eastAsia="Calibri" w:cs="Times New Roman"/>
          <w:i/>
          <w:iCs/>
          <w:szCs w:val="24"/>
        </w:rPr>
        <w:t>idem</w:t>
      </w:r>
      <w:proofErr w:type="spellEnd"/>
      <w:r w:rsidRPr="00577BF3">
        <w:rPr>
          <w:rFonts w:eastAsia="Calibri" w:cs="Times New Roman"/>
          <w:szCs w:val="24"/>
        </w:rPr>
        <w:t xml:space="preserve"> principa piemērošanu gadījumā, ja ir prasīta personas izdošana, bet tiesību akts par personas amnestiju ir atcelts. </w:t>
      </w:r>
    </w:p>
    <w:p w14:paraId="792539DD" w14:textId="2BC68025" w:rsidR="00256E82" w:rsidRPr="00577BF3" w:rsidRDefault="00256E82" w:rsidP="00B16727">
      <w:pPr>
        <w:pStyle w:val="ListParagraph"/>
        <w:numPr>
          <w:ilvl w:val="0"/>
          <w:numId w:val="7"/>
        </w:numPr>
        <w:spacing w:after="0" w:line="240" w:lineRule="auto"/>
        <w:jc w:val="both"/>
        <w:rPr>
          <w:rFonts w:eastAsia="Times New Roman" w:cs="Times New Roman"/>
          <w:b/>
          <w:bCs/>
          <w:color w:val="000000" w:themeColor="text1"/>
          <w:szCs w:val="24"/>
          <w:lang w:eastAsia="lv-LV"/>
        </w:rPr>
      </w:pPr>
      <w:r w:rsidRPr="00577BF3">
        <w:rPr>
          <w:rFonts w:eastAsia="Calibri" w:cs="Times New Roman"/>
          <w:szCs w:val="24"/>
        </w:rPr>
        <w:t>Ņemta dalība prokuror</w:t>
      </w:r>
      <w:r w:rsidR="00F1288E" w:rsidRPr="00577BF3">
        <w:rPr>
          <w:rFonts w:eastAsia="Calibri" w:cs="Times New Roman"/>
          <w:szCs w:val="24"/>
        </w:rPr>
        <w:t>a</w:t>
      </w:r>
      <w:r w:rsidRPr="00577BF3">
        <w:rPr>
          <w:rFonts w:eastAsia="Calibri" w:cs="Times New Roman"/>
          <w:szCs w:val="24"/>
        </w:rPr>
        <w:t xml:space="preserve"> amata kandidātu apmācību nodrošināšanā un uzsākts tiešsaistes diskusiju cikls </w:t>
      </w:r>
      <w:r w:rsidR="00CC1BF9" w:rsidRPr="00577BF3">
        <w:rPr>
          <w:rFonts w:eastAsia="Calibri" w:cs="Times New Roman"/>
          <w:szCs w:val="24"/>
        </w:rPr>
        <w:t xml:space="preserve">prokuroriem </w:t>
      </w:r>
      <w:r w:rsidRPr="00577BF3">
        <w:rPr>
          <w:rFonts w:eastAsia="Calibri" w:cs="Times New Roman"/>
          <w:szCs w:val="24"/>
        </w:rPr>
        <w:t>par starptautiskās sadarbības problemātiku.</w:t>
      </w:r>
    </w:p>
    <w:p w14:paraId="700D758D" w14:textId="4BDE8DE3" w:rsidR="00E72815" w:rsidRPr="00E72815" w:rsidRDefault="00256E82" w:rsidP="00E72815">
      <w:pPr>
        <w:pStyle w:val="ListParagraph"/>
        <w:numPr>
          <w:ilvl w:val="0"/>
          <w:numId w:val="7"/>
        </w:numPr>
        <w:spacing w:after="0" w:line="240" w:lineRule="auto"/>
        <w:jc w:val="both"/>
        <w:rPr>
          <w:rFonts w:eastAsia="Times New Roman" w:cs="Times New Roman"/>
          <w:b/>
          <w:bCs/>
          <w:color w:val="000000" w:themeColor="text1"/>
          <w:szCs w:val="24"/>
          <w:lang w:eastAsia="lv-LV"/>
        </w:rPr>
      </w:pPr>
      <w:r w:rsidRPr="00577BF3">
        <w:rPr>
          <w:rFonts w:eastAsia="Calibri" w:cs="Times New Roman"/>
          <w:szCs w:val="24"/>
        </w:rPr>
        <w:t>Pastāvīgi sniegts atbalsts procesa virzītājiem tiesiskās palīdzības lūgumu sagatavošanā un piemērotākā starptautiskās sadarbības veida izvēlē konkrētā lietā, kā arī kontaktpunktu funkciju izpilde Eiropas Tiesiskās sadarbības tīkla krimināllietās ietvaros.</w:t>
      </w:r>
    </w:p>
    <w:p w14:paraId="07C5ED15" w14:textId="7B367701" w:rsidR="0052023A" w:rsidRDefault="00256E82" w:rsidP="000E4982">
      <w:pPr>
        <w:spacing w:after="0" w:line="240" w:lineRule="auto"/>
        <w:ind w:left="720" w:firstLine="720"/>
        <w:contextualSpacing/>
        <w:jc w:val="both"/>
        <w:rPr>
          <w:rFonts w:eastAsia="Calibri" w:cs="Times New Roman"/>
          <w:szCs w:val="24"/>
        </w:rPr>
      </w:pPr>
      <w:r w:rsidRPr="00577BF3">
        <w:rPr>
          <w:rFonts w:eastAsia="Calibri" w:cs="Times New Roman"/>
          <w:color w:val="000000" w:themeColor="text1"/>
          <w:szCs w:val="24"/>
        </w:rPr>
        <w:lastRenderedPageBreak/>
        <w:t xml:space="preserve">Būtiski atzīmēt, ka, pildot Kriminālprocesa likuma C daļā noteiktās funkcijas, </w:t>
      </w:r>
      <w:r w:rsidR="00BE3579" w:rsidRPr="00577BF3">
        <w:rPr>
          <w:rFonts w:eastAsia="Calibri" w:cs="Times New Roman"/>
          <w:color w:val="000000" w:themeColor="text1"/>
          <w:szCs w:val="24"/>
        </w:rPr>
        <w:t xml:space="preserve">Starptautiskās sadarbības </w:t>
      </w:r>
      <w:r w:rsidRPr="00577BF3">
        <w:rPr>
          <w:rFonts w:eastAsia="Calibri" w:cs="Times New Roman"/>
          <w:color w:val="000000" w:themeColor="text1"/>
          <w:szCs w:val="24"/>
        </w:rPr>
        <w:t xml:space="preserve">nodaļas prokuroriem diezgan bieži nākas saskarties ar </w:t>
      </w:r>
      <w:r w:rsidR="001B2700" w:rsidRPr="00577BF3">
        <w:rPr>
          <w:rFonts w:eastAsia="Calibri" w:cs="Times New Roman"/>
          <w:color w:val="000000" w:themeColor="text1"/>
          <w:szCs w:val="24"/>
        </w:rPr>
        <w:t>procesa virzītāj</w:t>
      </w:r>
      <w:r w:rsidR="00D65FAE" w:rsidRPr="00577BF3">
        <w:rPr>
          <w:rFonts w:eastAsia="Calibri" w:cs="Times New Roman"/>
          <w:color w:val="000000" w:themeColor="text1"/>
          <w:szCs w:val="24"/>
        </w:rPr>
        <w:t>u</w:t>
      </w:r>
      <w:r w:rsidR="001B2700" w:rsidRPr="00577BF3">
        <w:rPr>
          <w:rFonts w:eastAsia="Calibri" w:cs="Times New Roman"/>
          <w:color w:val="000000" w:themeColor="text1"/>
          <w:szCs w:val="24"/>
        </w:rPr>
        <w:t xml:space="preserve"> </w:t>
      </w:r>
      <w:r w:rsidRPr="00577BF3">
        <w:rPr>
          <w:rFonts w:eastAsia="Calibri" w:cs="Times New Roman"/>
          <w:color w:val="000000" w:themeColor="text1"/>
          <w:szCs w:val="24"/>
        </w:rPr>
        <w:t>procesuāl</w:t>
      </w:r>
      <w:r w:rsidR="00BE3579" w:rsidRPr="00577BF3">
        <w:rPr>
          <w:rFonts w:eastAsia="Calibri" w:cs="Times New Roman"/>
          <w:color w:val="000000" w:themeColor="text1"/>
          <w:szCs w:val="24"/>
        </w:rPr>
        <w:t>aj</w:t>
      </w:r>
      <w:r w:rsidRPr="00577BF3">
        <w:rPr>
          <w:rFonts w:eastAsia="Calibri" w:cs="Times New Roman"/>
          <w:color w:val="000000" w:themeColor="text1"/>
          <w:szCs w:val="24"/>
        </w:rPr>
        <w:t>iem dokumentiem</w:t>
      </w:r>
      <w:r w:rsidR="00BE3579" w:rsidRPr="00577BF3">
        <w:rPr>
          <w:rFonts w:eastAsia="Calibri" w:cs="Times New Roman"/>
          <w:color w:val="000000" w:themeColor="text1"/>
          <w:szCs w:val="24"/>
        </w:rPr>
        <w:t xml:space="preserve">, kas nav </w:t>
      </w:r>
      <w:r w:rsidR="00A73BA9" w:rsidRPr="00577BF3">
        <w:rPr>
          <w:rFonts w:eastAsia="Calibri" w:cs="Times New Roman"/>
          <w:color w:val="000000" w:themeColor="text1"/>
          <w:szCs w:val="24"/>
        </w:rPr>
        <w:t xml:space="preserve">sagatavoti pietiekoši </w:t>
      </w:r>
      <w:r w:rsidR="00BE3579" w:rsidRPr="00577BF3">
        <w:rPr>
          <w:rFonts w:eastAsia="Calibri" w:cs="Times New Roman"/>
          <w:color w:val="000000" w:themeColor="text1"/>
          <w:szCs w:val="24"/>
        </w:rPr>
        <w:t>kvalitatīvi un pamatoti</w:t>
      </w:r>
      <w:r w:rsidR="00BF76F1" w:rsidRPr="00577BF3">
        <w:rPr>
          <w:rFonts w:eastAsia="Calibri" w:cs="Times New Roman"/>
          <w:color w:val="000000" w:themeColor="text1"/>
          <w:szCs w:val="24"/>
        </w:rPr>
        <w:t>.</w:t>
      </w:r>
      <w:r w:rsidRPr="00577BF3">
        <w:rPr>
          <w:rFonts w:eastAsia="Calibri" w:cs="Times New Roman"/>
          <w:color w:val="000000" w:themeColor="text1"/>
          <w:szCs w:val="24"/>
        </w:rPr>
        <w:t xml:space="preserve"> Agrāko</w:t>
      </w:r>
      <w:r w:rsidR="005E2581" w:rsidRPr="00577BF3">
        <w:rPr>
          <w:rFonts w:eastAsia="Calibri" w:cs="Times New Roman"/>
          <w:color w:val="000000" w:themeColor="text1"/>
          <w:szCs w:val="24"/>
        </w:rPr>
        <w:t>s</w:t>
      </w:r>
      <w:r w:rsidRPr="00577BF3">
        <w:rPr>
          <w:rFonts w:eastAsia="Calibri" w:cs="Times New Roman"/>
          <w:color w:val="000000" w:themeColor="text1"/>
          <w:szCs w:val="24"/>
        </w:rPr>
        <w:t xml:space="preserve"> gad</w:t>
      </w:r>
      <w:r w:rsidR="0060637E" w:rsidRPr="00577BF3">
        <w:rPr>
          <w:rFonts w:eastAsia="Calibri" w:cs="Times New Roman"/>
          <w:color w:val="000000" w:themeColor="text1"/>
          <w:szCs w:val="24"/>
        </w:rPr>
        <w:t>os šī</w:t>
      </w:r>
      <w:r w:rsidRPr="00577BF3">
        <w:rPr>
          <w:rFonts w:eastAsia="Calibri" w:cs="Times New Roman"/>
          <w:color w:val="000000" w:themeColor="text1"/>
          <w:szCs w:val="24"/>
        </w:rPr>
        <w:t xml:space="preserve"> tendence bija vērojama </w:t>
      </w:r>
      <w:r w:rsidR="005E2581" w:rsidRPr="00577BF3">
        <w:rPr>
          <w:rFonts w:eastAsia="Calibri" w:cs="Times New Roman"/>
          <w:color w:val="000000" w:themeColor="text1"/>
          <w:szCs w:val="24"/>
        </w:rPr>
        <w:t xml:space="preserve">attiecībā uz </w:t>
      </w:r>
      <w:r w:rsidRPr="00577BF3">
        <w:rPr>
          <w:rFonts w:eastAsia="Calibri" w:cs="Times New Roman"/>
          <w:color w:val="000000" w:themeColor="text1"/>
          <w:szCs w:val="24"/>
        </w:rPr>
        <w:t>ierosinājum</w:t>
      </w:r>
      <w:r w:rsidR="005E2581" w:rsidRPr="00577BF3">
        <w:rPr>
          <w:rFonts w:eastAsia="Calibri" w:cs="Times New Roman"/>
          <w:color w:val="000000" w:themeColor="text1"/>
          <w:szCs w:val="24"/>
        </w:rPr>
        <w:t>iem</w:t>
      </w:r>
      <w:r w:rsidRPr="00577BF3">
        <w:rPr>
          <w:rFonts w:eastAsia="Calibri" w:cs="Times New Roman"/>
          <w:color w:val="000000" w:themeColor="text1"/>
          <w:szCs w:val="24"/>
        </w:rPr>
        <w:t xml:space="preserve"> par person</w:t>
      </w:r>
      <w:r w:rsidR="00D0640C" w:rsidRPr="00577BF3">
        <w:rPr>
          <w:rFonts w:eastAsia="Calibri" w:cs="Times New Roman"/>
          <w:color w:val="000000" w:themeColor="text1"/>
          <w:szCs w:val="24"/>
        </w:rPr>
        <w:t>as</w:t>
      </w:r>
      <w:r w:rsidRPr="00577BF3">
        <w:rPr>
          <w:rFonts w:eastAsia="Calibri" w:cs="Times New Roman"/>
          <w:color w:val="000000" w:themeColor="text1"/>
          <w:szCs w:val="24"/>
        </w:rPr>
        <w:t xml:space="preserve"> izdošanu, kur 20</w:t>
      </w:r>
      <w:r w:rsidR="00F1288E" w:rsidRPr="00577BF3">
        <w:rPr>
          <w:rFonts w:eastAsia="Calibri" w:cs="Times New Roman"/>
          <w:color w:val="000000" w:themeColor="text1"/>
          <w:szCs w:val="24"/>
        </w:rPr>
        <w:t> </w:t>
      </w:r>
      <w:r w:rsidRPr="00577BF3">
        <w:rPr>
          <w:rFonts w:eastAsia="Calibri" w:cs="Times New Roman"/>
          <w:color w:val="000000" w:themeColor="text1"/>
          <w:szCs w:val="24"/>
        </w:rPr>
        <w:t>% gadījumos netika izvērtēts samērīguma princips</w:t>
      </w:r>
      <w:r w:rsidR="00C26A6F" w:rsidRPr="00577BF3">
        <w:rPr>
          <w:rFonts w:eastAsia="Calibri" w:cs="Times New Roman"/>
          <w:color w:val="000000" w:themeColor="text1"/>
          <w:szCs w:val="24"/>
        </w:rPr>
        <w:t>.</w:t>
      </w:r>
      <w:r w:rsidRPr="00577BF3">
        <w:rPr>
          <w:rFonts w:eastAsia="Calibri" w:cs="Times New Roman"/>
          <w:color w:val="000000" w:themeColor="text1"/>
          <w:szCs w:val="24"/>
        </w:rPr>
        <w:t xml:space="preserve"> </w:t>
      </w:r>
      <w:r w:rsidR="008E6715" w:rsidRPr="00577BF3">
        <w:rPr>
          <w:rFonts w:eastAsia="Calibri" w:cs="Times New Roman"/>
          <w:color w:val="000000" w:themeColor="text1"/>
          <w:szCs w:val="24"/>
        </w:rPr>
        <w:t>P</w:t>
      </w:r>
      <w:r w:rsidRPr="00577BF3">
        <w:rPr>
          <w:rFonts w:eastAsia="Calibri" w:cs="Times New Roman"/>
          <w:color w:val="000000" w:themeColor="text1"/>
          <w:szCs w:val="24"/>
        </w:rPr>
        <w:t xml:space="preserve">ēc apmācību veikšanas, tai skaitā tiesnešiem, </w:t>
      </w:r>
      <w:r w:rsidR="008E6715" w:rsidRPr="00577BF3">
        <w:rPr>
          <w:rFonts w:eastAsia="Calibri" w:cs="Times New Roman"/>
          <w:color w:val="000000" w:themeColor="text1"/>
          <w:szCs w:val="24"/>
        </w:rPr>
        <w:t>š</w:t>
      </w:r>
      <w:r w:rsidR="00077533" w:rsidRPr="00577BF3">
        <w:rPr>
          <w:rFonts w:eastAsia="Calibri" w:cs="Times New Roman"/>
          <w:color w:val="000000" w:themeColor="text1"/>
          <w:szCs w:val="24"/>
        </w:rPr>
        <w:t>ī</w:t>
      </w:r>
      <w:r w:rsidR="005C6794" w:rsidRPr="00577BF3">
        <w:rPr>
          <w:rFonts w:eastAsia="Calibri" w:cs="Times New Roman"/>
          <w:color w:val="000000" w:themeColor="text1"/>
          <w:szCs w:val="24"/>
        </w:rPr>
        <w:t xml:space="preserve"> </w:t>
      </w:r>
      <w:r w:rsidR="00077533" w:rsidRPr="00577BF3">
        <w:rPr>
          <w:rFonts w:eastAsia="Calibri" w:cs="Times New Roman"/>
          <w:color w:val="000000" w:themeColor="text1"/>
          <w:szCs w:val="24"/>
        </w:rPr>
        <w:t>tendence</w:t>
      </w:r>
      <w:r w:rsidR="005C6794" w:rsidRPr="00577BF3">
        <w:rPr>
          <w:rFonts w:eastAsia="Calibri" w:cs="Times New Roman"/>
          <w:color w:val="000000" w:themeColor="text1"/>
          <w:szCs w:val="24"/>
        </w:rPr>
        <w:t xml:space="preserve"> </w:t>
      </w:r>
      <w:r w:rsidRPr="00577BF3">
        <w:rPr>
          <w:rFonts w:eastAsia="Calibri" w:cs="Times New Roman"/>
          <w:color w:val="000000" w:themeColor="text1"/>
          <w:szCs w:val="24"/>
        </w:rPr>
        <w:t>daļēji</w:t>
      </w:r>
      <w:r w:rsidR="00BF76F1" w:rsidRPr="00577BF3">
        <w:rPr>
          <w:rFonts w:eastAsia="Calibri" w:cs="Times New Roman"/>
          <w:color w:val="000000" w:themeColor="text1"/>
          <w:szCs w:val="24"/>
        </w:rPr>
        <w:t xml:space="preserve"> </w:t>
      </w:r>
      <w:r w:rsidR="00077533" w:rsidRPr="00577BF3">
        <w:rPr>
          <w:rFonts w:eastAsia="Calibri" w:cs="Times New Roman"/>
          <w:color w:val="000000" w:themeColor="text1"/>
          <w:szCs w:val="24"/>
        </w:rPr>
        <w:t>novērsta</w:t>
      </w:r>
      <w:r w:rsidRPr="00577BF3">
        <w:rPr>
          <w:rFonts w:eastAsia="Calibri" w:cs="Times New Roman"/>
          <w:color w:val="000000" w:themeColor="text1"/>
          <w:szCs w:val="24"/>
        </w:rPr>
        <w:t>. Taču vēl aizvien saglabājas problēma</w:t>
      </w:r>
      <w:r w:rsidR="00A1752A" w:rsidRPr="00577BF3">
        <w:rPr>
          <w:rFonts w:eastAsia="Calibri" w:cs="Times New Roman"/>
          <w:color w:val="000000" w:themeColor="text1"/>
          <w:szCs w:val="24"/>
        </w:rPr>
        <w:t>, kas saistīta</w:t>
      </w:r>
      <w:r w:rsidR="00852C10" w:rsidRPr="00577BF3">
        <w:rPr>
          <w:rFonts w:eastAsia="Calibri" w:cs="Times New Roman"/>
          <w:color w:val="000000" w:themeColor="text1"/>
          <w:szCs w:val="24"/>
        </w:rPr>
        <w:t xml:space="preserve"> ar </w:t>
      </w:r>
      <w:r w:rsidRPr="00577BF3">
        <w:rPr>
          <w:rFonts w:eastAsia="Calibri" w:cs="Times New Roman"/>
          <w:color w:val="000000" w:themeColor="text1"/>
          <w:szCs w:val="24"/>
        </w:rPr>
        <w:t>nepieciešamību pieprasīt papildinformāciju (trešdaļā gadījumu) no izdošanas lūgumu ierosinātājiem, jo sevišķi, kad lietā figurē saskaitīti spriedumi.</w:t>
      </w:r>
      <w:r w:rsidR="00477AA2" w:rsidRPr="00577BF3">
        <w:rPr>
          <w:rFonts w:eastAsia="Calibri" w:cs="Times New Roman"/>
          <w:color w:val="000000" w:themeColor="text1"/>
          <w:szCs w:val="24"/>
        </w:rPr>
        <w:t xml:space="preserve"> </w:t>
      </w:r>
      <w:r w:rsidRPr="00577BF3">
        <w:rPr>
          <w:rFonts w:eastAsia="Calibri" w:cs="Times New Roman"/>
          <w:color w:val="000000" w:themeColor="text1"/>
          <w:szCs w:val="24"/>
        </w:rPr>
        <w:t>Lai novērstu nekvalitatīvu procesuālo dokumentu iesniegšanu ārvalstij, 35</w:t>
      </w:r>
      <w:r w:rsidR="00F1288E" w:rsidRPr="00577BF3">
        <w:rPr>
          <w:rFonts w:eastAsia="Calibri" w:cs="Times New Roman"/>
          <w:color w:val="000000" w:themeColor="text1"/>
          <w:szCs w:val="24"/>
        </w:rPr>
        <w:t> </w:t>
      </w:r>
      <w:r w:rsidRPr="00577BF3">
        <w:rPr>
          <w:rFonts w:eastAsia="Calibri" w:cs="Times New Roman"/>
          <w:color w:val="000000" w:themeColor="text1"/>
          <w:szCs w:val="24"/>
        </w:rPr>
        <w:t>% gadījum</w:t>
      </w:r>
      <w:r w:rsidR="00F1288E" w:rsidRPr="00577BF3">
        <w:rPr>
          <w:rFonts w:eastAsia="Calibri" w:cs="Times New Roman"/>
          <w:color w:val="000000" w:themeColor="text1"/>
          <w:szCs w:val="24"/>
        </w:rPr>
        <w:t>u</w:t>
      </w:r>
      <w:r w:rsidRPr="00577BF3">
        <w:rPr>
          <w:rFonts w:eastAsia="Calibri" w:cs="Times New Roman"/>
          <w:color w:val="000000" w:themeColor="text1"/>
          <w:szCs w:val="24"/>
        </w:rPr>
        <w:t xml:space="preserve"> tiek konsultēti procesa virzītāji, tai skaitā saskaņojot tiesiskās palīdzības lūgumu projektus sevišķi sarežģītās vai aktuālās lietās, 3</w:t>
      </w:r>
      <w:r w:rsidR="00F1288E" w:rsidRPr="00577BF3">
        <w:rPr>
          <w:rFonts w:eastAsia="Calibri" w:cs="Times New Roman"/>
          <w:color w:val="000000" w:themeColor="text1"/>
          <w:szCs w:val="24"/>
        </w:rPr>
        <w:t> </w:t>
      </w:r>
      <w:r w:rsidRPr="00577BF3">
        <w:rPr>
          <w:rFonts w:eastAsia="Calibri" w:cs="Times New Roman"/>
          <w:color w:val="000000" w:themeColor="text1"/>
          <w:szCs w:val="24"/>
        </w:rPr>
        <w:t>% gadījum</w:t>
      </w:r>
      <w:r w:rsidR="00F1288E" w:rsidRPr="00577BF3">
        <w:rPr>
          <w:rFonts w:eastAsia="Calibri" w:cs="Times New Roman"/>
          <w:color w:val="000000" w:themeColor="text1"/>
          <w:szCs w:val="24"/>
        </w:rPr>
        <w:t>u</w:t>
      </w:r>
      <w:r w:rsidRPr="00577BF3">
        <w:rPr>
          <w:rFonts w:eastAsia="Calibri" w:cs="Times New Roman"/>
          <w:color w:val="000000" w:themeColor="text1"/>
          <w:szCs w:val="24"/>
        </w:rPr>
        <w:t xml:space="preserve"> ar procesa virzītāju vai uzraugošo prokuroru tiek panākta mutiska vienošanās par kļūdu koriģēšanu, bet 11</w:t>
      </w:r>
      <w:r w:rsidR="00F1288E" w:rsidRPr="00577BF3">
        <w:rPr>
          <w:rFonts w:eastAsia="Calibri" w:cs="Times New Roman"/>
          <w:color w:val="000000" w:themeColor="text1"/>
          <w:szCs w:val="24"/>
        </w:rPr>
        <w:t> </w:t>
      </w:r>
      <w:r w:rsidRPr="00577BF3">
        <w:rPr>
          <w:rFonts w:eastAsia="Calibri" w:cs="Times New Roman"/>
          <w:color w:val="000000" w:themeColor="text1"/>
          <w:szCs w:val="24"/>
        </w:rPr>
        <w:t xml:space="preserve">% gadījumu, kad komunikācija ar procesa virzītāju neveidojas, tie </w:t>
      </w:r>
      <w:r w:rsidR="0052023A" w:rsidRPr="00B25D5D">
        <w:rPr>
          <w:rFonts w:eastAsia="Calibri" w:cs="Times New Roman"/>
          <w:szCs w:val="24"/>
        </w:rPr>
        <w:t xml:space="preserve">rakstveidā </w:t>
      </w:r>
      <w:r w:rsidRPr="00B25D5D">
        <w:rPr>
          <w:rFonts w:eastAsia="Calibri" w:cs="Times New Roman"/>
          <w:szCs w:val="24"/>
        </w:rPr>
        <w:t>tiek</w:t>
      </w:r>
      <w:r w:rsidR="0052023A" w:rsidRPr="00B25D5D">
        <w:rPr>
          <w:rFonts w:eastAsia="Calibri" w:cs="Times New Roman"/>
          <w:szCs w:val="24"/>
        </w:rPr>
        <w:t xml:space="preserve"> atgriezti procesa virzītājam</w:t>
      </w:r>
      <w:r w:rsidRPr="00B25D5D">
        <w:rPr>
          <w:rFonts w:eastAsia="Calibri" w:cs="Times New Roman"/>
          <w:szCs w:val="24"/>
        </w:rPr>
        <w:t xml:space="preserve"> trūkumu novēršanai.</w:t>
      </w:r>
    </w:p>
    <w:p w14:paraId="73806CCD" w14:textId="77777777" w:rsidR="00B25D5D" w:rsidRPr="00B25D5D" w:rsidRDefault="00B25D5D" w:rsidP="00B25D5D">
      <w:pPr>
        <w:spacing w:after="0" w:line="240" w:lineRule="auto"/>
        <w:contextualSpacing/>
        <w:rPr>
          <w:rFonts w:eastAsia="Calibri" w:cs="Times New Roman"/>
          <w:szCs w:val="24"/>
        </w:rPr>
      </w:pPr>
    </w:p>
    <w:p w14:paraId="220A4FEF" w14:textId="357FFC03" w:rsidR="00256E82" w:rsidRPr="00577BF3" w:rsidRDefault="00256E82" w:rsidP="00CF4214">
      <w:pPr>
        <w:spacing w:after="0" w:line="240" w:lineRule="auto"/>
        <w:rPr>
          <w:rFonts w:eastAsia="Times New Roman" w:cs="Times New Roman"/>
          <w:b/>
          <w:bCs/>
          <w:i/>
          <w:iCs/>
          <w:szCs w:val="24"/>
          <w:lang w:eastAsia="lv-LV"/>
        </w:rPr>
      </w:pPr>
      <w:bookmarkStart w:id="78" w:name="_Hlk63848313"/>
      <w:r w:rsidRPr="00577BF3">
        <w:rPr>
          <w:rFonts w:eastAsia="Times New Roman" w:cs="Times New Roman"/>
          <w:b/>
          <w:bCs/>
          <w:i/>
          <w:iCs/>
          <w:szCs w:val="24"/>
          <w:lang w:eastAsia="lv-LV"/>
        </w:rPr>
        <w:t xml:space="preserve">Starptautiskās sadarbības nodaļas </w:t>
      </w:r>
      <w:r w:rsidR="004863D9">
        <w:rPr>
          <w:rFonts w:eastAsia="Times New Roman" w:cs="Times New Roman"/>
          <w:b/>
          <w:bCs/>
          <w:i/>
          <w:iCs/>
          <w:szCs w:val="24"/>
          <w:lang w:eastAsia="lv-LV"/>
        </w:rPr>
        <w:t xml:space="preserve">prokuroru </w:t>
      </w:r>
      <w:r w:rsidR="00C4442D" w:rsidRPr="00577BF3">
        <w:rPr>
          <w:rFonts w:eastAsia="Times New Roman" w:cs="Times New Roman"/>
          <w:b/>
          <w:bCs/>
          <w:i/>
          <w:iCs/>
          <w:szCs w:val="24"/>
          <w:lang w:eastAsia="lv-LV"/>
        </w:rPr>
        <w:t>dar</w:t>
      </w:r>
      <w:r w:rsidR="00135933" w:rsidRPr="00577BF3">
        <w:rPr>
          <w:rFonts w:eastAsia="Times New Roman" w:cs="Times New Roman"/>
          <w:b/>
          <w:bCs/>
          <w:i/>
          <w:iCs/>
          <w:szCs w:val="24"/>
          <w:lang w:eastAsia="lv-LV"/>
        </w:rPr>
        <w:t xml:space="preserve">ba </w:t>
      </w:r>
      <w:r w:rsidRPr="00577BF3">
        <w:rPr>
          <w:rFonts w:eastAsia="Times New Roman" w:cs="Times New Roman"/>
          <w:b/>
          <w:bCs/>
          <w:i/>
          <w:iCs/>
          <w:szCs w:val="24"/>
          <w:lang w:eastAsia="lv-LV"/>
        </w:rPr>
        <w:t>slodzes dinamika 3 gadu griezumā</w:t>
      </w:r>
    </w:p>
    <w:bookmarkEnd w:id="78"/>
    <w:p w14:paraId="00A93BBA" w14:textId="77777777" w:rsidR="00256E82" w:rsidRPr="00577BF3" w:rsidRDefault="00256E82" w:rsidP="00CF4214">
      <w:pPr>
        <w:spacing w:after="0" w:line="240" w:lineRule="auto"/>
        <w:rPr>
          <w:rFonts w:eastAsia="Times New Roman" w:cs="Times New Roman"/>
          <w:b/>
          <w:bCs/>
          <w:i/>
          <w:iCs/>
          <w:szCs w:val="24"/>
          <w:lang w:eastAsia="lv-LV"/>
        </w:rPr>
      </w:pPr>
    </w:p>
    <w:p w14:paraId="17E42163" w14:textId="19230757" w:rsidR="000B624C" w:rsidRPr="00577BF3" w:rsidRDefault="00256E82" w:rsidP="007A4E30">
      <w:pPr>
        <w:spacing w:after="0" w:line="240" w:lineRule="auto"/>
        <w:ind w:firstLine="720"/>
        <w:jc w:val="both"/>
        <w:rPr>
          <w:rFonts w:eastAsia="Times New Roman" w:cs="Times New Roman"/>
          <w:szCs w:val="24"/>
          <w:lang w:eastAsia="lv-LV"/>
        </w:rPr>
      </w:pPr>
      <w:r w:rsidRPr="00577BF3">
        <w:rPr>
          <w:rFonts w:eastAsia="Times New Roman" w:cs="Times New Roman"/>
          <w:szCs w:val="24"/>
          <w:lang w:eastAsia="lv-LV"/>
        </w:rPr>
        <w:t>Līdzīgi kā iepriekš norādīts par Metodikas nodaļ</w:t>
      </w:r>
      <w:r w:rsidR="00286740" w:rsidRPr="00577BF3">
        <w:rPr>
          <w:rFonts w:eastAsia="Times New Roman" w:cs="Times New Roman"/>
          <w:szCs w:val="24"/>
          <w:lang w:eastAsia="lv-LV"/>
        </w:rPr>
        <w:t>u</w:t>
      </w:r>
      <w:r w:rsidRPr="00577BF3">
        <w:rPr>
          <w:rFonts w:eastAsia="Times New Roman" w:cs="Times New Roman"/>
          <w:szCs w:val="24"/>
          <w:lang w:eastAsia="lv-LV"/>
        </w:rPr>
        <w:t xml:space="preserve"> arī Starptautiskās sadarbības nodaļas</w:t>
      </w:r>
      <w:r w:rsidR="004863D9">
        <w:rPr>
          <w:rFonts w:eastAsia="Times New Roman" w:cs="Times New Roman"/>
          <w:szCs w:val="24"/>
          <w:lang w:eastAsia="lv-LV"/>
        </w:rPr>
        <w:t xml:space="preserve"> prokuroru</w:t>
      </w:r>
      <w:r w:rsidRPr="00577BF3">
        <w:rPr>
          <w:rFonts w:eastAsia="Times New Roman" w:cs="Times New Roman"/>
          <w:szCs w:val="24"/>
          <w:lang w:eastAsia="lv-LV"/>
        </w:rPr>
        <w:t xml:space="preserve"> darba slodze pēdējos trīs gados pieaugusi. Minētais skaidrojams ar to, ka gan prokurori Latvijā, gan arī kompetentās iestādes ārvalstīs plašāk izmanto starptautiskās sadarbības instrumentus. </w:t>
      </w:r>
    </w:p>
    <w:p w14:paraId="38440EC5" w14:textId="77777777" w:rsidR="00772C8A" w:rsidRPr="00577BF3" w:rsidRDefault="00772C8A" w:rsidP="007A4E30">
      <w:pPr>
        <w:spacing w:after="0" w:line="240" w:lineRule="auto"/>
        <w:ind w:firstLine="720"/>
        <w:jc w:val="both"/>
        <w:rPr>
          <w:rFonts w:eastAsia="Times New Roman" w:cs="Times New Roman"/>
          <w:szCs w:val="24"/>
          <w:lang w:eastAsia="lv-LV"/>
        </w:rPr>
      </w:pPr>
    </w:p>
    <w:p w14:paraId="56539D1A" w14:textId="38AD1F4B" w:rsidR="00256E82" w:rsidRDefault="00256E82" w:rsidP="00CF4214">
      <w:pPr>
        <w:spacing w:after="0" w:line="240" w:lineRule="auto"/>
        <w:rPr>
          <w:rFonts w:eastAsia="Times New Roman" w:cs="Times New Roman"/>
          <w:i/>
          <w:iCs/>
          <w:szCs w:val="24"/>
          <w:lang w:eastAsia="lv-LV"/>
        </w:rPr>
      </w:pPr>
      <w:r w:rsidRPr="00577BF3">
        <w:rPr>
          <w:rFonts w:eastAsia="Times New Roman" w:cs="Times New Roman"/>
          <w:i/>
          <w:iCs/>
          <w:szCs w:val="24"/>
          <w:lang w:eastAsia="lv-LV"/>
        </w:rPr>
        <w:t>Diagramma par S</w:t>
      </w:r>
      <w:r w:rsidR="00BB1AC8" w:rsidRPr="00577BF3">
        <w:rPr>
          <w:rFonts w:eastAsia="Times New Roman" w:cs="Times New Roman"/>
          <w:i/>
          <w:iCs/>
          <w:szCs w:val="24"/>
          <w:lang w:eastAsia="lv-LV"/>
        </w:rPr>
        <w:t>tarptautiskās sadarbības nodaļas</w:t>
      </w:r>
      <w:r w:rsidRPr="00577BF3">
        <w:rPr>
          <w:rFonts w:eastAsia="Times New Roman" w:cs="Times New Roman"/>
          <w:i/>
          <w:iCs/>
          <w:szCs w:val="24"/>
          <w:lang w:eastAsia="lv-LV"/>
        </w:rPr>
        <w:t xml:space="preserve"> prokuroru darba slodzi </w:t>
      </w:r>
    </w:p>
    <w:p w14:paraId="64964255" w14:textId="77777777" w:rsidR="00E94B37" w:rsidRPr="00577BF3" w:rsidRDefault="00E94B37" w:rsidP="00CF4214">
      <w:pPr>
        <w:spacing w:after="0" w:line="240" w:lineRule="auto"/>
        <w:rPr>
          <w:rFonts w:eastAsia="Times New Roman" w:cs="Times New Roman"/>
          <w:i/>
          <w:iCs/>
          <w:szCs w:val="24"/>
          <w:lang w:eastAsia="lv-LV"/>
        </w:rPr>
      </w:pPr>
    </w:p>
    <w:p w14:paraId="4B0EFDFE" w14:textId="17643DA9" w:rsidR="008A249E" w:rsidRPr="00577BF3" w:rsidRDefault="00256E82" w:rsidP="007A4E30">
      <w:pPr>
        <w:spacing w:after="0" w:line="240" w:lineRule="auto"/>
        <w:jc w:val="center"/>
        <w:rPr>
          <w:rFonts w:eastAsia="Times New Roman" w:cs="Times New Roman"/>
          <w:b/>
          <w:bCs/>
          <w:sz w:val="28"/>
          <w:szCs w:val="28"/>
          <w:lang w:eastAsia="lv-LV"/>
        </w:rPr>
      </w:pPr>
      <w:r w:rsidRPr="00577BF3">
        <w:rPr>
          <w:rFonts w:eastAsia="Times New Roman" w:cs="Times New Roman"/>
          <w:noProof/>
          <w:sz w:val="20"/>
          <w:szCs w:val="20"/>
          <w:lang w:eastAsia="lv-LV"/>
        </w:rPr>
        <w:drawing>
          <wp:inline distT="0" distB="0" distL="0" distR="0" wp14:anchorId="25C8DB4F" wp14:editId="34AC7BBB">
            <wp:extent cx="4311650" cy="1769533"/>
            <wp:effectExtent l="0" t="0" r="12700" b="254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1C343360" w14:textId="77777777" w:rsidR="00286740" w:rsidRPr="00577BF3" w:rsidRDefault="00286740" w:rsidP="007A4E30">
      <w:pPr>
        <w:spacing w:after="0" w:line="240" w:lineRule="auto"/>
        <w:jc w:val="center"/>
        <w:rPr>
          <w:rFonts w:eastAsia="Times New Roman" w:cs="Times New Roman"/>
          <w:b/>
          <w:bCs/>
          <w:sz w:val="28"/>
          <w:szCs w:val="28"/>
          <w:lang w:eastAsia="lv-LV"/>
        </w:rPr>
      </w:pPr>
    </w:p>
    <w:p w14:paraId="15CDDF63" w14:textId="24C3D0E7" w:rsidR="00256E82" w:rsidRPr="00577BF3" w:rsidRDefault="00171149" w:rsidP="006B5C6E">
      <w:pPr>
        <w:spacing w:after="0" w:line="240" w:lineRule="auto"/>
        <w:ind w:firstLine="720"/>
        <w:jc w:val="both"/>
        <w:rPr>
          <w:rFonts w:eastAsia="Times New Roman" w:cs="Times New Roman"/>
          <w:i/>
          <w:iCs/>
          <w:color w:val="000000" w:themeColor="text1"/>
          <w:szCs w:val="24"/>
          <w:lang w:eastAsia="lv-LV"/>
        </w:rPr>
      </w:pPr>
      <w:r w:rsidRPr="00577BF3">
        <w:rPr>
          <w:rFonts w:eastAsia="Times New Roman" w:cs="Times New Roman"/>
          <w:color w:val="000000" w:themeColor="text1"/>
          <w:szCs w:val="24"/>
          <w:lang w:eastAsia="lv-LV"/>
        </w:rPr>
        <w:t>Starptautiskās sadarbības nodaļas darba slodzes pieaugum</w:t>
      </w:r>
      <w:r w:rsidR="00BF701D" w:rsidRPr="00577BF3">
        <w:rPr>
          <w:rFonts w:eastAsia="Times New Roman" w:cs="Times New Roman"/>
          <w:color w:val="000000" w:themeColor="text1"/>
          <w:szCs w:val="24"/>
          <w:lang w:eastAsia="lv-LV"/>
        </w:rPr>
        <w:t>s saistīts arī a</w:t>
      </w:r>
      <w:r w:rsidRPr="00577BF3">
        <w:rPr>
          <w:rFonts w:eastAsia="Times New Roman" w:cs="Times New Roman"/>
          <w:color w:val="000000" w:themeColor="text1"/>
          <w:szCs w:val="24"/>
          <w:lang w:eastAsia="lv-LV"/>
        </w:rPr>
        <w:t>r starptautiskās sadarbības instrumentu aktīvāk</w:t>
      </w:r>
      <w:r w:rsidR="00BF701D" w:rsidRPr="00577BF3">
        <w:rPr>
          <w:rFonts w:eastAsia="Times New Roman" w:cs="Times New Roman"/>
          <w:color w:val="000000" w:themeColor="text1"/>
          <w:szCs w:val="24"/>
          <w:lang w:eastAsia="lv-LV"/>
        </w:rPr>
        <w:t>u</w:t>
      </w:r>
      <w:r w:rsidRPr="00577BF3">
        <w:rPr>
          <w:rFonts w:eastAsia="Times New Roman" w:cs="Times New Roman"/>
          <w:color w:val="000000" w:themeColor="text1"/>
          <w:szCs w:val="24"/>
          <w:lang w:eastAsia="lv-LV"/>
        </w:rPr>
        <w:t xml:space="preserve"> izmantošan</w:t>
      </w:r>
      <w:r w:rsidR="00BF701D" w:rsidRPr="00577BF3">
        <w:rPr>
          <w:rFonts w:eastAsia="Times New Roman" w:cs="Times New Roman"/>
          <w:color w:val="000000" w:themeColor="text1"/>
          <w:szCs w:val="24"/>
          <w:lang w:eastAsia="lv-LV"/>
        </w:rPr>
        <w:t>u</w:t>
      </w:r>
      <w:r w:rsidRPr="00577BF3">
        <w:rPr>
          <w:rFonts w:eastAsia="Times New Roman" w:cs="Times New Roman"/>
          <w:color w:val="000000" w:themeColor="text1"/>
          <w:szCs w:val="24"/>
          <w:lang w:eastAsia="lv-LV"/>
        </w:rPr>
        <w:t xml:space="preserve"> cīņā ar noziedzīgi iegūtu līdzekļu legalizēšanu.</w:t>
      </w:r>
      <w:r w:rsidR="00705281" w:rsidRPr="00577BF3">
        <w:rPr>
          <w:rFonts w:eastAsia="Times New Roman" w:cs="Times New Roman"/>
          <w:color w:val="000000" w:themeColor="text1"/>
          <w:szCs w:val="24"/>
          <w:lang w:eastAsia="lv-LV"/>
        </w:rPr>
        <w:t xml:space="preserve"> B</w:t>
      </w:r>
      <w:r w:rsidRPr="00577BF3">
        <w:rPr>
          <w:rFonts w:eastAsia="Times New Roman" w:cs="Times New Roman"/>
          <w:color w:val="000000" w:themeColor="text1"/>
          <w:szCs w:val="24"/>
          <w:lang w:eastAsia="lv-LV"/>
        </w:rPr>
        <w:t>ūtiski pieaudzis gan Latvijas nosūtīto lūgumu, gan arī Latvijā izpildei saņemto lūgumu skaits</w:t>
      </w:r>
      <w:r w:rsidRPr="00577BF3">
        <w:rPr>
          <w:rFonts w:eastAsia="Times New Roman" w:cs="Times New Roman"/>
          <w:i/>
          <w:iCs/>
          <w:color w:val="000000" w:themeColor="text1"/>
          <w:szCs w:val="24"/>
          <w:lang w:eastAsia="lv-LV"/>
        </w:rPr>
        <w:t>.</w:t>
      </w:r>
    </w:p>
    <w:p w14:paraId="27E32C30" w14:textId="77777777" w:rsidR="00412804" w:rsidRPr="00577BF3" w:rsidRDefault="00412804" w:rsidP="006B5C6E">
      <w:pPr>
        <w:spacing w:after="0" w:line="240" w:lineRule="auto"/>
        <w:ind w:firstLine="720"/>
        <w:jc w:val="both"/>
        <w:rPr>
          <w:rFonts w:eastAsia="Times New Roman" w:cs="Times New Roman"/>
          <w:i/>
          <w:iCs/>
          <w:color w:val="000000" w:themeColor="text1"/>
          <w:szCs w:val="24"/>
          <w:lang w:eastAsia="lv-LV"/>
        </w:rPr>
      </w:pPr>
    </w:p>
    <w:p w14:paraId="05ECBB0D" w14:textId="2646DAF5" w:rsidR="00412804" w:rsidRDefault="00256E82" w:rsidP="00412804">
      <w:pPr>
        <w:spacing w:after="0" w:line="240" w:lineRule="auto"/>
        <w:rPr>
          <w:rFonts w:eastAsia="Times New Roman" w:cs="Times New Roman"/>
          <w:i/>
          <w:iCs/>
          <w:szCs w:val="24"/>
          <w:lang w:eastAsia="lv-LV"/>
        </w:rPr>
      </w:pPr>
      <w:bookmarkStart w:id="79" w:name="_Hlk63848058"/>
      <w:r w:rsidRPr="00577BF3">
        <w:rPr>
          <w:rFonts w:eastAsia="Times New Roman" w:cs="Times New Roman"/>
          <w:i/>
          <w:iCs/>
          <w:szCs w:val="24"/>
          <w:lang w:eastAsia="lv-LV"/>
        </w:rPr>
        <w:t xml:space="preserve">Diagramma par starptautiskās tiesiskās palīdzības lūgumu </w:t>
      </w:r>
      <w:r w:rsidR="00E94B37">
        <w:rPr>
          <w:rFonts w:eastAsia="Times New Roman" w:cs="Times New Roman"/>
          <w:i/>
          <w:iCs/>
          <w:szCs w:val="24"/>
          <w:lang w:eastAsia="lv-LV"/>
        </w:rPr>
        <w:t xml:space="preserve">pēc Krimināllikuma 195. panta </w:t>
      </w:r>
      <w:r w:rsidRPr="00577BF3">
        <w:rPr>
          <w:rFonts w:eastAsia="Times New Roman" w:cs="Times New Roman"/>
          <w:i/>
          <w:iCs/>
          <w:szCs w:val="24"/>
          <w:lang w:eastAsia="lv-LV"/>
        </w:rPr>
        <w:t>skaita dinamiku</w:t>
      </w:r>
    </w:p>
    <w:p w14:paraId="074AA82C" w14:textId="77777777" w:rsidR="00215305" w:rsidRPr="00577BF3" w:rsidRDefault="00215305" w:rsidP="00412804">
      <w:pPr>
        <w:spacing w:after="0" w:line="240" w:lineRule="auto"/>
        <w:rPr>
          <w:rFonts w:eastAsia="Times New Roman" w:cs="Times New Roman"/>
          <w:i/>
          <w:iCs/>
          <w:szCs w:val="24"/>
          <w:lang w:eastAsia="lv-LV"/>
        </w:rPr>
      </w:pPr>
    </w:p>
    <w:bookmarkEnd w:id="79"/>
    <w:p w14:paraId="7EF15A92" w14:textId="125CF7B3" w:rsidR="00256E82" w:rsidRPr="00577BF3" w:rsidRDefault="00256E82" w:rsidP="00215305">
      <w:pPr>
        <w:spacing w:after="0" w:line="240" w:lineRule="auto"/>
        <w:jc w:val="center"/>
        <w:rPr>
          <w:rFonts w:eastAsia="Calibri" w:cs="Times New Roman"/>
          <w:sz w:val="22"/>
        </w:rPr>
      </w:pPr>
      <w:r w:rsidRPr="00577BF3">
        <w:rPr>
          <w:rFonts w:eastAsia="Calibri" w:cs="Times New Roman"/>
          <w:noProof/>
        </w:rPr>
        <w:drawing>
          <wp:inline distT="0" distB="0" distL="0" distR="0" wp14:anchorId="735DA82D" wp14:editId="5DA0C023">
            <wp:extent cx="4305300" cy="1718733"/>
            <wp:effectExtent l="0" t="0" r="0" b="15240"/>
            <wp:docPr id="8" name="Chart 8">
              <a:extLst xmlns:a="http://schemas.openxmlformats.org/drawingml/2006/main">
                <a:ext uri="{FF2B5EF4-FFF2-40B4-BE49-F238E27FC236}">
                  <a16:creationId xmlns:a16="http://schemas.microsoft.com/office/drawing/2014/main" id="{539C720C-A71A-4F15-B976-69714A2D5A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647EDFC4" w14:textId="5B0B384B" w:rsidR="001504D5" w:rsidRPr="00577BF3" w:rsidRDefault="001504D5" w:rsidP="001504D5">
      <w:pPr>
        <w:spacing w:line="240" w:lineRule="auto"/>
        <w:ind w:left="284"/>
        <w:contextualSpacing/>
        <w:rPr>
          <w:rFonts w:eastAsia="Calibri" w:cs="Times New Roman"/>
          <w:sz w:val="22"/>
        </w:rPr>
      </w:pPr>
    </w:p>
    <w:p w14:paraId="288087C9" w14:textId="21ED1D0E" w:rsidR="00A263CF" w:rsidRPr="00577BF3" w:rsidRDefault="00A263CF" w:rsidP="00A263CF">
      <w:pPr>
        <w:spacing w:after="0" w:line="240" w:lineRule="auto"/>
        <w:ind w:firstLine="720"/>
        <w:jc w:val="both"/>
        <w:rPr>
          <w:rFonts w:eastAsia="Times New Roman" w:cs="Times New Roman"/>
          <w:szCs w:val="24"/>
          <w:lang w:eastAsia="lv-LV"/>
        </w:rPr>
      </w:pPr>
      <w:r w:rsidRPr="00577BF3">
        <w:rPr>
          <w:rFonts w:eastAsia="Times New Roman" w:cs="Times New Roman"/>
          <w:szCs w:val="24"/>
          <w:lang w:eastAsia="lv-LV"/>
        </w:rPr>
        <w:t xml:space="preserve">Jāpiezīmē arī, ka atsevišķi starptautiskās </w:t>
      </w:r>
      <w:r w:rsidR="009A014E" w:rsidRPr="00577BF3">
        <w:rPr>
          <w:rFonts w:eastAsia="Times New Roman" w:cs="Times New Roman"/>
          <w:szCs w:val="24"/>
          <w:lang w:eastAsia="lv-LV"/>
        </w:rPr>
        <w:t xml:space="preserve">sadarbības </w:t>
      </w:r>
      <w:r w:rsidRPr="00577BF3">
        <w:rPr>
          <w:rFonts w:eastAsia="Times New Roman" w:cs="Times New Roman"/>
          <w:szCs w:val="24"/>
          <w:lang w:eastAsia="lv-LV"/>
        </w:rPr>
        <w:t xml:space="preserve">instrumenti ir jauni un praksē ieviesti relatīvi nesen, </w:t>
      </w:r>
      <w:r w:rsidR="00D76CAA" w:rsidRPr="00577BF3">
        <w:rPr>
          <w:rFonts w:eastAsia="Times New Roman" w:cs="Times New Roman"/>
          <w:szCs w:val="24"/>
          <w:lang w:eastAsia="lv-LV"/>
        </w:rPr>
        <w:t xml:space="preserve">piemēram, </w:t>
      </w:r>
      <w:r w:rsidRPr="00577BF3">
        <w:rPr>
          <w:rFonts w:eastAsia="Times New Roman" w:cs="Times New Roman"/>
          <w:szCs w:val="24"/>
          <w:lang w:eastAsia="lv-LV"/>
        </w:rPr>
        <w:t>Eiropas Izmeklēšanas rīkojums</w:t>
      </w:r>
      <w:r w:rsidR="000B40E1" w:rsidRPr="00577BF3">
        <w:rPr>
          <w:rFonts w:eastAsia="Times New Roman" w:cs="Times New Roman"/>
          <w:szCs w:val="24"/>
          <w:lang w:eastAsia="lv-LV"/>
        </w:rPr>
        <w:t xml:space="preserve">, </w:t>
      </w:r>
      <w:r w:rsidR="00A84D68" w:rsidRPr="00577BF3">
        <w:rPr>
          <w:rFonts w:eastAsia="Times New Roman" w:cs="Times New Roman"/>
          <w:szCs w:val="24"/>
          <w:lang w:eastAsia="lv-LV"/>
        </w:rPr>
        <w:t>kura izmantošanas aktivitāte</w:t>
      </w:r>
      <w:r w:rsidR="0034624B" w:rsidRPr="00577BF3">
        <w:rPr>
          <w:rFonts w:eastAsia="Times New Roman" w:cs="Times New Roman"/>
          <w:szCs w:val="24"/>
          <w:lang w:eastAsia="lv-LV"/>
        </w:rPr>
        <w:t xml:space="preserve"> turpmāk</w:t>
      </w:r>
      <w:r w:rsidR="003D085B" w:rsidRPr="00577BF3">
        <w:rPr>
          <w:rFonts w:eastAsia="Times New Roman" w:cs="Times New Roman"/>
          <w:szCs w:val="24"/>
          <w:lang w:eastAsia="lv-LV"/>
        </w:rPr>
        <w:t>, visticamāk, palielināsies.</w:t>
      </w:r>
    </w:p>
    <w:p w14:paraId="4D2A18BE" w14:textId="53538A9C" w:rsidR="006A6885" w:rsidRPr="00577BF3" w:rsidRDefault="006A6885" w:rsidP="00930984">
      <w:pPr>
        <w:spacing w:after="0" w:line="240" w:lineRule="auto"/>
        <w:ind w:firstLine="720"/>
        <w:jc w:val="both"/>
        <w:rPr>
          <w:rFonts w:eastAsia="Times New Roman" w:cs="Times New Roman"/>
          <w:szCs w:val="24"/>
          <w:lang w:eastAsia="lv-LV"/>
        </w:rPr>
      </w:pPr>
      <w:r w:rsidRPr="00577BF3">
        <w:rPr>
          <w:rFonts w:eastAsia="Times New Roman" w:cs="Times New Roman"/>
          <w:szCs w:val="24"/>
          <w:lang w:eastAsia="lv-LV"/>
        </w:rPr>
        <w:t xml:space="preserve">Ir prognozējams, ka </w:t>
      </w:r>
      <w:r w:rsidR="003E551E" w:rsidRPr="00577BF3">
        <w:rPr>
          <w:rFonts w:eastAsia="Times New Roman" w:cs="Times New Roman"/>
          <w:szCs w:val="24"/>
          <w:lang w:eastAsia="lv-LV"/>
        </w:rPr>
        <w:t xml:space="preserve">Starptautiskās sadarbības nodaļas </w:t>
      </w:r>
      <w:r w:rsidR="00C166CF">
        <w:rPr>
          <w:rFonts w:eastAsia="Times New Roman" w:cs="Times New Roman"/>
          <w:szCs w:val="24"/>
          <w:lang w:eastAsia="lv-LV"/>
        </w:rPr>
        <w:t xml:space="preserve">prokuroru </w:t>
      </w:r>
      <w:r w:rsidR="006D6212" w:rsidRPr="00577BF3">
        <w:rPr>
          <w:rFonts w:eastAsia="Times New Roman" w:cs="Times New Roman"/>
          <w:szCs w:val="24"/>
          <w:lang w:eastAsia="lv-LV"/>
        </w:rPr>
        <w:t xml:space="preserve">darba </w:t>
      </w:r>
      <w:r w:rsidRPr="00577BF3">
        <w:rPr>
          <w:rFonts w:eastAsia="Times New Roman" w:cs="Times New Roman"/>
          <w:szCs w:val="24"/>
          <w:lang w:eastAsia="lv-LV"/>
        </w:rPr>
        <w:t>slodze arī 2021. gadā pieaugs. Tajā pašā laikā šobrīd nav pamata uzskatīt, ka nodaļas prokuroru skaits nebūtu pietiekams, lai kvalitatīvi izpildītu uzdevumus pieaugošas slodzes apstākļos 2021. gadā.</w:t>
      </w:r>
    </w:p>
    <w:p w14:paraId="1E7D4135" w14:textId="77777777" w:rsidR="00723206" w:rsidRDefault="00723206" w:rsidP="00A32D12">
      <w:pPr>
        <w:spacing w:after="0" w:line="240" w:lineRule="auto"/>
        <w:contextualSpacing/>
        <w:jc w:val="both"/>
        <w:rPr>
          <w:rFonts w:eastAsia="Calibri" w:cs="Times New Roman"/>
          <w:b/>
          <w:bCs/>
          <w:szCs w:val="24"/>
        </w:rPr>
      </w:pPr>
    </w:p>
    <w:p w14:paraId="0BE6B97F" w14:textId="335F98F6" w:rsidR="00A32D12" w:rsidRDefault="00741412" w:rsidP="00A32D12">
      <w:pPr>
        <w:spacing w:after="0" w:line="240" w:lineRule="auto"/>
        <w:contextualSpacing/>
        <w:jc w:val="both"/>
        <w:rPr>
          <w:rFonts w:eastAsia="Calibri" w:cs="Times New Roman"/>
          <w:b/>
          <w:bCs/>
          <w:szCs w:val="24"/>
        </w:rPr>
      </w:pPr>
      <w:r>
        <w:rPr>
          <w:rFonts w:eastAsia="Calibri" w:cs="Times New Roman"/>
          <w:b/>
          <w:bCs/>
          <w:szCs w:val="24"/>
        </w:rPr>
        <w:t xml:space="preserve">Ģenerālprokuratūras </w:t>
      </w:r>
      <w:r w:rsidR="00A32D12">
        <w:rPr>
          <w:rFonts w:eastAsia="Calibri" w:cs="Times New Roman"/>
          <w:b/>
          <w:bCs/>
          <w:szCs w:val="24"/>
        </w:rPr>
        <w:t>Darbības analīzes un vadības departamenta</w:t>
      </w:r>
      <w:r w:rsidR="000F6E92">
        <w:rPr>
          <w:rFonts w:eastAsia="Calibri" w:cs="Times New Roman"/>
          <w:b/>
          <w:bCs/>
          <w:szCs w:val="24"/>
        </w:rPr>
        <w:t xml:space="preserve"> virsprokurors A.</w:t>
      </w:r>
      <w:r w:rsidR="004863D9">
        <w:rPr>
          <w:rFonts w:eastAsia="Calibri" w:cs="Times New Roman"/>
          <w:b/>
          <w:bCs/>
          <w:szCs w:val="24"/>
        </w:rPr>
        <w:t> </w:t>
      </w:r>
      <w:proofErr w:type="spellStart"/>
      <w:r w:rsidR="000F6E92">
        <w:rPr>
          <w:rFonts w:eastAsia="Calibri" w:cs="Times New Roman"/>
          <w:b/>
          <w:bCs/>
          <w:szCs w:val="24"/>
        </w:rPr>
        <w:t>Ostapko</w:t>
      </w:r>
      <w:proofErr w:type="spellEnd"/>
    </w:p>
    <w:p w14:paraId="01B4C131" w14:textId="08B0EF80" w:rsidR="00215305" w:rsidRDefault="000F6E92" w:rsidP="00A32D12">
      <w:pPr>
        <w:spacing w:after="0" w:line="240" w:lineRule="auto"/>
        <w:contextualSpacing/>
        <w:jc w:val="both"/>
        <w:rPr>
          <w:rFonts w:eastAsia="Calibri" w:cs="Times New Roman"/>
          <w:b/>
          <w:bCs/>
          <w:szCs w:val="24"/>
        </w:rPr>
      </w:pPr>
      <w:r>
        <w:rPr>
          <w:rFonts w:eastAsia="Calibri" w:cs="Times New Roman"/>
          <w:b/>
          <w:bCs/>
          <w:szCs w:val="24"/>
        </w:rPr>
        <w:t>Rīgā 2021. gada 10. februārī</w:t>
      </w:r>
    </w:p>
    <w:p w14:paraId="06E0B85A" w14:textId="77777777" w:rsidR="00215305" w:rsidRDefault="00215305">
      <w:pPr>
        <w:rPr>
          <w:rFonts w:eastAsia="Calibri" w:cs="Times New Roman"/>
          <w:b/>
          <w:bCs/>
          <w:szCs w:val="24"/>
        </w:rPr>
      </w:pPr>
      <w:r>
        <w:rPr>
          <w:rFonts w:eastAsia="Calibri" w:cs="Times New Roman"/>
          <w:b/>
          <w:bCs/>
          <w:szCs w:val="24"/>
        </w:rPr>
        <w:br w:type="page"/>
      </w:r>
    </w:p>
    <w:p w14:paraId="4365051C" w14:textId="77777777" w:rsidR="00A82880" w:rsidRPr="00577BF3" w:rsidRDefault="00A82880" w:rsidP="00A82880">
      <w:pPr>
        <w:spacing w:after="0" w:line="240" w:lineRule="auto"/>
        <w:jc w:val="center"/>
        <w:rPr>
          <w:rFonts w:cs="Times New Roman"/>
          <w:b/>
          <w:sz w:val="32"/>
          <w:szCs w:val="32"/>
        </w:rPr>
      </w:pPr>
      <w:bookmarkStart w:id="80" w:name="_Hlk64373569"/>
      <w:bookmarkEnd w:id="68"/>
      <w:r w:rsidRPr="00577BF3">
        <w:rPr>
          <w:rFonts w:cs="Times New Roman"/>
          <w:b/>
          <w:sz w:val="32"/>
          <w:szCs w:val="32"/>
        </w:rPr>
        <w:lastRenderedPageBreak/>
        <w:t>Ģenerālprokuratūras Īpaši pilnvarotu prokuroru nodaļas pārskats par 2020. gada darba rezultātiem</w:t>
      </w:r>
    </w:p>
    <w:p w14:paraId="1581CA22" w14:textId="77777777" w:rsidR="00A82880" w:rsidRPr="00F62B7E" w:rsidRDefault="00A82880" w:rsidP="00A82880">
      <w:pPr>
        <w:pStyle w:val="ListParagraph"/>
        <w:spacing w:after="0" w:line="240" w:lineRule="auto"/>
        <w:ind w:left="1077"/>
        <w:jc w:val="center"/>
        <w:rPr>
          <w:rFonts w:cs="Times New Roman"/>
          <w:b/>
          <w:bCs/>
          <w:szCs w:val="24"/>
        </w:rPr>
      </w:pPr>
    </w:p>
    <w:p w14:paraId="2F342E5A" w14:textId="77777777" w:rsidR="00A82880" w:rsidRPr="00A521DC" w:rsidRDefault="00A82880" w:rsidP="00A521DC">
      <w:pPr>
        <w:spacing w:after="0" w:line="240" w:lineRule="auto"/>
        <w:jc w:val="center"/>
        <w:rPr>
          <w:rFonts w:cs="Times New Roman"/>
          <w:b/>
          <w:bCs/>
          <w:sz w:val="28"/>
          <w:szCs w:val="28"/>
        </w:rPr>
      </w:pPr>
      <w:r w:rsidRPr="00A521DC">
        <w:rPr>
          <w:rFonts w:cs="Times New Roman"/>
          <w:b/>
          <w:bCs/>
          <w:sz w:val="28"/>
          <w:szCs w:val="28"/>
        </w:rPr>
        <w:t>I. Strukturālais modelis un prokuroru personālsastāvs</w:t>
      </w:r>
    </w:p>
    <w:p w14:paraId="7FE30EC7" w14:textId="77777777" w:rsidR="00A82880" w:rsidRPr="00A521DC" w:rsidRDefault="00A82880" w:rsidP="00A82880">
      <w:pPr>
        <w:pStyle w:val="ListParagraph"/>
        <w:spacing w:after="0" w:line="240" w:lineRule="auto"/>
        <w:ind w:left="1077"/>
        <w:jc w:val="center"/>
        <w:rPr>
          <w:rFonts w:cs="Times New Roman"/>
          <w:b/>
          <w:bCs/>
          <w:szCs w:val="24"/>
        </w:rPr>
      </w:pPr>
    </w:p>
    <w:p w14:paraId="44BAF190" w14:textId="77777777" w:rsidR="00A82880" w:rsidRPr="00577BF3" w:rsidRDefault="00A82880" w:rsidP="00A82880">
      <w:pPr>
        <w:spacing w:after="0" w:line="240" w:lineRule="auto"/>
        <w:ind w:firstLine="720"/>
        <w:jc w:val="both"/>
        <w:rPr>
          <w:rFonts w:cs="Times New Roman"/>
          <w:szCs w:val="24"/>
        </w:rPr>
      </w:pPr>
      <w:r w:rsidRPr="00577BF3">
        <w:rPr>
          <w:rFonts w:cs="Times New Roman"/>
          <w:szCs w:val="24"/>
        </w:rPr>
        <w:t xml:space="preserve">Saskaņā ar ģenerālprokurora pavēli Nr. 4 “Par prokuratūras struktūru un štatiem, tiesu apgabalu prokuratūru un rajonu (pilsētu) prokuratūru darbības teritoriju” </w:t>
      </w:r>
      <w:r>
        <w:rPr>
          <w:rFonts w:cs="Times New Roman"/>
          <w:szCs w:val="24"/>
        </w:rPr>
        <w:t xml:space="preserve">2020. gada 28. oktobra redakcijā </w:t>
      </w:r>
      <w:r w:rsidRPr="00577BF3">
        <w:rPr>
          <w:rFonts w:cs="Times New Roman"/>
          <w:szCs w:val="24"/>
        </w:rPr>
        <w:t>Ģenerālprokuratūras Īpaši pilnvarotu prokuroru nodaļa 2020. gadā darbojās un 2021. gadā turpinās darboties pie šāda prokurora amata vietu sadalījuma – 7 prokurora amata vietas (1 virsprokurora štata vieta un 6 prokurora štata vietas).</w:t>
      </w:r>
    </w:p>
    <w:p w14:paraId="52D1F229" w14:textId="77777777" w:rsidR="00A82880" w:rsidRPr="00577BF3" w:rsidRDefault="00A82880" w:rsidP="00A82880">
      <w:pPr>
        <w:spacing w:after="0" w:line="240" w:lineRule="auto"/>
        <w:ind w:firstLine="720"/>
        <w:jc w:val="both"/>
        <w:rPr>
          <w:rFonts w:cs="Times New Roman"/>
          <w:szCs w:val="24"/>
        </w:rPr>
      </w:pPr>
    </w:p>
    <w:p w14:paraId="5B43E85C" w14:textId="77777777" w:rsidR="00A82880" w:rsidRPr="00577BF3" w:rsidRDefault="00A82880" w:rsidP="00A82880">
      <w:pPr>
        <w:spacing w:after="0" w:line="240" w:lineRule="auto"/>
        <w:ind w:firstLine="720"/>
        <w:jc w:val="center"/>
        <w:rPr>
          <w:rFonts w:cs="Times New Roman"/>
          <w:b/>
          <w:bCs/>
          <w:sz w:val="28"/>
          <w:szCs w:val="28"/>
        </w:rPr>
      </w:pPr>
      <w:r w:rsidRPr="00577BF3">
        <w:rPr>
          <w:rFonts w:cs="Times New Roman"/>
          <w:b/>
          <w:bCs/>
          <w:sz w:val="28"/>
          <w:szCs w:val="28"/>
        </w:rPr>
        <w:t>II. Īpaši pilnvarotu</w:t>
      </w:r>
      <w:r w:rsidRPr="00577BF3">
        <w:rPr>
          <w:rFonts w:cs="Times New Roman"/>
          <w:szCs w:val="24"/>
        </w:rPr>
        <w:t xml:space="preserve"> </w:t>
      </w:r>
      <w:r w:rsidRPr="00577BF3">
        <w:rPr>
          <w:rFonts w:cs="Times New Roman"/>
          <w:b/>
          <w:bCs/>
          <w:sz w:val="28"/>
          <w:szCs w:val="28"/>
        </w:rPr>
        <w:t>prokuroru nodaļas darba rādītāji</w:t>
      </w:r>
    </w:p>
    <w:p w14:paraId="5735E69D" w14:textId="77777777" w:rsidR="00A82880" w:rsidRPr="00577BF3" w:rsidRDefault="00A82880" w:rsidP="00A82880">
      <w:pPr>
        <w:spacing w:after="0" w:line="240" w:lineRule="auto"/>
        <w:jc w:val="both"/>
        <w:rPr>
          <w:rFonts w:cs="Times New Roman"/>
          <w:szCs w:val="24"/>
        </w:rPr>
      </w:pPr>
    </w:p>
    <w:p w14:paraId="49DD0308" w14:textId="77777777" w:rsidR="00A82880" w:rsidRDefault="00A82880" w:rsidP="00A82880">
      <w:pPr>
        <w:spacing w:after="0" w:line="240" w:lineRule="auto"/>
        <w:jc w:val="both"/>
        <w:rPr>
          <w:rFonts w:cs="Times New Roman"/>
          <w:b/>
          <w:bCs/>
          <w:szCs w:val="24"/>
        </w:rPr>
      </w:pPr>
      <w:r w:rsidRPr="00577BF3">
        <w:rPr>
          <w:rFonts w:cs="Times New Roman"/>
          <w:b/>
          <w:bCs/>
          <w:szCs w:val="24"/>
        </w:rPr>
        <w:t>[1] Iesniegumu, sūdzību un ierosinājumu izskatīšana</w:t>
      </w:r>
    </w:p>
    <w:p w14:paraId="3ECA1642" w14:textId="77777777" w:rsidR="00A82880" w:rsidRPr="00577BF3" w:rsidRDefault="00A82880" w:rsidP="00A82880">
      <w:pPr>
        <w:spacing w:after="0" w:line="240" w:lineRule="auto"/>
        <w:jc w:val="both"/>
        <w:rPr>
          <w:rFonts w:cs="Times New Roman"/>
          <w:i/>
          <w:iCs/>
          <w:szCs w:val="24"/>
        </w:rPr>
      </w:pPr>
    </w:p>
    <w:p w14:paraId="69C4BF56" w14:textId="77777777" w:rsidR="00A82880" w:rsidRPr="00577BF3" w:rsidRDefault="00A82880" w:rsidP="00A82880">
      <w:pPr>
        <w:spacing w:after="0" w:line="240" w:lineRule="auto"/>
        <w:ind w:firstLine="720"/>
        <w:jc w:val="both"/>
        <w:rPr>
          <w:rFonts w:cs="Times New Roman"/>
          <w:szCs w:val="24"/>
        </w:rPr>
      </w:pPr>
      <w:r w:rsidRPr="00577BF3">
        <w:rPr>
          <w:rFonts w:cs="Times New Roman"/>
          <w:szCs w:val="24"/>
        </w:rPr>
        <w:t>2020. gadā uzsāktas 500 pārbaudes lietas sakarā ar saņemtajiem iesniegumiem (sūdzībām) un ierosinājumiem nodaļas kompetencē esošajos jautājumos, kas ir par 45 % (155) vairāk nekā iepriekšējā gadā, proti:</w:t>
      </w:r>
    </w:p>
    <w:p w14:paraId="3BED2C85"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Saskaņā ar Noziedzīgi iegūtu līdzekļu legalizācijas un terorisma un proliferācijas finansēšanas novēršanas likuma 34. pantu izskatītas 352 sūdzības par Finanšu izlūkošanas dienesta izdotajiem rīkojumiem.</w:t>
      </w:r>
    </w:p>
    <w:p w14:paraId="14D1C1D6"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Saskaņā ar Operatīvās darbības likuma 5., 36.– 38. pantu, Valsts drošības iestāžu likuma 6. un 26. pantu izskatīta 31 sūdzība par operatīvās darbības subjektu amatpersonu, tai skaitā valsts drošības iestāžu amatpersonu rīcību.</w:t>
      </w:r>
    </w:p>
    <w:p w14:paraId="4E05E836"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Izskatīti 62 iesniegumi par soda samazināšanas iespējamību notiesātajām personām sakarā ar palīdzību citu personu izdarītu noziegumu atklāšanā (Kriminālprocesa likuma 642. pants), 18 reizes ģenerālprokurora iesniegumi par soda samazināšanu izņēmuma gadījumā uzturēti tiesā.</w:t>
      </w:r>
    </w:p>
    <w:p w14:paraId="53AA45AB"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Izskatīti 6 personu un/vai izmeklēšanas iestāžu iesniegtie materiāli par kriminālprocesa izbeigšanu pret personu, kura būtiski palīdzējusi atklāt smagu vai sevišķi smagu noziegumu (Kriminālprocesa likuma 410. pants), vienā gadījumā, kad par ģenerālprokurora lēmumu bija iesniegta sūdzība Augstākajā tiesā, tas atstāts negrozīts.</w:t>
      </w:r>
    </w:p>
    <w:p w14:paraId="463F9A18"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Izskatīti 9 procesa virzītāja rakstveida ierosinājumi Kriminālprocesa likuma 17. nodaļas kārtībā par liecinošo personu speciālās procesuālās aizsardzības noteikšanu, 2 gadījumos pārbaudes veiktas sakarā ar tiesas uzdevumu. Sagatavoti 3 atzinumi ģenerālprokuroram lēmuma par personas speciālās aizsardzības izbeigšanu pieņemšanai.</w:t>
      </w:r>
    </w:p>
    <w:p w14:paraId="110776EB"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Saskaņā ar Personu speciālās aizsardzības likuma 18.</w:t>
      </w:r>
      <w:r w:rsidRPr="00C205E2">
        <w:rPr>
          <w:rFonts w:cs="Times New Roman"/>
          <w:szCs w:val="24"/>
          <w:vertAlign w:val="superscript"/>
        </w:rPr>
        <w:t>1</w:t>
      </w:r>
      <w:r w:rsidRPr="00C205E2">
        <w:rPr>
          <w:rFonts w:cs="Times New Roman"/>
          <w:szCs w:val="24"/>
        </w:rPr>
        <w:t> panta otro daļu izskatītas 3 personu vairākas sūdzības par speciālās aizsardzības iestādes amatpersonu rīcību, veicot speciālo aizsardzību.</w:t>
      </w:r>
    </w:p>
    <w:p w14:paraId="6669D3EF"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 xml:space="preserve">Atbilstoši likuma “Par valsts noslēpumu” 16. panta pirmajai daļai izskatītas 7 sūdzības par valsts drošības iestāžu lēmumiem sakarā ar atteikumu izsniegt speciālo atļauju pieejai valsts noslēpumam vai speciālās atļaujas kategorijas pazemināšanu, 2 gadījumos sūdzības apmierinātas un lēmums atcelts. Administratīvajā apgabaltiesā nodaļas prokurori 8 lietās piedalījušies sakarā ar ģenerālprokurora lēmuma pārsūdzēšanu. </w:t>
      </w:r>
    </w:p>
    <w:p w14:paraId="04F46B5E"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Atbilstoši likuma “Par valsts noslēpumu” 7. panta piektajai daļai izskatītas 2 sūdzības par Satversmes aizsardzības biroja direktora lēmumu par atteikumu izsniegt industriālās drošības sertifikātu vai par tā anulēšanu, vienā gadījumā ģenerālprokurora lēmums pārsūdzēts Administratīvajā apgabaltiesā.</w:t>
      </w:r>
    </w:p>
    <w:p w14:paraId="2FC7AC12"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 xml:space="preserve">Izskatītas 2 sūdzības un sagatavoti atzinumi ģenerālprokuroram lēmuma pieņemšanai Imigrācijas likuma 61. pantā noteiktajā kārtībā par Latvijas Republikas iekšlietu </w:t>
      </w:r>
      <w:r w:rsidRPr="00C205E2">
        <w:rPr>
          <w:rFonts w:cs="Times New Roman"/>
          <w:szCs w:val="24"/>
        </w:rPr>
        <w:lastRenderedPageBreak/>
        <w:t>ministra lēmumu “Par ārzemnieka iekļaušanu to ārzemnieku sarakstā, kuriem ieceļošana Latvijas Republikā aizliegta”.</w:t>
      </w:r>
    </w:p>
    <w:p w14:paraId="1A210DDA" w14:textId="77777777" w:rsidR="00A82880" w:rsidRPr="00C205E2" w:rsidRDefault="00A82880" w:rsidP="00E329FC">
      <w:pPr>
        <w:pStyle w:val="ListParagraph"/>
        <w:numPr>
          <w:ilvl w:val="0"/>
          <w:numId w:val="9"/>
        </w:numPr>
        <w:spacing w:after="0" w:line="240" w:lineRule="auto"/>
        <w:jc w:val="both"/>
        <w:rPr>
          <w:rFonts w:cs="Times New Roman"/>
          <w:szCs w:val="24"/>
        </w:rPr>
      </w:pPr>
      <w:r w:rsidRPr="00C205E2">
        <w:rPr>
          <w:rFonts w:cs="Times New Roman"/>
          <w:szCs w:val="24"/>
        </w:rPr>
        <w:t>Izskatītas 4 sūdzības par Valsts drošības dienesta pieņemtajiem lēmumiem par atteikšanos uzsākt kriminālprocesu, 2 gadījumos sūdzības apmierinātas un lēmums atcelts.</w:t>
      </w:r>
    </w:p>
    <w:p w14:paraId="011D1979" w14:textId="77777777" w:rsidR="00A82880" w:rsidRPr="00577BF3" w:rsidRDefault="00A82880" w:rsidP="00A82880">
      <w:pPr>
        <w:spacing w:after="0" w:line="240" w:lineRule="auto"/>
        <w:jc w:val="both"/>
        <w:rPr>
          <w:rFonts w:cs="Times New Roman"/>
          <w:b/>
          <w:bCs/>
          <w:szCs w:val="24"/>
        </w:rPr>
      </w:pPr>
    </w:p>
    <w:p w14:paraId="5466F00D" w14:textId="77777777" w:rsidR="00A82880" w:rsidRDefault="00A82880" w:rsidP="00A82880">
      <w:pPr>
        <w:spacing w:after="0" w:line="240" w:lineRule="auto"/>
        <w:jc w:val="both"/>
        <w:rPr>
          <w:rFonts w:cs="Times New Roman"/>
          <w:b/>
          <w:bCs/>
          <w:szCs w:val="24"/>
        </w:rPr>
      </w:pPr>
      <w:r w:rsidRPr="00577BF3">
        <w:rPr>
          <w:rFonts w:cs="Times New Roman"/>
          <w:b/>
          <w:bCs/>
          <w:szCs w:val="24"/>
        </w:rPr>
        <w:t>[2] Uzraudzība pār operatīvās darbības atbilstību likumiem, tai skaitā pār valsts drošības iestāžu operatīvās darbības, izlūkošanas un pretizlūkošanas procesiem</w:t>
      </w:r>
    </w:p>
    <w:p w14:paraId="0C140C4D" w14:textId="77777777" w:rsidR="00A82880" w:rsidRPr="00577BF3" w:rsidRDefault="00A82880" w:rsidP="00A82880">
      <w:pPr>
        <w:spacing w:after="0" w:line="240" w:lineRule="auto"/>
        <w:jc w:val="both"/>
        <w:rPr>
          <w:rFonts w:cs="Times New Roman"/>
          <w:b/>
          <w:bCs/>
          <w:szCs w:val="24"/>
        </w:rPr>
      </w:pPr>
    </w:p>
    <w:p w14:paraId="7828A249" w14:textId="77777777" w:rsidR="00A82880" w:rsidRPr="00577BF3" w:rsidRDefault="00A82880" w:rsidP="00E329FC">
      <w:pPr>
        <w:pStyle w:val="ListParagraph"/>
        <w:numPr>
          <w:ilvl w:val="0"/>
          <w:numId w:val="10"/>
        </w:numPr>
        <w:spacing w:after="0" w:line="240" w:lineRule="auto"/>
        <w:jc w:val="both"/>
        <w:rPr>
          <w:rFonts w:cs="Times New Roman"/>
          <w:b/>
          <w:bCs/>
          <w:szCs w:val="24"/>
        </w:rPr>
      </w:pPr>
      <w:r w:rsidRPr="00577BF3">
        <w:rPr>
          <w:rFonts w:cs="Times New Roman"/>
          <w:szCs w:val="24"/>
        </w:rPr>
        <w:t xml:space="preserve">Izvērtēti </w:t>
      </w:r>
      <w:r w:rsidRPr="00C205E2">
        <w:rPr>
          <w:rFonts w:cs="Times New Roman"/>
          <w:szCs w:val="24"/>
        </w:rPr>
        <w:t>143 </w:t>
      </w:r>
      <w:r w:rsidRPr="00577BF3">
        <w:rPr>
          <w:rFonts w:cs="Times New Roman"/>
          <w:szCs w:val="24"/>
        </w:rPr>
        <w:t>operatīvās darbības subjektu amatpersonu pieņemtie lēmumi Operatīvās darbības likuma 15. panta trešās daļas, 15.</w:t>
      </w:r>
      <w:r w:rsidRPr="00577BF3">
        <w:rPr>
          <w:rFonts w:cs="Times New Roman"/>
          <w:szCs w:val="24"/>
          <w:vertAlign w:val="superscript"/>
        </w:rPr>
        <w:t>1</w:t>
      </w:r>
      <w:r w:rsidRPr="00577BF3">
        <w:rPr>
          <w:rFonts w:cs="Times New Roman"/>
          <w:szCs w:val="24"/>
        </w:rPr>
        <w:t> panta ceturtās daļas un 16. panta trešās daļas kārtībā (operatīvais eksperiments, kontrolētā piegāde, operatīvā detektīvdarbība).</w:t>
      </w:r>
    </w:p>
    <w:p w14:paraId="49E6D330" w14:textId="77777777" w:rsidR="00A82880" w:rsidRPr="00577BF3" w:rsidRDefault="00A82880" w:rsidP="00A82880">
      <w:pPr>
        <w:spacing w:after="0" w:line="240" w:lineRule="auto"/>
        <w:jc w:val="both"/>
        <w:rPr>
          <w:rFonts w:cs="Times New Roman"/>
          <w:b/>
          <w:bCs/>
          <w:szCs w:val="24"/>
        </w:rPr>
      </w:pPr>
    </w:p>
    <w:p w14:paraId="3740BE44" w14:textId="77777777" w:rsidR="00A82880" w:rsidRPr="00577BF3" w:rsidRDefault="00A82880" w:rsidP="00A82880">
      <w:pPr>
        <w:spacing w:after="0" w:line="240" w:lineRule="auto"/>
        <w:jc w:val="both"/>
        <w:rPr>
          <w:rFonts w:cs="Times New Roman"/>
          <w:i/>
          <w:iCs/>
          <w:szCs w:val="24"/>
        </w:rPr>
      </w:pPr>
      <w:r w:rsidRPr="00577BF3">
        <w:rPr>
          <w:rFonts w:cs="Times New Roman"/>
          <w:i/>
          <w:iCs/>
          <w:szCs w:val="24"/>
        </w:rPr>
        <w:t>Diagramma par īpaši pilnvarotu prokuroru izskatītajiem amatpersonu lēmumiem par operatīvās darbības pasākumiem</w:t>
      </w:r>
    </w:p>
    <w:p w14:paraId="49D00AC6" w14:textId="77777777" w:rsidR="00A82880" w:rsidRDefault="00A82880" w:rsidP="00A82880">
      <w:pPr>
        <w:spacing w:after="0" w:line="240" w:lineRule="auto"/>
        <w:jc w:val="both"/>
        <w:rPr>
          <w:rFonts w:cs="Times New Roman"/>
          <w:szCs w:val="24"/>
        </w:rPr>
      </w:pPr>
    </w:p>
    <w:p w14:paraId="4D3A2020" w14:textId="77777777" w:rsidR="00A82880" w:rsidRPr="00577BF3" w:rsidRDefault="00A82880" w:rsidP="00A82880">
      <w:pPr>
        <w:spacing w:after="0" w:line="240" w:lineRule="auto"/>
        <w:jc w:val="center"/>
        <w:rPr>
          <w:rFonts w:cs="Times New Roman"/>
          <w:szCs w:val="24"/>
        </w:rPr>
      </w:pPr>
      <w:r>
        <w:rPr>
          <w:noProof/>
        </w:rPr>
        <w:drawing>
          <wp:inline distT="0" distB="0" distL="0" distR="0" wp14:anchorId="20C4E0A0" wp14:editId="6A69845D">
            <wp:extent cx="4718685" cy="4368800"/>
            <wp:effectExtent l="0" t="0" r="5715" b="12700"/>
            <wp:docPr id="49" name="Chart 49">
              <a:extLst xmlns:a="http://schemas.openxmlformats.org/drawingml/2006/main">
                <a:ext uri="{FF2B5EF4-FFF2-40B4-BE49-F238E27FC236}">
                  <a16:creationId xmlns:a16="http://schemas.microsoft.com/office/drawing/2014/main" id="{E57CE5C7-B2FA-4FE8-AF88-5D6C33D29B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49EF4F6E" w14:textId="77777777" w:rsidR="00A82880" w:rsidRPr="00577BF3" w:rsidRDefault="00A82880" w:rsidP="00A82880">
      <w:pPr>
        <w:spacing w:after="0" w:line="240" w:lineRule="auto"/>
        <w:jc w:val="both"/>
        <w:rPr>
          <w:rFonts w:cs="Times New Roman"/>
          <w:szCs w:val="24"/>
        </w:rPr>
      </w:pPr>
    </w:p>
    <w:p w14:paraId="7CC706B3" w14:textId="77777777" w:rsidR="00A82880" w:rsidRPr="00C205E2" w:rsidRDefault="00A82880" w:rsidP="00E329FC">
      <w:pPr>
        <w:pStyle w:val="ListParagraph"/>
        <w:numPr>
          <w:ilvl w:val="0"/>
          <w:numId w:val="10"/>
        </w:numPr>
        <w:spacing w:after="0" w:line="240" w:lineRule="auto"/>
        <w:jc w:val="both"/>
        <w:rPr>
          <w:rFonts w:cs="Times New Roman"/>
          <w:szCs w:val="24"/>
        </w:rPr>
      </w:pPr>
      <w:r w:rsidRPr="00577BF3">
        <w:rPr>
          <w:rFonts w:cs="Times New Roman"/>
          <w:szCs w:val="24"/>
        </w:rPr>
        <w:t xml:space="preserve">Saskaņā ar Operatīvās darbības likuma 22. panta piekto daļu </w:t>
      </w:r>
      <w:r w:rsidRPr="00C205E2">
        <w:rPr>
          <w:rFonts w:cs="Times New Roman"/>
          <w:szCs w:val="24"/>
        </w:rPr>
        <w:t xml:space="preserve">143 operatīvās izstrādes lietās izlemts jautājums par lietvedības termiņa pagarināšanu. </w:t>
      </w:r>
    </w:p>
    <w:p w14:paraId="7A58F5C3" w14:textId="77777777" w:rsidR="00A82880" w:rsidRPr="00577BF3" w:rsidRDefault="00A82880" w:rsidP="00E329FC">
      <w:pPr>
        <w:pStyle w:val="ListParagraph"/>
        <w:numPr>
          <w:ilvl w:val="0"/>
          <w:numId w:val="10"/>
        </w:numPr>
        <w:spacing w:after="0" w:line="240" w:lineRule="auto"/>
        <w:jc w:val="both"/>
        <w:rPr>
          <w:rFonts w:cs="Times New Roman"/>
          <w:b/>
          <w:bCs/>
          <w:szCs w:val="24"/>
        </w:rPr>
      </w:pPr>
      <w:r w:rsidRPr="00C205E2">
        <w:rPr>
          <w:rFonts w:cs="Times New Roman"/>
          <w:szCs w:val="24"/>
        </w:rPr>
        <w:t>Veiktas 40 operatīvās uzskaites lietu pārbaudes atbilstoši Operatīvās</w:t>
      </w:r>
      <w:r w:rsidRPr="00577BF3">
        <w:rPr>
          <w:rFonts w:cs="Times New Roman"/>
          <w:szCs w:val="24"/>
        </w:rPr>
        <w:t xml:space="preserve"> darbības likuma 23.</w:t>
      </w:r>
      <w:r w:rsidRPr="00577BF3">
        <w:rPr>
          <w:rFonts w:cs="Times New Roman"/>
          <w:szCs w:val="24"/>
          <w:vertAlign w:val="superscript"/>
        </w:rPr>
        <w:t>2</w:t>
      </w:r>
      <w:r w:rsidRPr="00577BF3">
        <w:rPr>
          <w:rFonts w:cs="Times New Roman"/>
          <w:szCs w:val="24"/>
        </w:rPr>
        <w:t> panta trešajai un ceturtajai daļai, izvērtējot, vai atkāpšanās no tiesneša akcepta būtiski aizskāra personas pamattiesības.</w:t>
      </w:r>
    </w:p>
    <w:p w14:paraId="22C88FA8" w14:textId="77777777" w:rsidR="00CA4C5C" w:rsidRPr="00CA4C5C" w:rsidRDefault="00A82880" w:rsidP="00E329FC">
      <w:pPr>
        <w:pStyle w:val="ListParagraph"/>
        <w:numPr>
          <w:ilvl w:val="0"/>
          <w:numId w:val="10"/>
        </w:numPr>
        <w:spacing w:after="0" w:line="240" w:lineRule="auto"/>
        <w:jc w:val="both"/>
        <w:rPr>
          <w:rFonts w:cs="Times New Roman"/>
          <w:b/>
          <w:bCs/>
          <w:szCs w:val="24"/>
        </w:rPr>
      </w:pPr>
      <w:r w:rsidRPr="00CA4C5C">
        <w:rPr>
          <w:rFonts w:cs="Times New Roman"/>
          <w:szCs w:val="24"/>
        </w:rPr>
        <w:t>Saskaņā ar Operatīvās darbības likuma 3. panta otro daļu izvērtēti operatīvās darbības subjektu – Valsts policijas, Korupcijas novēršanas un apkarošanas biroja, Ieslodzījumu vietu pārvaldes, Valsts ieņēmumu dienesta Nodokļu un muitas policijas pārvaldes un Iekšējās drošības pārvaldes – izdotie iekšējie normatīvie akti par operatīvās darbības organizāciju, metodēm, taktiku, līdzekļiem un uzskaiti.</w:t>
      </w:r>
    </w:p>
    <w:p w14:paraId="459489BE" w14:textId="28716F53" w:rsidR="00A82880" w:rsidRPr="00CA4C5C" w:rsidRDefault="00A82880" w:rsidP="00E329FC">
      <w:pPr>
        <w:pStyle w:val="ListParagraph"/>
        <w:numPr>
          <w:ilvl w:val="0"/>
          <w:numId w:val="10"/>
        </w:numPr>
        <w:spacing w:after="0" w:line="240" w:lineRule="auto"/>
        <w:jc w:val="both"/>
        <w:rPr>
          <w:rFonts w:cs="Times New Roman"/>
          <w:b/>
          <w:bCs/>
          <w:szCs w:val="24"/>
        </w:rPr>
      </w:pPr>
      <w:r w:rsidRPr="00CA4C5C">
        <w:rPr>
          <w:rFonts w:cs="Times New Roman"/>
          <w:szCs w:val="24"/>
        </w:rPr>
        <w:lastRenderedPageBreak/>
        <w:t>Atbilstoši Operatīvās darbības likuma 24.</w:t>
      </w:r>
      <w:r w:rsidRPr="00CA4C5C">
        <w:rPr>
          <w:rFonts w:cs="Times New Roman"/>
          <w:szCs w:val="24"/>
          <w:vertAlign w:val="superscript"/>
        </w:rPr>
        <w:t>2</w:t>
      </w:r>
      <w:r w:rsidRPr="00CA4C5C">
        <w:rPr>
          <w:rFonts w:cs="Times New Roman"/>
          <w:szCs w:val="24"/>
        </w:rPr>
        <w:t xml:space="preserve"> panta otrajai daļai izvērtēti operatīvās darbības subjektu – Valsts policijas, </w:t>
      </w:r>
      <w:bookmarkStart w:id="81" w:name="_Hlk62653074"/>
      <w:r w:rsidRPr="00CA4C5C">
        <w:rPr>
          <w:rFonts w:cs="Times New Roman"/>
          <w:szCs w:val="24"/>
        </w:rPr>
        <w:t>Korupcijas novēršanas un apkarošanas biroja</w:t>
      </w:r>
      <w:bookmarkEnd w:id="81"/>
      <w:r w:rsidRPr="00CA4C5C">
        <w:rPr>
          <w:rFonts w:cs="Times New Roman"/>
          <w:szCs w:val="24"/>
        </w:rPr>
        <w:t xml:space="preserve">,  Valsts ieņēmumu dienesta Nodokļu un muitas policijas pārvaldes, Valsts drošības dienesta un Militārās policijas – iesniegtie </w:t>
      </w:r>
      <w:r w:rsidRPr="00C205E2">
        <w:rPr>
          <w:rFonts w:cs="Times New Roman"/>
          <w:szCs w:val="24"/>
        </w:rPr>
        <w:t>10</w:t>
      </w:r>
      <w:r w:rsidRPr="00CA4C5C">
        <w:rPr>
          <w:rFonts w:cs="Times New Roman"/>
          <w:szCs w:val="24"/>
        </w:rPr>
        <w:t xml:space="preserve"> akti par operatīvās uzskaites lietu iznīcināšanu. </w:t>
      </w:r>
      <w:bookmarkStart w:id="82" w:name="_Hlk62804142"/>
    </w:p>
    <w:bookmarkEnd w:id="82"/>
    <w:p w14:paraId="6E751E61" w14:textId="77777777" w:rsidR="00A82880" w:rsidRPr="00577BF3" w:rsidRDefault="00A82880" w:rsidP="00E329FC">
      <w:pPr>
        <w:pStyle w:val="ListParagraph"/>
        <w:numPr>
          <w:ilvl w:val="0"/>
          <w:numId w:val="10"/>
        </w:numPr>
        <w:spacing w:after="0" w:line="240" w:lineRule="auto"/>
        <w:jc w:val="both"/>
        <w:rPr>
          <w:rFonts w:cs="Times New Roman"/>
          <w:b/>
          <w:bCs/>
          <w:szCs w:val="24"/>
        </w:rPr>
      </w:pPr>
      <w:r w:rsidRPr="00577BF3">
        <w:rPr>
          <w:rFonts w:cs="Times New Roman"/>
          <w:szCs w:val="24"/>
        </w:rPr>
        <w:t xml:space="preserve">Atbilstoši Valsts drošības iestāžu likuma 26. panta trešajai daļai, saskaņojot ar </w:t>
      </w:r>
      <w:bookmarkStart w:id="83" w:name="_Hlk62648404"/>
      <w:r w:rsidRPr="00577BF3">
        <w:rPr>
          <w:rFonts w:cs="Times New Roman"/>
          <w:szCs w:val="24"/>
        </w:rPr>
        <w:t>Saeimas Nacionālās drošības komisiju</w:t>
      </w:r>
      <w:bookmarkEnd w:id="83"/>
      <w:r w:rsidRPr="00577BF3">
        <w:rPr>
          <w:rFonts w:cs="Times New Roman"/>
          <w:szCs w:val="24"/>
        </w:rPr>
        <w:t>, veikta pārbaude Valsts drošības dienestā par operatīvās tehnikas, kas paredzēta pretizlūkošanas un operatīvās darbības pasākumu veikšanai, uzskaites atbilstību normatīvo aktu prasībām. Par pārbaudes rezultātiem iesniegts ziņojums Saeimas Nacionālās drošības komisijai.</w:t>
      </w:r>
    </w:p>
    <w:p w14:paraId="1E1B5FB5" w14:textId="77777777" w:rsidR="00A82880" w:rsidRPr="00577BF3" w:rsidRDefault="00A82880" w:rsidP="00A82880">
      <w:pPr>
        <w:pStyle w:val="ListParagraph"/>
        <w:spacing w:after="0" w:line="240" w:lineRule="auto"/>
        <w:jc w:val="both"/>
        <w:rPr>
          <w:rFonts w:cs="Times New Roman"/>
          <w:b/>
          <w:bCs/>
          <w:szCs w:val="24"/>
        </w:rPr>
      </w:pPr>
    </w:p>
    <w:p w14:paraId="1B336EF5" w14:textId="77777777" w:rsidR="00A82880" w:rsidRDefault="00A82880" w:rsidP="00A82880">
      <w:pPr>
        <w:spacing w:after="0" w:line="240" w:lineRule="auto"/>
        <w:jc w:val="both"/>
        <w:rPr>
          <w:rFonts w:cs="Times New Roman"/>
          <w:b/>
          <w:bCs/>
          <w:szCs w:val="24"/>
        </w:rPr>
      </w:pPr>
      <w:r w:rsidRPr="00577BF3">
        <w:rPr>
          <w:rFonts w:cs="Times New Roman"/>
          <w:b/>
          <w:bCs/>
          <w:szCs w:val="24"/>
        </w:rPr>
        <w:t>[3] Likumdošanas pilnveidošana, atzinumu sniegšana par normatīvo aktu un metodisko materiālu projektiem</w:t>
      </w:r>
    </w:p>
    <w:p w14:paraId="1F347C6E" w14:textId="77777777" w:rsidR="00A82880" w:rsidRPr="00577BF3" w:rsidRDefault="00A82880" w:rsidP="00A82880">
      <w:pPr>
        <w:spacing w:after="0" w:line="240" w:lineRule="auto"/>
        <w:jc w:val="both"/>
        <w:rPr>
          <w:rFonts w:cs="Times New Roman"/>
          <w:b/>
          <w:bCs/>
          <w:szCs w:val="24"/>
        </w:rPr>
      </w:pPr>
    </w:p>
    <w:p w14:paraId="3B96501E" w14:textId="77777777" w:rsidR="00A82880" w:rsidRPr="00577BF3" w:rsidRDefault="00A82880" w:rsidP="00E329FC">
      <w:pPr>
        <w:pStyle w:val="ListParagraph"/>
        <w:numPr>
          <w:ilvl w:val="0"/>
          <w:numId w:val="11"/>
        </w:numPr>
        <w:spacing w:after="0" w:line="240" w:lineRule="auto"/>
        <w:jc w:val="both"/>
        <w:rPr>
          <w:rFonts w:cs="Times New Roman"/>
          <w:b/>
          <w:bCs/>
          <w:szCs w:val="24"/>
        </w:rPr>
      </w:pPr>
      <w:r w:rsidRPr="00577BF3">
        <w:rPr>
          <w:rFonts w:cs="Times New Roman"/>
          <w:szCs w:val="24"/>
        </w:rPr>
        <w:t>Pēc Ģenerālprokuratūras Darbības analīzes un vadības departamenta Metodikas nodaļas lūguma izvērtēti un sniegti iebildumi/priekšlikumi kopējā Ģenerālprokuratūras atzinuma sagatavošanai par šādu normatīvo aktu projektiem:</w:t>
      </w:r>
    </w:p>
    <w:p w14:paraId="108C65AB"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likumprojektu “Grozījumi Imigrācijas likumā’’;</w:t>
      </w:r>
    </w:p>
    <w:p w14:paraId="752511A2"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likumprojektu “Imigrācijas likums” un tā anotāciju;</w:t>
      </w:r>
    </w:p>
    <w:p w14:paraId="2A225CC1"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likumprojektu “Grozījumi Gaisa kuģu pasažieru datu apstrādes likumā”;</w:t>
      </w:r>
    </w:p>
    <w:p w14:paraId="034D16FB"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Ministru kabineta noteikumu projektu “Veselības pārbaudes kārtība personām, kuras pretendē uz speciālo atļauju pieejai valsts noslēpumam” un tā anotāciju;</w:t>
      </w:r>
    </w:p>
    <w:p w14:paraId="3F775DDF"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Ministru kabineta rīkojuma projektu “Par Valsts policijas apsargājamajiem objektiem”.</w:t>
      </w:r>
    </w:p>
    <w:p w14:paraId="615900D0" w14:textId="77777777" w:rsidR="00A82880" w:rsidRPr="00577BF3" w:rsidRDefault="00A82880" w:rsidP="00E329FC">
      <w:pPr>
        <w:pStyle w:val="ListParagraph"/>
        <w:numPr>
          <w:ilvl w:val="0"/>
          <w:numId w:val="11"/>
        </w:numPr>
        <w:spacing w:after="0" w:line="240" w:lineRule="auto"/>
        <w:jc w:val="both"/>
        <w:rPr>
          <w:rFonts w:cs="Times New Roman"/>
          <w:b/>
          <w:bCs/>
          <w:szCs w:val="24"/>
        </w:rPr>
      </w:pPr>
      <w:r w:rsidRPr="00577BF3">
        <w:rPr>
          <w:rFonts w:cs="Times New Roman"/>
          <w:szCs w:val="24"/>
        </w:rPr>
        <w:t>Pēc savas iniciatīvas sagatavoti priekšlikumi likumdošanas pilnveidošanas jautājumos:</w:t>
      </w:r>
    </w:p>
    <w:p w14:paraId="2E812360"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par nepieciešamajiem grozījumiem Operatīvās darbības likumā;</w:t>
      </w:r>
    </w:p>
    <w:p w14:paraId="2B36DE5C"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par nepieciešamajiem grozījumiem Noziedzīgi iegūtu līdzekļu legalizācijas un terorisma un proliferācijas finansēšanas novēršanas likumā;</w:t>
      </w:r>
    </w:p>
    <w:p w14:paraId="72FD4A02"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sagatavots ziņojums par grozījumiem likumā ’’Par valsts noslēpumu”.</w:t>
      </w:r>
    </w:p>
    <w:p w14:paraId="7A0D1FB7" w14:textId="77777777" w:rsidR="00A82880" w:rsidRPr="00577BF3" w:rsidRDefault="00A82880" w:rsidP="00E329FC">
      <w:pPr>
        <w:pStyle w:val="ListParagraph"/>
        <w:numPr>
          <w:ilvl w:val="0"/>
          <w:numId w:val="11"/>
        </w:numPr>
        <w:spacing w:after="0" w:line="240" w:lineRule="auto"/>
        <w:jc w:val="both"/>
        <w:rPr>
          <w:rFonts w:cs="Times New Roman"/>
          <w:b/>
          <w:bCs/>
          <w:szCs w:val="24"/>
        </w:rPr>
      </w:pPr>
      <w:r w:rsidRPr="00577BF3">
        <w:rPr>
          <w:rFonts w:cs="Times New Roman"/>
          <w:szCs w:val="24"/>
        </w:rPr>
        <w:t>Izvērtēti un sniegti iebildumi/priekšlikumi Darbības analīzes un vadības departamenta Metodikas nodaļai kopējā Ģenerālprokuratūras atzinuma sagatavošanai par šādiem metodisko materiālu un vadlīniju projektiem:</w:t>
      </w:r>
    </w:p>
    <w:p w14:paraId="6486AC62"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Valsts policijas metodiskā materiāla “Speciālo izmeklēšanas darbību – vietas audiokontrole vai videokontrole, personas audiokontrole, personas novērošanas un izsekošanas, priekšmeta vai vietas novērošana – veikšana Valsts policijā” projektu;</w:t>
      </w:r>
    </w:p>
    <w:p w14:paraId="1D902404"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Valsts policijas mācību metodiskā materiāla “Speciālo izmeklēšanas darbību – korespondences kontrole, sakaru līdzekļu kontrole, automatizētās datu apstrādes sistēmā esošo datu kontrole, pārraidīto datu satura kontrole – veikšana Valsts policijā” projektu;</w:t>
      </w:r>
    </w:p>
    <w:p w14:paraId="3DC25CF5" w14:textId="77777777" w:rsidR="00A82880" w:rsidRPr="00577BF3" w:rsidRDefault="00A82880" w:rsidP="00E329FC">
      <w:pPr>
        <w:pStyle w:val="ListParagraph"/>
        <w:numPr>
          <w:ilvl w:val="1"/>
          <w:numId w:val="11"/>
        </w:numPr>
        <w:spacing w:after="0" w:line="240" w:lineRule="auto"/>
        <w:jc w:val="both"/>
        <w:rPr>
          <w:rFonts w:cs="Times New Roman"/>
          <w:b/>
          <w:bCs/>
          <w:szCs w:val="24"/>
        </w:rPr>
      </w:pPr>
      <w:r w:rsidRPr="00577BF3">
        <w:rPr>
          <w:rFonts w:cs="Times New Roman"/>
          <w:szCs w:val="24"/>
        </w:rPr>
        <w:t xml:space="preserve">Finanšu izlūkošanas dienesta vadlīniju “Finanšu izlūkošanas dienesta sadarbība ar operatīvās darbības subjektiem, izmeklēšanas iestādēm un prokuratūru” projektu. </w:t>
      </w:r>
    </w:p>
    <w:p w14:paraId="647502FC" w14:textId="77777777" w:rsidR="00A82880" w:rsidRPr="00577BF3" w:rsidRDefault="00A82880" w:rsidP="00A82880">
      <w:pPr>
        <w:spacing w:after="0" w:line="240" w:lineRule="auto"/>
        <w:jc w:val="both"/>
        <w:rPr>
          <w:rFonts w:cs="Times New Roman"/>
          <w:b/>
          <w:bCs/>
          <w:szCs w:val="24"/>
        </w:rPr>
      </w:pPr>
    </w:p>
    <w:p w14:paraId="78007188" w14:textId="77777777" w:rsidR="00A82880" w:rsidRDefault="00A82880" w:rsidP="00A82880">
      <w:pPr>
        <w:spacing w:after="0" w:line="240" w:lineRule="auto"/>
        <w:jc w:val="both"/>
        <w:rPr>
          <w:rFonts w:cs="Times New Roman"/>
          <w:b/>
          <w:bCs/>
          <w:szCs w:val="24"/>
        </w:rPr>
      </w:pPr>
      <w:r w:rsidRPr="00577BF3">
        <w:rPr>
          <w:rFonts w:cs="Times New Roman"/>
          <w:b/>
          <w:bCs/>
          <w:szCs w:val="24"/>
        </w:rPr>
        <w:t>[4] Uzraudzība pār valsts noslēpuma aizsardzības sistēmas atbilstību likumiem</w:t>
      </w:r>
    </w:p>
    <w:p w14:paraId="44107581" w14:textId="77777777" w:rsidR="00A82880" w:rsidRPr="00577BF3" w:rsidRDefault="00A82880" w:rsidP="00A82880">
      <w:pPr>
        <w:spacing w:after="0" w:line="240" w:lineRule="auto"/>
        <w:jc w:val="both"/>
        <w:rPr>
          <w:rFonts w:cs="Times New Roman"/>
          <w:b/>
          <w:bCs/>
          <w:szCs w:val="24"/>
        </w:rPr>
      </w:pPr>
    </w:p>
    <w:p w14:paraId="46789C85" w14:textId="77777777" w:rsidR="00A82880" w:rsidRPr="00577BF3" w:rsidRDefault="00A82880" w:rsidP="00E329FC">
      <w:pPr>
        <w:pStyle w:val="ListParagraph"/>
        <w:numPr>
          <w:ilvl w:val="0"/>
          <w:numId w:val="12"/>
        </w:numPr>
        <w:spacing w:after="0" w:line="240" w:lineRule="auto"/>
        <w:jc w:val="both"/>
        <w:rPr>
          <w:rFonts w:cs="Times New Roman"/>
          <w:b/>
          <w:bCs/>
          <w:szCs w:val="24"/>
        </w:rPr>
      </w:pPr>
      <w:r w:rsidRPr="00577BF3">
        <w:rPr>
          <w:rFonts w:cs="Times New Roman"/>
          <w:szCs w:val="24"/>
        </w:rPr>
        <w:t>Izvērtēts un sniegts atzinums par Valsts drošības iestāžu instrukciju “Pārbaudes veikšanas kārtība, izvērtējot personas atbilstību pieejai valsts noslēpuma objektiem”.</w:t>
      </w:r>
    </w:p>
    <w:p w14:paraId="1D10DCB1" w14:textId="3F25731A" w:rsidR="00A82880" w:rsidRPr="00215305" w:rsidRDefault="00A82880" w:rsidP="00E329FC">
      <w:pPr>
        <w:pStyle w:val="ListParagraph"/>
        <w:numPr>
          <w:ilvl w:val="0"/>
          <w:numId w:val="12"/>
        </w:numPr>
        <w:spacing w:after="0" w:line="240" w:lineRule="auto"/>
        <w:jc w:val="both"/>
        <w:rPr>
          <w:rFonts w:cs="Times New Roman"/>
          <w:b/>
          <w:bCs/>
          <w:szCs w:val="24"/>
        </w:rPr>
      </w:pPr>
      <w:r w:rsidRPr="00577BF3">
        <w:rPr>
          <w:rFonts w:cs="Times New Roman"/>
          <w:szCs w:val="24"/>
        </w:rPr>
        <w:t>Sagatavota un izsūtīta metodiskā vēstule par Valsts drošības iestāžu likuma normu piemērošanu, veicot personu pārbaudi atbilstībai likuma “Par valsts noslēpumu” prasībām.</w:t>
      </w:r>
    </w:p>
    <w:p w14:paraId="4735CE30" w14:textId="0C6E5586" w:rsidR="00B25D5D" w:rsidRDefault="00B25D5D">
      <w:pPr>
        <w:rPr>
          <w:rFonts w:cs="Times New Roman"/>
          <w:b/>
          <w:bCs/>
          <w:szCs w:val="24"/>
        </w:rPr>
      </w:pPr>
      <w:r>
        <w:rPr>
          <w:rFonts w:cs="Times New Roman"/>
          <w:b/>
          <w:bCs/>
          <w:szCs w:val="24"/>
        </w:rPr>
        <w:br w:type="page"/>
      </w:r>
    </w:p>
    <w:p w14:paraId="7633E6AB" w14:textId="77777777" w:rsidR="00A82880" w:rsidRDefault="00A82880" w:rsidP="00A82880">
      <w:pPr>
        <w:spacing w:after="0" w:line="240" w:lineRule="auto"/>
        <w:jc w:val="both"/>
        <w:rPr>
          <w:rFonts w:cs="Times New Roman"/>
          <w:b/>
          <w:bCs/>
          <w:szCs w:val="24"/>
        </w:rPr>
      </w:pPr>
      <w:r w:rsidRPr="00577BF3">
        <w:rPr>
          <w:rFonts w:cs="Times New Roman"/>
          <w:b/>
          <w:bCs/>
          <w:szCs w:val="24"/>
        </w:rPr>
        <w:lastRenderedPageBreak/>
        <w:t>[5] Prokuratūras reaģēšanas pasākumi</w:t>
      </w:r>
    </w:p>
    <w:p w14:paraId="40252927" w14:textId="77777777" w:rsidR="00A82880" w:rsidRPr="00577BF3" w:rsidRDefault="00A82880" w:rsidP="00A82880">
      <w:pPr>
        <w:spacing w:after="0" w:line="240" w:lineRule="auto"/>
        <w:jc w:val="both"/>
        <w:rPr>
          <w:rFonts w:cs="Times New Roman"/>
          <w:b/>
          <w:bCs/>
          <w:szCs w:val="24"/>
        </w:rPr>
      </w:pPr>
    </w:p>
    <w:p w14:paraId="6CA8A0E5" w14:textId="77777777" w:rsidR="00A82880" w:rsidRPr="00577BF3" w:rsidRDefault="00A82880" w:rsidP="00E329FC">
      <w:pPr>
        <w:pStyle w:val="ListParagraph"/>
        <w:numPr>
          <w:ilvl w:val="0"/>
          <w:numId w:val="13"/>
        </w:numPr>
        <w:spacing w:after="0" w:line="240" w:lineRule="auto"/>
        <w:jc w:val="both"/>
        <w:rPr>
          <w:rFonts w:cs="Times New Roman"/>
          <w:b/>
          <w:bCs/>
          <w:szCs w:val="24"/>
        </w:rPr>
      </w:pPr>
      <w:r w:rsidRPr="00577BF3">
        <w:rPr>
          <w:rFonts w:cs="Times New Roman"/>
          <w:szCs w:val="24"/>
        </w:rPr>
        <w:t xml:space="preserve">Valsts drošības dienesta priekšniekam, </w:t>
      </w:r>
      <w:bookmarkStart w:id="84" w:name="_Hlk62721777"/>
      <w:r w:rsidRPr="00577BF3">
        <w:rPr>
          <w:rFonts w:cs="Times New Roman"/>
          <w:szCs w:val="24"/>
        </w:rPr>
        <w:t xml:space="preserve">pamatojoties uz Operatīvās darbības likuma 35. pantu un Prokuratūras likuma 20. pantu, uzdots izskatīt </w:t>
      </w:r>
      <w:r w:rsidRPr="00577BF3">
        <w:rPr>
          <w:rFonts w:cs="Times New Roman"/>
          <w:b/>
          <w:bCs/>
          <w:szCs w:val="24"/>
        </w:rPr>
        <w:t>3</w:t>
      </w:r>
      <w:r w:rsidRPr="00577BF3">
        <w:rPr>
          <w:rFonts w:cs="Times New Roman"/>
          <w:szCs w:val="24"/>
        </w:rPr>
        <w:t> prokurora iesniegumus par Operatīvās darbības likuma 5. panta, 36. un 37. panta noteiktajā kārtībā veiktajā pārbaudē konstatētajiem pārkāpumiem.</w:t>
      </w:r>
    </w:p>
    <w:bookmarkEnd w:id="84"/>
    <w:p w14:paraId="1C316854" w14:textId="77777777" w:rsidR="00A82880" w:rsidRPr="00577BF3" w:rsidRDefault="00A82880" w:rsidP="00E329FC">
      <w:pPr>
        <w:pStyle w:val="ListParagraph"/>
        <w:numPr>
          <w:ilvl w:val="0"/>
          <w:numId w:val="13"/>
        </w:numPr>
        <w:spacing w:after="0" w:line="240" w:lineRule="auto"/>
        <w:jc w:val="both"/>
        <w:rPr>
          <w:rFonts w:cs="Times New Roman"/>
          <w:b/>
          <w:bCs/>
          <w:szCs w:val="24"/>
        </w:rPr>
      </w:pPr>
      <w:r w:rsidRPr="00577BF3">
        <w:rPr>
          <w:rFonts w:cs="Times New Roman"/>
          <w:szCs w:val="24"/>
        </w:rPr>
        <w:t>Nacionālo Bruņoto spēku komandierim saskaņā ar Prokuratūras likuma 20. pantu nosūtīts prokurora iesniegums par Militārā dienesta likuma prasību pārkāpumiem.</w:t>
      </w:r>
    </w:p>
    <w:p w14:paraId="2E7C312A" w14:textId="77777777" w:rsidR="00A82880" w:rsidRPr="00577BF3" w:rsidRDefault="00A82880" w:rsidP="00E329FC">
      <w:pPr>
        <w:pStyle w:val="ListParagraph"/>
        <w:numPr>
          <w:ilvl w:val="0"/>
          <w:numId w:val="13"/>
        </w:numPr>
        <w:spacing w:after="0" w:line="240" w:lineRule="auto"/>
        <w:jc w:val="both"/>
        <w:rPr>
          <w:rFonts w:cs="Times New Roman"/>
          <w:b/>
          <w:bCs/>
          <w:szCs w:val="24"/>
        </w:rPr>
      </w:pPr>
      <w:r w:rsidRPr="00577BF3">
        <w:rPr>
          <w:rFonts w:cs="Times New Roman"/>
          <w:szCs w:val="24"/>
        </w:rPr>
        <w:t>Valsts policijas Galvenās kriminālpolicijas pārvaldes Izmeklēšanas atbalsta pārvaldes priekšniekam nosūtīta vēstule par prokurora iesniegumā norādīto trūkumu novēršanu, kas tika konstatēti pārbaudē speciālās aizsardzības iestādē.</w:t>
      </w:r>
    </w:p>
    <w:p w14:paraId="6D76D925" w14:textId="77777777" w:rsidR="00A82880" w:rsidRPr="00577BF3" w:rsidRDefault="00A82880" w:rsidP="00E329FC">
      <w:pPr>
        <w:pStyle w:val="ListParagraph"/>
        <w:numPr>
          <w:ilvl w:val="0"/>
          <w:numId w:val="13"/>
        </w:numPr>
        <w:spacing w:after="0" w:line="240" w:lineRule="auto"/>
        <w:jc w:val="both"/>
        <w:rPr>
          <w:rFonts w:cs="Times New Roman"/>
          <w:b/>
          <w:bCs/>
          <w:szCs w:val="24"/>
        </w:rPr>
      </w:pPr>
      <w:r w:rsidRPr="00577BF3">
        <w:rPr>
          <w:rFonts w:cs="Times New Roman"/>
          <w:szCs w:val="24"/>
        </w:rPr>
        <w:t>Valsts policijas priekšniekam nosūtīta vēstule par operatīvās darbības uzraudzības kārtībā konstatētajiem trūkumiem un nepieciešamajiem pasākumiem to novēršanai.</w:t>
      </w:r>
    </w:p>
    <w:p w14:paraId="037545D3" w14:textId="77777777" w:rsidR="00A82880" w:rsidRPr="00577BF3" w:rsidRDefault="00A82880" w:rsidP="00E329FC">
      <w:pPr>
        <w:pStyle w:val="ListParagraph"/>
        <w:numPr>
          <w:ilvl w:val="0"/>
          <w:numId w:val="13"/>
        </w:numPr>
        <w:spacing w:after="0" w:line="240" w:lineRule="auto"/>
        <w:jc w:val="both"/>
        <w:rPr>
          <w:rFonts w:cs="Times New Roman"/>
          <w:b/>
          <w:bCs/>
          <w:szCs w:val="24"/>
        </w:rPr>
      </w:pPr>
      <w:r w:rsidRPr="00577BF3">
        <w:rPr>
          <w:rFonts w:cs="Times New Roman"/>
          <w:szCs w:val="24"/>
        </w:rPr>
        <w:t>Nosūtīta vēstule Valsts policijas priekšniekam ar lūgumu veikt dienesta pārbaudi un nodrošināt Operatīvās darbības likuma 24.</w:t>
      </w:r>
      <w:r w:rsidRPr="00577BF3">
        <w:rPr>
          <w:rFonts w:cs="Times New Roman"/>
          <w:szCs w:val="24"/>
          <w:vertAlign w:val="superscript"/>
        </w:rPr>
        <w:t>2</w:t>
      </w:r>
      <w:r w:rsidRPr="00577BF3">
        <w:rPr>
          <w:rFonts w:cs="Times New Roman"/>
          <w:szCs w:val="24"/>
        </w:rPr>
        <w:t> pantā noteikto prasību vienveidīgu izpildi.</w:t>
      </w:r>
    </w:p>
    <w:p w14:paraId="450459FD" w14:textId="77777777" w:rsidR="00A82880" w:rsidRPr="00E925DF" w:rsidRDefault="00A82880" w:rsidP="00E329FC">
      <w:pPr>
        <w:pStyle w:val="ListParagraph"/>
        <w:numPr>
          <w:ilvl w:val="0"/>
          <w:numId w:val="13"/>
        </w:numPr>
        <w:spacing w:after="0" w:line="240" w:lineRule="auto"/>
        <w:jc w:val="both"/>
        <w:rPr>
          <w:rFonts w:cs="Times New Roman"/>
          <w:b/>
          <w:bCs/>
          <w:szCs w:val="24"/>
        </w:rPr>
      </w:pPr>
      <w:r w:rsidRPr="00577BF3">
        <w:rPr>
          <w:rFonts w:cs="Times New Roman"/>
          <w:szCs w:val="24"/>
        </w:rPr>
        <w:t>Korupcijas novēršanas un apkarošanas biroja priekšniekam nosūtīta vēstule par operatīvās uzskaites lietu iznīcināšanas kārtības ievērošanu.</w:t>
      </w:r>
    </w:p>
    <w:p w14:paraId="52FD0A70" w14:textId="77777777" w:rsidR="00A82880" w:rsidRDefault="00A82880" w:rsidP="00A82880">
      <w:pPr>
        <w:spacing w:after="0" w:line="240" w:lineRule="auto"/>
        <w:jc w:val="both"/>
        <w:rPr>
          <w:rFonts w:cs="Times New Roman"/>
          <w:b/>
          <w:bCs/>
          <w:szCs w:val="24"/>
        </w:rPr>
      </w:pPr>
    </w:p>
    <w:p w14:paraId="5086481F" w14:textId="5C7F3B2C" w:rsidR="00A82880" w:rsidRDefault="00741412" w:rsidP="00A82880">
      <w:pPr>
        <w:spacing w:after="0" w:line="240" w:lineRule="auto"/>
        <w:jc w:val="both"/>
        <w:rPr>
          <w:rFonts w:cs="Times New Roman"/>
          <w:b/>
          <w:bCs/>
          <w:szCs w:val="24"/>
        </w:rPr>
      </w:pPr>
      <w:r>
        <w:rPr>
          <w:rFonts w:cs="Times New Roman"/>
          <w:b/>
          <w:bCs/>
          <w:szCs w:val="24"/>
        </w:rPr>
        <w:t xml:space="preserve">Ģenerālprokuratūras </w:t>
      </w:r>
      <w:r w:rsidR="00A82880">
        <w:rPr>
          <w:rFonts w:cs="Times New Roman"/>
          <w:b/>
          <w:bCs/>
          <w:szCs w:val="24"/>
        </w:rPr>
        <w:t>Īpaši pilnvarotu prokuroru nodaļas virsprokurors I. Masaļskis</w:t>
      </w:r>
    </w:p>
    <w:p w14:paraId="4A89BA82" w14:textId="6B7D2A53" w:rsidR="00215305" w:rsidRDefault="00A82880" w:rsidP="00A82880">
      <w:pPr>
        <w:spacing w:after="0" w:line="240" w:lineRule="auto"/>
        <w:jc w:val="both"/>
        <w:rPr>
          <w:rFonts w:cs="Times New Roman"/>
          <w:b/>
          <w:bCs/>
          <w:szCs w:val="24"/>
        </w:rPr>
      </w:pPr>
      <w:r>
        <w:rPr>
          <w:rFonts w:cs="Times New Roman"/>
          <w:b/>
          <w:bCs/>
          <w:szCs w:val="24"/>
        </w:rPr>
        <w:t xml:space="preserve">Rīgā 2021. gada 2. februārī </w:t>
      </w:r>
    </w:p>
    <w:p w14:paraId="3BCD9FD9" w14:textId="77777777" w:rsidR="00215305" w:rsidRDefault="00215305">
      <w:pPr>
        <w:rPr>
          <w:rFonts w:cs="Times New Roman"/>
          <w:b/>
          <w:bCs/>
          <w:szCs w:val="24"/>
        </w:rPr>
      </w:pPr>
      <w:r>
        <w:rPr>
          <w:rFonts w:cs="Times New Roman"/>
          <w:b/>
          <w:bCs/>
          <w:szCs w:val="24"/>
        </w:rPr>
        <w:br w:type="page"/>
      </w:r>
    </w:p>
    <w:p w14:paraId="703204A4" w14:textId="511F5B13" w:rsidR="00B63754" w:rsidRDefault="00553B67" w:rsidP="00553B67">
      <w:pPr>
        <w:spacing w:after="0" w:line="240" w:lineRule="auto"/>
        <w:jc w:val="center"/>
        <w:rPr>
          <w:b/>
          <w:bCs/>
          <w:sz w:val="32"/>
          <w:szCs w:val="32"/>
        </w:rPr>
      </w:pPr>
      <w:bookmarkStart w:id="85" w:name="_Hlk64372683"/>
      <w:bookmarkStart w:id="86" w:name="_Hlk64445021"/>
      <w:bookmarkEnd w:id="38"/>
      <w:bookmarkEnd w:id="80"/>
      <w:r w:rsidRPr="000F2172">
        <w:rPr>
          <w:b/>
          <w:bCs/>
          <w:sz w:val="32"/>
          <w:szCs w:val="32"/>
        </w:rPr>
        <w:lastRenderedPageBreak/>
        <w:t xml:space="preserve">Prokuroru </w:t>
      </w:r>
      <w:r>
        <w:rPr>
          <w:b/>
          <w:bCs/>
          <w:sz w:val="32"/>
          <w:szCs w:val="32"/>
        </w:rPr>
        <w:t>atestācijas</w:t>
      </w:r>
      <w:r w:rsidRPr="000F2172">
        <w:rPr>
          <w:b/>
          <w:bCs/>
          <w:sz w:val="32"/>
          <w:szCs w:val="32"/>
        </w:rPr>
        <w:t xml:space="preserve"> komisijas </w:t>
      </w:r>
      <w:r>
        <w:rPr>
          <w:b/>
          <w:bCs/>
          <w:sz w:val="32"/>
          <w:szCs w:val="32"/>
        </w:rPr>
        <w:t xml:space="preserve">2020. gada </w:t>
      </w:r>
      <w:r w:rsidRPr="000F2172">
        <w:rPr>
          <w:b/>
          <w:bCs/>
          <w:sz w:val="32"/>
          <w:szCs w:val="32"/>
        </w:rPr>
        <w:t>darba pārskats</w:t>
      </w:r>
    </w:p>
    <w:p w14:paraId="3AF5BD9F" w14:textId="77777777" w:rsidR="003A13CA" w:rsidRPr="00F62B7E" w:rsidRDefault="003A13CA" w:rsidP="00553B67">
      <w:pPr>
        <w:spacing w:after="0" w:line="240" w:lineRule="auto"/>
        <w:jc w:val="center"/>
        <w:rPr>
          <w:szCs w:val="24"/>
        </w:rPr>
      </w:pPr>
    </w:p>
    <w:p w14:paraId="6EF72483" w14:textId="0F0A99EF" w:rsidR="00B63754" w:rsidRDefault="003A13CA" w:rsidP="00B95B3D">
      <w:pPr>
        <w:spacing w:after="0" w:line="240" w:lineRule="auto"/>
        <w:ind w:firstLine="720"/>
        <w:jc w:val="both"/>
      </w:pPr>
      <w:r>
        <w:rPr>
          <w:szCs w:val="24"/>
        </w:rPr>
        <w:t>Prokuroru atestācijas k</w:t>
      </w:r>
      <w:r w:rsidR="00B63754">
        <w:rPr>
          <w:color w:val="000000" w:themeColor="text1"/>
          <w:szCs w:val="24"/>
        </w:rPr>
        <w:t>omisija</w:t>
      </w:r>
      <w:r w:rsidR="00B63754" w:rsidRPr="004F5D62">
        <w:rPr>
          <w:color w:val="000000"/>
          <w:szCs w:val="24"/>
        </w:rPr>
        <w:t xml:space="preserve"> atbilstoši Prokuratūras likuma 29.</w:t>
      </w:r>
      <w:r w:rsidR="00B63754">
        <w:rPr>
          <w:color w:val="000000"/>
          <w:szCs w:val="24"/>
          <w:vertAlign w:val="superscript"/>
        </w:rPr>
        <w:t>1</w:t>
      </w:r>
      <w:r w:rsidR="00E72C5D">
        <w:rPr>
          <w:color w:val="000000"/>
          <w:szCs w:val="24"/>
          <w:vertAlign w:val="superscript"/>
        </w:rPr>
        <w:t> </w:t>
      </w:r>
      <w:r w:rsidR="00B63754" w:rsidRPr="004F5D62">
        <w:rPr>
          <w:color w:val="000000"/>
          <w:szCs w:val="24"/>
        </w:rPr>
        <w:t xml:space="preserve">panta otrajai daļai </w:t>
      </w:r>
      <w:r w:rsidR="00B63754">
        <w:t>pirms prokurora iecelšanas vai paaugstināšanas amatā dod atzinumu par viņa atbilstību šim amatam, izsaka priekšlikumu ģenerālprokuroram par disciplinārsoda piemērošanu prokuroram, ja likums paredz šāda atzinuma nepieciešamību, kā arī veic citas šajā likumā noteiktās un Prokuroru atestācijas komisijas nolikumā paredzētās funkcijas.</w:t>
      </w:r>
    </w:p>
    <w:p w14:paraId="314E3F90" w14:textId="25843BA4" w:rsidR="00B63754" w:rsidRPr="0030364F" w:rsidRDefault="00B95B3D" w:rsidP="005C7E6F">
      <w:pPr>
        <w:spacing w:after="0" w:line="240" w:lineRule="auto"/>
        <w:ind w:firstLine="720"/>
        <w:jc w:val="both"/>
      </w:pPr>
      <w:r w:rsidRPr="0030364F">
        <w:t>Prokuroru atestācijas komisija 2020. gadā darbojās šādā sastāvā – 2 līdzpriekšsēdētāji</w:t>
      </w:r>
      <w:r w:rsidR="005C7E6F" w:rsidRPr="0030364F">
        <w:t xml:space="preserve">, 9 komisijas </w:t>
      </w:r>
      <w:r w:rsidRPr="0030364F">
        <w:t>locekļi un 1 komisijas sekretāre.</w:t>
      </w:r>
    </w:p>
    <w:p w14:paraId="03931C8C" w14:textId="39299E87" w:rsidR="00B63754" w:rsidRPr="0030364F" w:rsidRDefault="00B63754" w:rsidP="00D13799">
      <w:pPr>
        <w:spacing w:after="0" w:line="240" w:lineRule="auto"/>
        <w:ind w:firstLine="720"/>
        <w:jc w:val="both"/>
        <w:rPr>
          <w:szCs w:val="24"/>
        </w:rPr>
      </w:pPr>
      <w:r w:rsidRPr="0030364F">
        <w:rPr>
          <w:szCs w:val="24"/>
        </w:rPr>
        <w:t>Saskaņā ar</w:t>
      </w:r>
      <w:r w:rsidR="005C7E6F" w:rsidRPr="0030364F">
        <w:rPr>
          <w:szCs w:val="24"/>
        </w:rPr>
        <w:t xml:space="preserve"> </w:t>
      </w:r>
      <w:r w:rsidRPr="0030364F">
        <w:rPr>
          <w:szCs w:val="24"/>
        </w:rPr>
        <w:t>Ģenerālprokurora padomes</w:t>
      </w:r>
      <w:r w:rsidR="00E72C5D" w:rsidRPr="0030364F">
        <w:rPr>
          <w:szCs w:val="24"/>
        </w:rPr>
        <w:t xml:space="preserve"> 2020.</w:t>
      </w:r>
      <w:r w:rsidR="00AD5CE7" w:rsidRPr="0030364F">
        <w:rPr>
          <w:szCs w:val="24"/>
        </w:rPr>
        <w:t xml:space="preserve"> gada 23. decembra </w:t>
      </w:r>
      <w:r w:rsidRPr="0030364F">
        <w:rPr>
          <w:szCs w:val="24"/>
        </w:rPr>
        <w:t xml:space="preserve">lēmumu </w:t>
      </w:r>
      <w:r w:rsidRPr="0030364F">
        <w:rPr>
          <w:color w:val="000000" w:themeColor="text1"/>
          <w:szCs w:val="24"/>
        </w:rPr>
        <w:t xml:space="preserve">Nr.12 </w:t>
      </w:r>
      <w:r w:rsidRPr="0030364F">
        <w:rPr>
          <w:i/>
          <w:iCs/>
          <w:szCs w:val="24"/>
        </w:rPr>
        <w:t xml:space="preserve">Par prokuroru </w:t>
      </w:r>
      <w:r w:rsidR="00AD5CE7" w:rsidRPr="0030364F">
        <w:rPr>
          <w:i/>
          <w:iCs/>
          <w:szCs w:val="24"/>
        </w:rPr>
        <w:t>atestācijas</w:t>
      </w:r>
      <w:r w:rsidRPr="0030364F">
        <w:rPr>
          <w:i/>
          <w:iCs/>
          <w:szCs w:val="24"/>
        </w:rPr>
        <w:t xml:space="preserve"> komisijas izveidošanu</w:t>
      </w:r>
      <w:r w:rsidRPr="0030364F">
        <w:rPr>
          <w:szCs w:val="24"/>
        </w:rPr>
        <w:t xml:space="preserve"> 2021.</w:t>
      </w:r>
      <w:r w:rsidR="00AD5CE7" w:rsidRPr="0030364F">
        <w:rPr>
          <w:szCs w:val="24"/>
        </w:rPr>
        <w:t> </w:t>
      </w:r>
      <w:r w:rsidRPr="0030364F">
        <w:rPr>
          <w:szCs w:val="24"/>
        </w:rPr>
        <w:t xml:space="preserve">gadā </w:t>
      </w:r>
      <w:r w:rsidR="00AD5CE7" w:rsidRPr="0030364F">
        <w:rPr>
          <w:szCs w:val="24"/>
        </w:rPr>
        <w:t>Prokuroru atestācijas k</w:t>
      </w:r>
      <w:r w:rsidRPr="0030364F">
        <w:rPr>
          <w:szCs w:val="24"/>
        </w:rPr>
        <w:t>omisija</w:t>
      </w:r>
      <w:r w:rsidR="00AD5CE7" w:rsidRPr="0030364F">
        <w:rPr>
          <w:szCs w:val="24"/>
        </w:rPr>
        <w:t>s sastāvs</w:t>
      </w:r>
      <w:r w:rsidR="005C7E6F" w:rsidRPr="0030364F">
        <w:rPr>
          <w:szCs w:val="24"/>
        </w:rPr>
        <w:t xml:space="preserve"> ir</w:t>
      </w:r>
      <w:r w:rsidR="00B22A10" w:rsidRPr="0030364F">
        <w:rPr>
          <w:szCs w:val="24"/>
        </w:rPr>
        <w:t xml:space="preserve"> </w:t>
      </w:r>
      <w:r w:rsidR="00AD5CE7" w:rsidRPr="0030364F">
        <w:rPr>
          <w:szCs w:val="24"/>
        </w:rPr>
        <w:t xml:space="preserve">samazināts un </w:t>
      </w:r>
      <w:r w:rsidR="00B22A10" w:rsidRPr="0030364F">
        <w:rPr>
          <w:szCs w:val="24"/>
        </w:rPr>
        <w:t>tajā darbosies 2 līdzpriekšsēdētāji, 6 komisijas locekļi un 1 komisijas sekretāre.</w:t>
      </w:r>
    </w:p>
    <w:p w14:paraId="461D127B" w14:textId="77777777" w:rsidR="00B63754" w:rsidRPr="0030364F" w:rsidRDefault="00B63754" w:rsidP="00B63754">
      <w:pPr>
        <w:spacing w:after="0" w:line="240" w:lineRule="auto"/>
        <w:ind w:firstLine="720"/>
        <w:jc w:val="both"/>
        <w:rPr>
          <w:color w:val="000000"/>
          <w:szCs w:val="24"/>
        </w:rPr>
      </w:pPr>
    </w:p>
    <w:p w14:paraId="39BACA59" w14:textId="77777777" w:rsidR="00B22A10" w:rsidRPr="0030364F" w:rsidRDefault="00B63754" w:rsidP="00B63754">
      <w:pPr>
        <w:spacing w:after="0" w:line="240" w:lineRule="auto"/>
        <w:ind w:firstLine="720"/>
        <w:jc w:val="both"/>
        <w:rPr>
          <w:color w:val="000000"/>
          <w:szCs w:val="24"/>
        </w:rPr>
      </w:pPr>
      <w:r w:rsidRPr="0030364F">
        <w:rPr>
          <w:color w:val="000000"/>
          <w:szCs w:val="24"/>
        </w:rPr>
        <w:t>Kopumā 2020.</w:t>
      </w:r>
      <w:r w:rsidR="005C7E6F" w:rsidRPr="0030364F">
        <w:rPr>
          <w:color w:val="000000"/>
          <w:szCs w:val="24"/>
        </w:rPr>
        <w:t> </w:t>
      </w:r>
      <w:r w:rsidRPr="0030364F">
        <w:rPr>
          <w:color w:val="000000"/>
          <w:szCs w:val="24"/>
        </w:rPr>
        <w:t xml:space="preserve">gada laikā </w:t>
      </w:r>
      <w:r w:rsidR="005C7E6F" w:rsidRPr="0030364F">
        <w:rPr>
          <w:color w:val="000000"/>
          <w:szCs w:val="24"/>
        </w:rPr>
        <w:t>notikušas</w:t>
      </w:r>
      <w:r w:rsidRPr="0030364F">
        <w:rPr>
          <w:color w:val="000000"/>
          <w:szCs w:val="24"/>
        </w:rPr>
        <w:t xml:space="preserve"> 36</w:t>
      </w:r>
      <w:r w:rsidR="005C7E6F" w:rsidRPr="0030364F">
        <w:rPr>
          <w:color w:val="000000"/>
          <w:szCs w:val="24"/>
        </w:rPr>
        <w:t xml:space="preserve"> Prokuroru atestācijas </w:t>
      </w:r>
      <w:r w:rsidRPr="0030364F">
        <w:rPr>
          <w:color w:val="000000"/>
          <w:szCs w:val="24"/>
        </w:rPr>
        <w:t>komisijas sēdes, kurās izskatīti 230 jautājumi.</w:t>
      </w:r>
      <w:r w:rsidR="00B22A10" w:rsidRPr="0030364F">
        <w:rPr>
          <w:color w:val="000000"/>
          <w:szCs w:val="24"/>
        </w:rPr>
        <w:t xml:space="preserve"> </w:t>
      </w:r>
    </w:p>
    <w:p w14:paraId="645AD31F" w14:textId="31096065" w:rsidR="00B63754" w:rsidRDefault="00B63754" w:rsidP="007B683C">
      <w:pPr>
        <w:spacing w:after="0" w:line="240" w:lineRule="auto"/>
        <w:ind w:firstLine="720"/>
        <w:jc w:val="both"/>
        <w:rPr>
          <w:color w:val="000000"/>
          <w:szCs w:val="24"/>
        </w:rPr>
      </w:pPr>
      <w:r w:rsidRPr="0030364F">
        <w:rPr>
          <w:color w:val="000000"/>
          <w:szCs w:val="24"/>
        </w:rPr>
        <w:t>No minētā jautājumu skaita</w:t>
      </w:r>
      <w:r w:rsidR="00B22A10" w:rsidRPr="0030364F">
        <w:rPr>
          <w:color w:val="000000"/>
          <w:szCs w:val="24"/>
        </w:rPr>
        <w:t xml:space="preserve"> </w:t>
      </w:r>
      <w:r w:rsidRPr="0030364F">
        <w:rPr>
          <w:color w:val="000000"/>
          <w:szCs w:val="24"/>
        </w:rPr>
        <w:t>ar prokuroru profesionālās darbības novērtēšanu izlemts 131</w:t>
      </w:r>
      <w:r w:rsidR="00B22A10" w:rsidRPr="0030364F">
        <w:rPr>
          <w:color w:val="000000"/>
          <w:szCs w:val="24"/>
        </w:rPr>
        <w:t> </w:t>
      </w:r>
      <w:r w:rsidRPr="0030364F">
        <w:rPr>
          <w:color w:val="000000"/>
          <w:szCs w:val="24"/>
        </w:rPr>
        <w:t xml:space="preserve">jautājums, </w:t>
      </w:r>
      <w:r w:rsidR="007B683C" w:rsidRPr="0030364F">
        <w:rPr>
          <w:color w:val="000000"/>
          <w:szCs w:val="24"/>
        </w:rPr>
        <w:t xml:space="preserve">saistībā </w:t>
      </w:r>
      <w:r w:rsidRPr="0030364F">
        <w:rPr>
          <w:color w:val="000000"/>
          <w:szCs w:val="24"/>
        </w:rPr>
        <w:t>ar prokurora karjeru izlemti kopumā 90</w:t>
      </w:r>
      <w:r w:rsidR="00B22A10" w:rsidRPr="0030364F">
        <w:rPr>
          <w:color w:val="000000"/>
          <w:szCs w:val="24"/>
        </w:rPr>
        <w:t> </w:t>
      </w:r>
      <w:r w:rsidRPr="0030364F">
        <w:rPr>
          <w:color w:val="000000"/>
          <w:szCs w:val="24"/>
        </w:rPr>
        <w:t xml:space="preserve">jautājumi, bet </w:t>
      </w:r>
      <w:r w:rsidR="005C217D" w:rsidRPr="0030364F">
        <w:rPr>
          <w:color w:val="000000"/>
          <w:szCs w:val="24"/>
        </w:rPr>
        <w:t>8 </w:t>
      </w:r>
      <w:r w:rsidRPr="0030364F">
        <w:rPr>
          <w:color w:val="000000"/>
          <w:szCs w:val="24"/>
        </w:rPr>
        <w:t>jautājumi</w:t>
      </w:r>
      <w:r>
        <w:rPr>
          <w:color w:val="000000"/>
          <w:szCs w:val="24"/>
        </w:rPr>
        <w:t xml:space="preserve"> izlemti saistībā ar iespējamu prokuroru saukšanu pie disciplināratbildības. </w:t>
      </w:r>
    </w:p>
    <w:p w14:paraId="50BE1536" w14:textId="77777777" w:rsidR="00B63754" w:rsidRDefault="00B63754" w:rsidP="007B683C">
      <w:pPr>
        <w:spacing w:after="0" w:line="240" w:lineRule="auto"/>
        <w:jc w:val="both"/>
        <w:rPr>
          <w:color w:val="000000"/>
          <w:szCs w:val="24"/>
        </w:rPr>
      </w:pPr>
    </w:p>
    <w:p w14:paraId="274089D7" w14:textId="2E1AFB1E" w:rsidR="00B63754" w:rsidRDefault="00B63754" w:rsidP="00FE3D98">
      <w:pPr>
        <w:spacing w:after="0" w:line="240" w:lineRule="auto"/>
        <w:jc w:val="center"/>
        <w:rPr>
          <w:color w:val="000000"/>
          <w:szCs w:val="24"/>
        </w:rPr>
      </w:pPr>
      <w:r>
        <w:rPr>
          <w:noProof/>
        </w:rPr>
        <w:drawing>
          <wp:inline distT="0" distB="0" distL="0" distR="0" wp14:anchorId="07D33BA2" wp14:editId="2FCF1DA2">
            <wp:extent cx="4235450" cy="2520950"/>
            <wp:effectExtent l="0" t="0" r="12700" b="12700"/>
            <wp:docPr id="75" name="Chart 75">
              <a:extLst xmlns:a="http://schemas.openxmlformats.org/drawingml/2006/main">
                <a:ext uri="{FF2B5EF4-FFF2-40B4-BE49-F238E27FC236}">
                  <a16:creationId xmlns:a16="http://schemas.microsoft.com/office/drawing/2014/main" id="{102B91DA-E8DE-4970-9D9D-FED6A00F1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58515A4F" w14:textId="77777777" w:rsidR="00B63754" w:rsidRDefault="00B63754" w:rsidP="00B51832">
      <w:pPr>
        <w:spacing w:after="0" w:line="240" w:lineRule="auto"/>
        <w:jc w:val="both"/>
        <w:rPr>
          <w:color w:val="000000"/>
          <w:szCs w:val="24"/>
        </w:rPr>
      </w:pPr>
    </w:p>
    <w:p w14:paraId="440278B8" w14:textId="6F920172" w:rsidR="00B63754" w:rsidRDefault="00B63754" w:rsidP="00B63754">
      <w:pPr>
        <w:spacing w:after="0" w:line="240" w:lineRule="auto"/>
        <w:ind w:firstLine="720"/>
        <w:jc w:val="both"/>
        <w:rPr>
          <w:color w:val="000000"/>
          <w:szCs w:val="24"/>
        </w:rPr>
      </w:pPr>
      <w:r>
        <w:rPr>
          <w:color w:val="000000"/>
          <w:szCs w:val="24"/>
        </w:rPr>
        <w:t>Kopumā redzams, ka absolūtā vairākumā gadījumu prokuroru profesionālā darbība Prokuroru atestācijas komisijā novērtēta pozitīvi, tomēr tajā pašā laikā redzams, ka aptuveni 10</w:t>
      </w:r>
      <w:r w:rsidR="00B51832">
        <w:rPr>
          <w:color w:val="000000"/>
          <w:szCs w:val="24"/>
        </w:rPr>
        <w:t> </w:t>
      </w:r>
      <w:r>
        <w:rPr>
          <w:color w:val="000000"/>
          <w:szCs w:val="24"/>
        </w:rPr>
        <w:t>% gadījum</w:t>
      </w:r>
      <w:r w:rsidR="00B51832">
        <w:rPr>
          <w:color w:val="000000"/>
          <w:szCs w:val="24"/>
        </w:rPr>
        <w:t>u</w:t>
      </w:r>
      <w:r>
        <w:rPr>
          <w:color w:val="000000"/>
          <w:szCs w:val="24"/>
        </w:rPr>
        <w:t xml:space="preserve"> jautājumi par prokurora profesionāl</w:t>
      </w:r>
      <w:r w:rsidR="00B51832">
        <w:rPr>
          <w:color w:val="000000"/>
          <w:szCs w:val="24"/>
        </w:rPr>
        <w:t>ās</w:t>
      </w:r>
      <w:r>
        <w:rPr>
          <w:color w:val="000000"/>
          <w:szCs w:val="24"/>
        </w:rPr>
        <w:t xml:space="preserve"> darbības kvalitāti tās novērtēšanas gaitā ir radušies. Diagrammā redzams, ka 5</w:t>
      </w:r>
      <w:r w:rsidR="00B51832">
        <w:rPr>
          <w:color w:val="000000"/>
          <w:szCs w:val="24"/>
        </w:rPr>
        <w:t> </w:t>
      </w:r>
      <w:r>
        <w:rPr>
          <w:color w:val="000000"/>
          <w:szCs w:val="24"/>
        </w:rPr>
        <w:t>prokuroru profesionālā darbība novērtēta negatīvi.</w:t>
      </w:r>
      <w:r w:rsidR="00B51832">
        <w:rPr>
          <w:color w:val="000000"/>
          <w:szCs w:val="24"/>
        </w:rPr>
        <w:t xml:space="preserve"> </w:t>
      </w:r>
      <w:r>
        <w:rPr>
          <w:color w:val="000000"/>
          <w:szCs w:val="24"/>
        </w:rPr>
        <w:t xml:space="preserve">Tas nozīmē, ka šiem prokuroriem dots noteikts termiņš savu profesionālo darbību uzlabot, pretējā gadījumā </w:t>
      </w:r>
      <w:r w:rsidR="002948A5">
        <w:rPr>
          <w:color w:val="000000"/>
          <w:szCs w:val="24"/>
        </w:rPr>
        <w:t xml:space="preserve">atkārtotas </w:t>
      </w:r>
      <w:r>
        <w:rPr>
          <w:color w:val="000000"/>
          <w:szCs w:val="24"/>
        </w:rPr>
        <w:t xml:space="preserve">profesionālās darbības novērtēšanas </w:t>
      </w:r>
      <w:r w:rsidR="002948A5">
        <w:rPr>
          <w:color w:val="000000"/>
          <w:szCs w:val="24"/>
        </w:rPr>
        <w:t xml:space="preserve">negatīvs </w:t>
      </w:r>
      <w:r>
        <w:rPr>
          <w:color w:val="000000"/>
          <w:szCs w:val="24"/>
        </w:rPr>
        <w:t>rezultāts bū</w:t>
      </w:r>
      <w:r w:rsidR="00B51832">
        <w:rPr>
          <w:color w:val="000000"/>
          <w:szCs w:val="24"/>
        </w:rPr>
        <w:t>s</w:t>
      </w:r>
      <w:r>
        <w:rPr>
          <w:color w:val="000000"/>
          <w:szCs w:val="24"/>
        </w:rPr>
        <w:t xml:space="preserve"> viņ</w:t>
      </w:r>
      <w:r w:rsidR="002948A5">
        <w:rPr>
          <w:color w:val="000000"/>
          <w:szCs w:val="24"/>
        </w:rPr>
        <w:t>a</w:t>
      </w:r>
      <w:r>
        <w:rPr>
          <w:color w:val="000000"/>
          <w:szCs w:val="24"/>
        </w:rPr>
        <w:t xml:space="preserve"> </w:t>
      </w:r>
      <w:r w:rsidR="002948A5">
        <w:rPr>
          <w:color w:val="000000"/>
          <w:szCs w:val="24"/>
        </w:rPr>
        <w:t>atlaišana</w:t>
      </w:r>
      <w:r>
        <w:rPr>
          <w:color w:val="000000"/>
          <w:szCs w:val="24"/>
        </w:rPr>
        <w:t xml:space="preserve"> no </w:t>
      </w:r>
      <w:r w:rsidR="00B51832">
        <w:rPr>
          <w:color w:val="000000"/>
          <w:szCs w:val="24"/>
        </w:rPr>
        <w:t>amata</w:t>
      </w:r>
      <w:r>
        <w:rPr>
          <w:color w:val="000000"/>
          <w:szCs w:val="24"/>
        </w:rPr>
        <w:t xml:space="preserve"> saskaņā ar Prokuratūras likuma 38.</w:t>
      </w:r>
      <w:r>
        <w:rPr>
          <w:color w:val="000000"/>
          <w:szCs w:val="24"/>
          <w:vertAlign w:val="superscript"/>
        </w:rPr>
        <w:t>2</w:t>
      </w:r>
      <w:r w:rsidR="00B51832">
        <w:rPr>
          <w:color w:val="000000"/>
          <w:szCs w:val="24"/>
          <w:vertAlign w:val="superscript"/>
        </w:rPr>
        <w:t> </w:t>
      </w:r>
      <w:r>
        <w:rPr>
          <w:color w:val="000000"/>
          <w:szCs w:val="24"/>
        </w:rPr>
        <w:t>panta astoto daļu.</w:t>
      </w:r>
    </w:p>
    <w:p w14:paraId="36D43CDD" w14:textId="77777777" w:rsidR="00B63754" w:rsidRDefault="00B63754" w:rsidP="00F82704">
      <w:pPr>
        <w:spacing w:after="0" w:line="240" w:lineRule="auto"/>
        <w:jc w:val="both"/>
        <w:rPr>
          <w:color w:val="000000"/>
          <w:szCs w:val="24"/>
        </w:rPr>
      </w:pPr>
    </w:p>
    <w:p w14:paraId="2F17F237" w14:textId="1FBE3475" w:rsidR="005C217D" w:rsidRDefault="00B63754" w:rsidP="00FE3D98">
      <w:pPr>
        <w:spacing w:after="0" w:line="240" w:lineRule="auto"/>
        <w:ind w:firstLine="720"/>
        <w:jc w:val="both"/>
        <w:rPr>
          <w:color w:val="000000"/>
          <w:szCs w:val="24"/>
        </w:rPr>
      </w:pPr>
      <w:r>
        <w:rPr>
          <w:color w:val="000000"/>
          <w:szCs w:val="24"/>
        </w:rPr>
        <w:t xml:space="preserve">Attiecībā par jautājumiem, kas Prokuroru atestācijas komisijā </w:t>
      </w:r>
      <w:r w:rsidR="00984E3B">
        <w:rPr>
          <w:color w:val="000000"/>
          <w:szCs w:val="24"/>
        </w:rPr>
        <w:t xml:space="preserve">izlemti saistībā </w:t>
      </w:r>
      <w:r>
        <w:rPr>
          <w:color w:val="000000"/>
          <w:szCs w:val="24"/>
        </w:rPr>
        <w:t>ar prokuror</w:t>
      </w:r>
      <w:r w:rsidR="00984E3B">
        <w:rPr>
          <w:color w:val="000000"/>
          <w:szCs w:val="24"/>
        </w:rPr>
        <w:t xml:space="preserve">a </w:t>
      </w:r>
      <w:r w:rsidR="00F441EE">
        <w:rPr>
          <w:color w:val="000000"/>
          <w:szCs w:val="24"/>
        </w:rPr>
        <w:t xml:space="preserve">karjeru, to sadalījums ir šāds: </w:t>
      </w:r>
      <w:r w:rsidR="00984E3B">
        <w:rPr>
          <w:color w:val="000000"/>
          <w:szCs w:val="24"/>
        </w:rPr>
        <w:t xml:space="preserve">amata </w:t>
      </w:r>
      <w:r w:rsidR="000421C0">
        <w:rPr>
          <w:color w:val="000000"/>
          <w:szCs w:val="24"/>
        </w:rPr>
        <w:t>pretendentu, kuri sekmīgi nokārtojuši vispārējo un juridisko zināšanu pārbaudījumu, izvērtēšan</w:t>
      </w:r>
      <w:r w:rsidR="00F441EE">
        <w:rPr>
          <w:color w:val="000000"/>
          <w:szCs w:val="24"/>
        </w:rPr>
        <w:t>a</w:t>
      </w:r>
      <w:r w:rsidR="000421C0">
        <w:rPr>
          <w:color w:val="000000"/>
          <w:szCs w:val="24"/>
        </w:rPr>
        <w:t xml:space="preserve"> un atzinuma došanu par atbilstību </w:t>
      </w:r>
      <w:r w:rsidR="008F3D9F">
        <w:rPr>
          <w:color w:val="000000"/>
          <w:szCs w:val="24"/>
        </w:rPr>
        <w:t>prokurora amata kandidāta statusam, lai uzsāktu stažēšanos</w:t>
      </w:r>
      <w:r w:rsidR="00F441EE">
        <w:rPr>
          <w:color w:val="000000"/>
          <w:szCs w:val="24"/>
        </w:rPr>
        <w:t xml:space="preserve">; </w:t>
      </w:r>
      <w:r w:rsidR="008F3D9F">
        <w:rPr>
          <w:color w:val="000000"/>
          <w:szCs w:val="24"/>
        </w:rPr>
        <w:t xml:space="preserve">prokurora amata </w:t>
      </w:r>
      <w:r w:rsidR="00984E3B">
        <w:rPr>
          <w:color w:val="000000"/>
          <w:szCs w:val="24"/>
        </w:rPr>
        <w:t>kandidātu</w:t>
      </w:r>
      <w:r w:rsidR="00F82704">
        <w:rPr>
          <w:color w:val="000000"/>
          <w:szCs w:val="24"/>
        </w:rPr>
        <w:t xml:space="preserve">, kuri pabeiguši stažēšanos un nokārtojuši kvalifikācijas eksāmenu, </w:t>
      </w:r>
      <w:r w:rsidR="00984E3B">
        <w:rPr>
          <w:color w:val="000000"/>
          <w:szCs w:val="24"/>
        </w:rPr>
        <w:t>izvērtēšan</w:t>
      </w:r>
      <w:r w:rsidR="00535CD5">
        <w:rPr>
          <w:color w:val="000000"/>
          <w:szCs w:val="24"/>
        </w:rPr>
        <w:t>a</w:t>
      </w:r>
      <w:r w:rsidR="00984E3B">
        <w:rPr>
          <w:color w:val="000000"/>
          <w:szCs w:val="24"/>
        </w:rPr>
        <w:t xml:space="preserve"> </w:t>
      </w:r>
      <w:r w:rsidR="00F82704">
        <w:rPr>
          <w:color w:val="000000"/>
          <w:szCs w:val="24"/>
        </w:rPr>
        <w:t>un atzinuma došan</w:t>
      </w:r>
      <w:r w:rsidR="00535CD5">
        <w:rPr>
          <w:color w:val="000000"/>
          <w:szCs w:val="24"/>
        </w:rPr>
        <w:t>a</w:t>
      </w:r>
      <w:r w:rsidR="00F82704">
        <w:rPr>
          <w:color w:val="000000"/>
          <w:szCs w:val="24"/>
        </w:rPr>
        <w:t xml:space="preserve"> par atbilstību prokurora amatam</w:t>
      </w:r>
      <w:r w:rsidR="00F441EE">
        <w:rPr>
          <w:color w:val="000000"/>
          <w:szCs w:val="24"/>
        </w:rPr>
        <w:t>;</w:t>
      </w:r>
      <w:r>
        <w:rPr>
          <w:color w:val="000000"/>
          <w:szCs w:val="24"/>
        </w:rPr>
        <w:t xml:space="preserve"> amata attiecībās esošo prokuroru </w:t>
      </w:r>
      <w:r w:rsidR="00790CFA">
        <w:rPr>
          <w:color w:val="000000"/>
          <w:szCs w:val="24"/>
        </w:rPr>
        <w:t xml:space="preserve">izvērtēšana un atzinuma došana </w:t>
      </w:r>
      <w:r>
        <w:rPr>
          <w:color w:val="000000"/>
          <w:szCs w:val="24"/>
        </w:rPr>
        <w:t>paaugstināšan</w:t>
      </w:r>
      <w:r w:rsidR="00790CFA">
        <w:rPr>
          <w:color w:val="000000"/>
          <w:szCs w:val="24"/>
        </w:rPr>
        <w:t>ai</w:t>
      </w:r>
      <w:r>
        <w:rPr>
          <w:color w:val="000000"/>
          <w:szCs w:val="24"/>
        </w:rPr>
        <w:t xml:space="preserve"> amatā.</w:t>
      </w:r>
    </w:p>
    <w:p w14:paraId="6FE368B6" w14:textId="77777777" w:rsidR="005C217D" w:rsidRDefault="005C217D" w:rsidP="005C217D">
      <w:pPr>
        <w:spacing w:after="0" w:line="240" w:lineRule="auto"/>
        <w:jc w:val="both"/>
        <w:rPr>
          <w:color w:val="000000"/>
          <w:szCs w:val="24"/>
        </w:rPr>
      </w:pPr>
    </w:p>
    <w:p w14:paraId="4C254C96" w14:textId="5EEF3795" w:rsidR="00B63754" w:rsidRDefault="00B63754" w:rsidP="00FE3D98">
      <w:pPr>
        <w:spacing w:after="0" w:line="240" w:lineRule="auto"/>
        <w:jc w:val="center"/>
        <w:rPr>
          <w:color w:val="000000"/>
          <w:szCs w:val="24"/>
        </w:rPr>
      </w:pPr>
      <w:r>
        <w:rPr>
          <w:noProof/>
        </w:rPr>
        <w:lastRenderedPageBreak/>
        <w:drawing>
          <wp:inline distT="0" distB="0" distL="0" distR="0" wp14:anchorId="0FDEBAC5" wp14:editId="4F4392DD">
            <wp:extent cx="4603750" cy="2599267"/>
            <wp:effectExtent l="0" t="0" r="6350" b="10795"/>
            <wp:docPr id="76" name="Chart 76">
              <a:extLst xmlns:a="http://schemas.openxmlformats.org/drawingml/2006/main">
                <a:ext uri="{FF2B5EF4-FFF2-40B4-BE49-F238E27FC236}">
                  <a16:creationId xmlns:a16="http://schemas.microsoft.com/office/drawing/2014/main" id="{7E3AACD5-1858-4B06-B95C-0A456A23CB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39CEF571" w14:textId="77777777" w:rsidR="00B63754" w:rsidRDefault="00B63754" w:rsidP="00790CFA">
      <w:pPr>
        <w:spacing w:after="0" w:line="240" w:lineRule="auto"/>
        <w:jc w:val="both"/>
        <w:rPr>
          <w:color w:val="000000"/>
          <w:szCs w:val="24"/>
        </w:rPr>
      </w:pPr>
    </w:p>
    <w:p w14:paraId="5A12E15F" w14:textId="68F836AF" w:rsidR="00B63754" w:rsidRPr="0030364F" w:rsidRDefault="00B63754" w:rsidP="00535CD5">
      <w:pPr>
        <w:spacing w:after="0" w:line="240" w:lineRule="auto"/>
        <w:ind w:firstLine="720"/>
        <w:jc w:val="both"/>
        <w:rPr>
          <w:color w:val="000000"/>
          <w:szCs w:val="24"/>
        </w:rPr>
      </w:pPr>
      <w:r>
        <w:rPr>
          <w:color w:val="000000"/>
          <w:szCs w:val="24"/>
        </w:rPr>
        <w:t>Diagrammā redzams, ka visai ievērojama daļa pieņemt</w:t>
      </w:r>
      <w:r w:rsidR="00C46298">
        <w:rPr>
          <w:color w:val="000000"/>
          <w:szCs w:val="24"/>
        </w:rPr>
        <w:t>o</w:t>
      </w:r>
      <w:r>
        <w:rPr>
          <w:color w:val="000000"/>
          <w:szCs w:val="24"/>
        </w:rPr>
        <w:t xml:space="preserve"> lēmum</w:t>
      </w:r>
      <w:r w:rsidR="00790CFA">
        <w:rPr>
          <w:color w:val="000000"/>
          <w:szCs w:val="24"/>
        </w:rPr>
        <w:t>u prokuroru</w:t>
      </w:r>
      <w:r>
        <w:rPr>
          <w:color w:val="000000"/>
          <w:szCs w:val="24"/>
        </w:rPr>
        <w:t xml:space="preserve"> karjeras jautājumos </w:t>
      </w:r>
      <w:r w:rsidR="00DA1F1B">
        <w:rPr>
          <w:color w:val="000000"/>
          <w:szCs w:val="24"/>
        </w:rPr>
        <w:t xml:space="preserve">(kopumā </w:t>
      </w:r>
      <w:r w:rsidR="00DA1F1B" w:rsidRPr="0030364F">
        <w:rPr>
          <w:color w:val="000000"/>
          <w:szCs w:val="24"/>
        </w:rPr>
        <w:t xml:space="preserve">34) </w:t>
      </w:r>
      <w:r w:rsidR="00790CFA" w:rsidRPr="0030364F">
        <w:rPr>
          <w:color w:val="000000"/>
          <w:szCs w:val="24"/>
        </w:rPr>
        <w:t>bija</w:t>
      </w:r>
      <w:r w:rsidRPr="0030364F">
        <w:rPr>
          <w:color w:val="000000"/>
          <w:szCs w:val="24"/>
        </w:rPr>
        <w:t xml:space="preserve"> </w:t>
      </w:r>
      <w:r w:rsidR="00D21867" w:rsidRPr="0030364F">
        <w:rPr>
          <w:color w:val="000000"/>
          <w:szCs w:val="24"/>
        </w:rPr>
        <w:t>p</w:t>
      </w:r>
      <w:r w:rsidRPr="0030364F">
        <w:rPr>
          <w:color w:val="000000"/>
          <w:szCs w:val="24"/>
        </w:rPr>
        <w:t>ar prokuroru paaugstināšanu amatā. Minētais saistīts arī ar to, ka jau 2020.</w:t>
      </w:r>
      <w:r w:rsidR="00790CFA" w:rsidRPr="0030364F">
        <w:rPr>
          <w:color w:val="000000"/>
          <w:szCs w:val="24"/>
        </w:rPr>
        <w:t> </w:t>
      </w:r>
      <w:r w:rsidRPr="0030364F">
        <w:rPr>
          <w:color w:val="000000"/>
          <w:szCs w:val="24"/>
        </w:rPr>
        <w:t>gada beigās tika apvienotas vairākas prokuratūras struktūrvienības</w:t>
      </w:r>
      <w:r w:rsidR="00AD5B53" w:rsidRPr="0030364F">
        <w:rPr>
          <w:color w:val="000000"/>
          <w:szCs w:val="24"/>
        </w:rPr>
        <w:t xml:space="preserve">, </w:t>
      </w:r>
      <w:r w:rsidRPr="0030364F">
        <w:rPr>
          <w:color w:val="000000"/>
          <w:szCs w:val="24"/>
        </w:rPr>
        <w:t>tika rīkots konkurss visu jaunizveidoto prokuratūras struktūrvienību virsprokuroru un virsprokuror</w:t>
      </w:r>
      <w:r w:rsidR="00D21867" w:rsidRPr="0030364F">
        <w:rPr>
          <w:color w:val="000000"/>
          <w:szCs w:val="24"/>
        </w:rPr>
        <w:t>a</w:t>
      </w:r>
      <w:r w:rsidRPr="0030364F">
        <w:rPr>
          <w:color w:val="000000"/>
          <w:szCs w:val="24"/>
        </w:rPr>
        <w:t xml:space="preserve"> vietnieku atlasei</w:t>
      </w:r>
      <w:r w:rsidR="00D21867" w:rsidRPr="0030364F">
        <w:rPr>
          <w:color w:val="000000"/>
          <w:szCs w:val="24"/>
        </w:rPr>
        <w:t>, kurus pirms iecelšanas amatā izvērtēja Prokuroru atestācijas komisija.</w:t>
      </w:r>
    </w:p>
    <w:p w14:paraId="00759D43" w14:textId="67AE17C7" w:rsidR="00B63754" w:rsidRDefault="00B63754" w:rsidP="00DF531F">
      <w:pPr>
        <w:spacing w:after="0" w:line="240" w:lineRule="auto"/>
        <w:ind w:firstLine="720"/>
        <w:jc w:val="both"/>
        <w:rPr>
          <w:color w:val="000000"/>
          <w:szCs w:val="24"/>
        </w:rPr>
      </w:pPr>
      <w:r w:rsidRPr="0030364F">
        <w:rPr>
          <w:color w:val="000000"/>
          <w:szCs w:val="24"/>
        </w:rPr>
        <w:t>Par jauno kolēģu piesaisti norādāms</w:t>
      </w:r>
      <w:r w:rsidR="00D7483F" w:rsidRPr="0030364F">
        <w:rPr>
          <w:color w:val="000000"/>
          <w:szCs w:val="24"/>
        </w:rPr>
        <w:t>, ka k</w:t>
      </w:r>
      <w:r w:rsidRPr="0030364F">
        <w:rPr>
          <w:color w:val="000000"/>
          <w:szCs w:val="24"/>
        </w:rPr>
        <w:t>opskaitā par 44</w:t>
      </w:r>
      <w:r>
        <w:rPr>
          <w:color w:val="000000"/>
          <w:szCs w:val="24"/>
        </w:rPr>
        <w:t xml:space="preserve"> prokurora amata pretendentiem tika dots atzinums, ka viņi atbilst prokurora amata kandidāta statusam un var uzsākt stažēšanos. </w:t>
      </w:r>
      <w:r w:rsidR="00DA1F1B">
        <w:rPr>
          <w:color w:val="000000"/>
          <w:szCs w:val="24"/>
        </w:rPr>
        <w:t>Par</w:t>
      </w:r>
      <w:r>
        <w:rPr>
          <w:color w:val="000000"/>
          <w:szCs w:val="24"/>
        </w:rPr>
        <w:t xml:space="preserve"> </w:t>
      </w:r>
      <w:r w:rsidRPr="00AD5B53">
        <w:rPr>
          <w:b/>
          <w:bCs/>
          <w:color w:val="000000"/>
          <w:szCs w:val="24"/>
        </w:rPr>
        <w:t>9</w:t>
      </w:r>
      <w:r>
        <w:rPr>
          <w:color w:val="000000"/>
          <w:szCs w:val="24"/>
        </w:rPr>
        <w:t xml:space="preserve"> </w:t>
      </w:r>
      <w:r w:rsidR="00DA1F1B">
        <w:rPr>
          <w:color w:val="000000"/>
          <w:szCs w:val="24"/>
        </w:rPr>
        <w:t xml:space="preserve">prokurora amata </w:t>
      </w:r>
      <w:r>
        <w:rPr>
          <w:color w:val="000000"/>
          <w:szCs w:val="24"/>
        </w:rPr>
        <w:t>kandidāt</w:t>
      </w:r>
      <w:r w:rsidR="00DA1F1B">
        <w:rPr>
          <w:color w:val="000000"/>
          <w:szCs w:val="24"/>
        </w:rPr>
        <w:t>iem, kuri</w:t>
      </w:r>
      <w:r>
        <w:rPr>
          <w:color w:val="000000"/>
          <w:szCs w:val="24"/>
        </w:rPr>
        <w:t xml:space="preserve"> </w:t>
      </w:r>
      <w:r w:rsidR="00DA1F1B">
        <w:rPr>
          <w:color w:val="000000"/>
          <w:szCs w:val="24"/>
        </w:rPr>
        <w:t xml:space="preserve">bija </w:t>
      </w:r>
      <w:r>
        <w:rPr>
          <w:color w:val="000000"/>
          <w:szCs w:val="24"/>
        </w:rPr>
        <w:t xml:space="preserve">pabeiguši stažēties un </w:t>
      </w:r>
      <w:r w:rsidR="00DA1F1B">
        <w:rPr>
          <w:color w:val="000000"/>
          <w:szCs w:val="24"/>
        </w:rPr>
        <w:t xml:space="preserve">nokārtojuši kvalifikācijas eksāmenu, </w:t>
      </w:r>
      <w:r>
        <w:rPr>
          <w:color w:val="000000"/>
          <w:szCs w:val="24"/>
        </w:rPr>
        <w:t xml:space="preserve">tika </w:t>
      </w:r>
      <w:r w:rsidR="009D2586">
        <w:rPr>
          <w:color w:val="000000"/>
          <w:szCs w:val="24"/>
        </w:rPr>
        <w:t xml:space="preserve">dots atzinums par atbilstību </w:t>
      </w:r>
      <w:r>
        <w:rPr>
          <w:color w:val="000000"/>
          <w:szCs w:val="24"/>
        </w:rPr>
        <w:t>prokurora amat</w:t>
      </w:r>
      <w:r w:rsidR="009D2586">
        <w:rPr>
          <w:color w:val="000000"/>
          <w:szCs w:val="24"/>
        </w:rPr>
        <w:t>am</w:t>
      </w:r>
      <w:r>
        <w:rPr>
          <w:color w:val="000000"/>
          <w:szCs w:val="24"/>
        </w:rPr>
        <w:t xml:space="preserve">. </w:t>
      </w:r>
      <w:r w:rsidR="00DF531F">
        <w:rPr>
          <w:color w:val="000000"/>
          <w:szCs w:val="24"/>
        </w:rPr>
        <w:t xml:space="preserve">Pārējie prokurora amata </w:t>
      </w:r>
      <w:r>
        <w:rPr>
          <w:color w:val="000000"/>
          <w:szCs w:val="24"/>
        </w:rPr>
        <w:t xml:space="preserve">kandidāti </w:t>
      </w:r>
      <w:r w:rsidR="009D2586">
        <w:rPr>
          <w:color w:val="000000"/>
          <w:szCs w:val="24"/>
        </w:rPr>
        <w:t xml:space="preserve">2021. gadā </w:t>
      </w:r>
      <w:r>
        <w:rPr>
          <w:color w:val="000000"/>
          <w:szCs w:val="24"/>
        </w:rPr>
        <w:t xml:space="preserve">turpina pildīt stažēšanās programmu. </w:t>
      </w:r>
      <w:r w:rsidR="00DF531F">
        <w:rPr>
          <w:color w:val="000000"/>
          <w:szCs w:val="24"/>
        </w:rPr>
        <w:t xml:space="preserve">Tajā pašā laikā </w:t>
      </w:r>
      <w:r>
        <w:rPr>
          <w:color w:val="000000"/>
          <w:szCs w:val="24"/>
        </w:rPr>
        <w:t xml:space="preserve">par </w:t>
      </w:r>
      <w:r w:rsidRPr="009D2586">
        <w:rPr>
          <w:b/>
          <w:bCs/>
          <w:color w:val="000000"/>
          <w:szCs w:val="24"/>
        </w:rPr>
        <w:t>3</w:t>
      </w:r>
      <w:r w:rsidR="009D2586">
        <w:rPr>
          <w:color w:val="000000"/>
          <w:szCs w:val="24"/>
        </w:rPr>
        <w:t> </w:t>
      </w:r>
      <w:r w:rsidR="00DF531F">
        <w:rPr>
          <w:color w:val="000000"/>
          <w:szCs w:val="24"/>
        </w:rPr>
        <w:t xml:space="preserve">prokurora amata </w:t>
      </w:r>
      <w:r>
        <w:rPr>
          <w:color w:val="000000"/>
          <w:szCs w:val="24"/>
        </w:rPr>
        <w:t>pretendentiem Prokuroru atestācijas komisija sniedza negatīvu atzinumu, ka</w:t>
      </w:r>
      <w:r w:rsidR="00BE1F60">
        <w:rPr>
          <w:color w:val="000000"/>
          <w:szCs w:val="24"/>
        </w:rPr>
        <w:t xml:space="preserve"> viņi</w:t>
      </w:r>
      <w:r>
        <w:rPr>
          <w:color w:val="000000"/>
          <w:szCs w:val="24"/>
        </w:rPr>
        <w:t xml:space="preserve"> neatbilst prokurora amata kandidāta statusam. Galvenais iemesls bija nevainojamas reputācijas trūkums.</w:t>
      </w:r>
    </w:p>
    <w:p w14:paraId="3B1EB535" w14:textId="77777777" w:rsidR="00B63754" w:rsidRDefault="00B63754" w:rsidP="00B63754">
      <w:pPr>
        <w:spacing w:after="0" w:line="240" w:lineRule="auto"/>
        <w:ind w:firstLine="720"/>
        <w:jc w:val="both"/>
        <w:rPr>
          <w:color w:val="000000"/>
          <w:szCs w:val="24"/>
        </w:rPr>
      </w:pPr>
    </w:p>
    <w:p w14:paraId="6A119C3A" w14:textId="6CCDA7C4" w:rsidR="000B02CC" w:rsidRDefault="00086FC8" w:rsidP="000B02CC">
      <w:pPr>
        <w:spacing w:after="0" w:line="240" w:lineRule="auto"/>
        <w:ind w:firstLine="720"/>
        <w:jc w:val="both"/>
        <w:rPr>
          <w:color w:val="000000"/>
          <w:szCs w:val="24"/>
        </w:rPr>
      </w:pPr>
      <w:r>
        <w:rPr>
          <w:color w:val="000000"/>
          <w:szCs w:val="24"/>
        </w:rPr>
        <w:t>P</w:t>
      </w:r>
      <w:r w:rsidR="00B63754">
        <w:rPr>
          <w:color w:val="000000"/>
          <w:szCs w:val="24"/>
        </w:rPr>
        <w:t xml:space="preserve">rokuroru </w:t>
      </w:r>
      <w:r w:rsidR="006C1B0D">
        <w:rPr>
          <w:color w:val="000000"/>
          <w:szCs w:val="24"/>
        </w:rPr>
        <w:t xml:space="preserve">atestācijas komisijā </w:t>
      </w:r>
      <w:r w:rsidR="006C1B0D" w:rsidRPr="0030364F">
        <w:rPr>
          <w:color w:val="000000"/>
          <w:szCs w:val="24"/>
        </w:rPr>
        <w:t>izskatīti 8</w:t>
      </w:r>
      <w:r w:rsidR="006C1B0D">
        <w:rPr>
          <w:color w:val="000000"/>
          <w:szCs w:val="24"/>
        </w:rPr>
        <w:t xml:space="preserve"> ar prokuroru </w:t>
      </w:r>
      <w:r w:rsidR="00B63754">
        <w:rPr>
          <w:color w:val="000000"/>
          <w:szCs w:val="24"/>
        </w:rPr>
        <w:t>disciplināratbildīb</w:t>
      </w:r>
      <w:r w:rsidR="006C1B0D">
        <w:rPr>
          <w:color w:val="000000"/>
          <w:szCs w:val="24"/>
        </w:rPr>
        <w:t>u saistīti jautājumi</w:t>
      </w:r>
      <w:r w:rsidR="00B63754">
        <w:rPr>
          <w:color w:val="000000"/>
          <w:szCs w:val="24"/>
        </w:rPr>
        <w:t>.</w:t>
      </w:r>
    </w:p>
    <w:p w14:paraId="5397B69F" w14:textId="7E45D8A3" w:rsidR="000B02CC" w:rsidRDefault="000B02CC" w:rsidP="00B63754">
      <w:pPr>
        <w:spacing w:after="0" w:line="240" w:lineRule="auto"/>
        <w:ind w:firstLine="720"/>
        <w:jc w:val="both"/>
        <w:rPr>
          <w:color w:val="000000"/>
          <w:szCs w:val="24"/>
        </w:rPr>
      </w:pPr>
    </w:p>
    <w:p w14:paraId="5894CE1D" w14:textId="6E660C29" w:rsidR="000B02CC" w:rsidRDefault="000B02CC" w:rsidP="00FE3D98">
      <w:pPr>
        <w:spacing w:after="0" w:line="240" w:lineRule="auto"/>
        <w:jc w:val="center"/>
        <w:rPr>
          <w:color w:val="000000"/>
          <w:szCs w:val="24"/>
        </w:rPr>
      </w:pPr>
      <w:r>
        <w:rPr>
          <w:noProof/>
        </w:rPr>
        <w:drawing>
          <wp:inline distT="0" distB="0" distL="0" distR="0" wp14:anchorId="05DD7A13" wp14:editId="6BF0EA5F">
            <wp:extent cx="4578350" cy="2235200"/>
            <wp:effectExtent l="0" t="0" r="12700" b="12700"/>
            <wp:docPr id="95" name="Chart 95">
              <a:extLst xmlns:a="http://schemas.openxmlformats.org/drawingml/2006/main">
                <a:ext uri="{FF2B5EF4-FFF2-40B4-BE49-F238E27FC236}">
                  <a16:creationId xmlns:a16="http://schemas.microsoft.com/office/drawing/2014/main" id="{692C5C01-51F0-4D89-83B0-3EBFDB6A37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2E07923F" w14:textId="16C23FFB" w:rsidR="00B63754" w:rsidRDefault="00B63754" w:rsidP="000B02CC">
      <w:pPr>
        <w:spacing w:after="0" w:line="240" w:lineRule="auto"/>
        <w:jc w:val="both"/>
        <w:rPr>
          <w:color w:val="000000"/>
          <w:szCs w:val="24"/>
        </w:rPr>
      </w:pPr>
    </w:p>
    <w:p w14:paraId="34B5B986" w14:textId="5BAF53C8" w:rsidR="00201D71" w:rsidRDefault="00B63754" w:rsidP="00B63754">
      <w:pPr>
        <w:spacing w:after="0" w:line="240" w:lineRule="auto"/>
        <w:ind w:firstLine="720"/>
        <w:jc w:val="both"/>
        <w:rPr>
          <w:color w:val="000000"/>
          <w:szCs w:val="24"/>
        </w:rPr>
      </w:pPr>
      <w:r>
        <w:rPr>
          <w:color w:val="000000"/>
          <w:szCs w:val="24"/>
        </w:rPr>
        <w:t xml:space="preserve">Diagrammā redzams, ka Prokuroru atestācijas komisijas atzinums par nepieciešamību prokuroram piemērot disciplinārsodu dots </w:t>
      </w:r>
      <w:r w:rsidRPr="0030364F">
        <w:rPr>
          <w:color w:val="000000"/>
          <w:szCs w:val="24"/>
        </w:rPr>
        <w:t xml:space="preserve">2 gadījumos. </w:t>
      </w:r>
      <w:r w:rsidR="00407883" w:rsidRPr="0030364F">
        <w:rPr>
          <w:color w:val="000000"/>
          <w:szCs w:val="24"/>
        </w:rPr>
        <w:t>Abos gadījumos ģenerālprokurors</w:t>
      </w:r>
      <w:r w:rsidR="009079A8" w:rsidRPr="0030364F">
        <w:rPr>
          <w:color w:val="000000"/>
          <w:szCs w:val="24"/>
        </w:rPr>
        <w:t>, ievērojot</w:t>
      </w:r>
      <w:r w:rsidR="00407883" w:rsidRPr="0030364F">
        <w:rPr>
          <w:color w:val="000000"/>
          <w:szCs w:val="24"/>
        </w:rPr>
        <w:t xml:space="preserve"> Prokuroru atestācijas komisijas atzinum</w:t>
      </w:r>
      <w:r w:rsidR="009079A8" w:rsidRPr="0030364F">
        <w:rPr>
          <w:color w:val="000000"/>
          <w:szCs w:val="24"/>
        </w:rPr>
        <w:t xml:space="preserve">u, </w:t>
      </w:r>
      <w:r w:rsidR="00706C5C" w:rsidRPr="0030364F">
        <w:rPr>
          <w:color w:val="000000"/>
          <w:szCs w:val="24"/>
        </w:rPr>
        <w:t xml:space="preserve">kurā bija atzīts, ka izdarīts administratīvais pārkāpums, </w:t>
      </w:r>
      <w:r w:rsidR="009079A8" w:rsidRPr="0030364F">
        <w:rPr>
          <w:color w:val="000000"/>
          <w:szCs w:val="24"/>
        </w:rPr>
        <w:t xml:space="preserve">par </w:t>
      </w:r>
      <w:r w:rsidR="00706C5C" w:rsidRPr="0030364F">
        <w:rPr>
          <w:color w:val="000000"/>
          <w:szCs w:val="24"/>
        </w:rPr>
        <w:t xml:space="preserve">ko prokurors saucams pie disciplinārās atbildības, </w:t>
      </w:r>
      <w:r w:rsidR="00307608" w:rsidRPr="0030364F">
        <w:rPr>
          <w:color w:val="000000"/>
          <w:szCs w:val="24"/>
        </w:rPr>
        <w:t>piemēroja disciplinārsodu</w:t>
      </w:r>
      <w:r w:rsidR="009079A8" w:rsidRPr="0030364F">
        <w:rPr>
          <w:color w:val="000000"/>
          <w:szCs w:val="24"/>
        </w:rPr>
        <w:t xml:space="preserve"> 2</w:t>
      </w:r>
      <w:r w:rsidR="00706C5C" w:rsidRPr="0030364F">
        <w:rPr>
          <w:color w:val="000000"/>
          <w:szCs w:val="24"/>
        </w:rPr>
        <w:t> </w:t>
      </w:r>
      <w:r w:rsidR="009079A8" w:rsidRPr="0030364F">
        <w:rPr>
          <w:color w:val="000000"/>
          <w:szCs w:val="24"/>
        </w:rPr>
        <w:t xml:space="preserve">prokuroriem </w:t>
      </w:r>
      <w:r w:rsidR="00307608" w:rsidRPr="0030364F">
        <w:rPr>
          <w:color w:val="000000"/>
          <w:szCs w:val="24"/>
        </w:rPr>
        <w:t xml:space="preserve"> – prokurora mēneš</w:t>
      </w:r>
      <w:r w:rsidR="004F6A35" w:rsidRPr="0030364F">
        <w:rPr>
          <w:color w:val="000000"/>
          <w:szCs w:val="24"/>
        </w:rPr>
        <w:t xml:space="preserve">a </w:t>
      </w:r>
      <w:r w:rsidR="00307608" w:rsidRPr="0030364F">
        <w:rPr>
          <w:color w:val="000000"/>
          <w:szCs w:val="24"/>
        </w:rPr>
        <w:t>algas samazināšan</w:t>
      </w:r>
      <w:r w:rsidR="009079A8" w:rsidRPr="0030364F">
        <w:rPr>
          <w:color w:val="000000"/>
          <w:szCs w:val="24"/>
        </w:rPr>
        <w:t>u</w:t>
      </w:r>
      <w:r w:rsidR="00307608" w:rsidRPr="0030364F">
        <w:rPr>
          <w:color w:val="000000"/>
          <w:szCs w:val="24"/>
        </w:rPr>
        <w:t>.</w:t>
      </w:r>
      <w:r w:rsidR="009079A8" w:rsidRPr="0030364F">
        <w:rPr>
          <w:color w:val="000000"/>
          <w:szCs w:val="24"/>
        </w:rPr>
        <w:t xml:space="preserve"> </w:t>
      </w:r>
      <w:r w:rsidRPr="0030364F">
        <w:rPr>
          <w:color w:val="000000"/>
          <w:szCs w:val="24"/>
        </w:rPr>
        <w:t>Tajā pašā laikā 5</w:t>
      </w:r>
      <w:r>
        <w:rPr>
          <w:color w:val="000000"/>
          <w:szCs w:val="24"/>
        </w:rPr>
        <w:t xml:space="preserve"> gadījumos konstatēts, </w:t>
      </w:r>
      <w:r>
        <w:rPr>
          <w:color w:val="000000"/>
          <w:szCs w:val="24"/>
        </w:rPr>
        <w:lastRenderedPageBreak/>
        <w:t xml:space="preserve">ka prokurors ir pieļāvis likuma pārkāpumu, tomēr šī pārkāpuma smagums un raksturs nav bijis tāds, lai piemērotu disciplinārsodu. </w:t>
      </w:r>
      <w:r w:rsidR="00201D71" w:rsidRPr="0030364F">
        <w:rPr>
          <w:color w:val="000000"/>
          <w:szCs w:val="24"/>
        </w:rPr>
        <w:t>1</w:t>
      </w:r>
      <w:r w:rsidR="00201D71">
        <w:rPr>
          <w:color w:val="000000"/>
          <w:szCs w:val="24"/>
        </w:rPr>
        <w:t> gadījumā netika konstatēts likum</w:t>
      </w:r>
      <w:r w:rsidR="004F6A35">
        <w:rPr>
          <w:color w:val="000000"/>
          <w:szCs w:val="24"/>
        </w:rPr>
        <w:t xml:space="preserve">a </w:t>
      </w:r>
      <w:r w:rsidR="00201D71">
        <w:rPr>
          <w:color w:val="000000"/>
          <w:szCs w:val="24"/>
        </w:rPr>
        <w:t xml:space="preserve">pārkāpums. </w:t>
      </w:r>
    </w:p>
    <w:p w14:paraId="73824BE2" w14:textId="399D80C6" w:rsidR="00B63754" w:rsidRDefault="00B63754" w:rsidP="00B63754">
      <w:pPr>
        <w:spacing w:after="0" w:line="240" w:lineRule="auto"/>
        <w:ind w:firstLine="720"/>
        <w:jc w:val="both"/>
        <w:rPr>
          <w:color w:val="000000"/>
          <w:szCs w:val="24"/>
        </w:rPr>
      </w:pPr>
      <w:r>
        <w:rPr>
          <w:color w:val="000000"/>
          <w:szCs w:val="24"/>
        </w:rPr>
        <w:t>Vienlaicīgi jāpiezīmē, ka arī virsprokuror</w:t>
      </w:r>
      <w:r w:rsidR="00201D71">
        <w:rPr>
          <w:color w:val="000000"/>
          <w:szCs w:val="24"/>
        </w:rPr>
        <w:t>s</w:t>
      </w:r>
      <w:r>
        <w:rPr>
          <w:color w:val="000000"/>
          <w:szCs w:val="24"/>
        </w:rPr>
        <w:t xml:space="preserve"> saskaņā ar Prokuratūras likuma 45.</w:t>
      </w:r>
      <w:r w:rsidR="00201D71">
        <w:rPr>
          <w:color w:val="000000"/>
          <w:szCs w:val="24"/>
        </w:rPr>
        <w:t> </w:t>
      </w:r>
      <w:r>
        <w:rPr>
          <w:color w:val="000000"/>
          <w:szCs w:val="24"/>
        </w:rPr>
        <w:t xml:space="preserve">panta pirmo daļu </w:t>
      </w:r>
      <w:r w:rsidR="00201D71">
        <w:rPr>
          <w:color w:val="000000"/>
          <w:szCs w:val="24"/>
        </w:rPr>
        <w:t xml:space="preserve">ir </w:t>
      </w:r>
      <w:r>
        <w:rPr>
          <w:color w:val="000000"/>
          <w:szCs w:val="24"/>
        </w:rPr>
        <w:t>tiesīg</w:t>
      </w:r>
      <w:r w:rsidR="00201D71">
        <w:rPr>
          <w:color w:val="000000"/>
          <w:szCs w:val="24"/>
        </w:rPr>
        <w:t>s</w:t>
      </w:r>
      <w:r>
        <w:rPr>
          <w:color w:val="000000"/>
          <w:szCs w:val="24"/>
        </w:rPr>
        <w:t xml:space="preserve"> viņa vadītās </w:t>
      </w:r>
      <w:r w:rsidR="00201D71">
        <w:rPr>
          <w:color w:val="000000"/>
          <w:szCs w:val="24"/>
        </w:rPr>
        <w:t xml:space="preserve">prokuratūras </w:t>
      </w:r>
      <w:r>
        <w:rPr>
          <w:color w:val="000000"/>
          <w:szCs w:val="24"/>
        </w:rPr>
        <w:t xml:space="preserve">struktūrvienības prokuroram piemērot disciplinārsodu – piezīmi vai rājienu. Šādas tiesības </w:t>
      </w:r>
      <w:r w:rsidR="00201D71">
        <w:rPr>
          <w:color w:val="000000"/>
          <w:szCs w:val="24"/>
        </w:rPr>
        <w:t xml:space="preserve">2020. gadā </w:t>
      </w:r>
      <w:r>
        <w:rPr>
          <w:color w:val="000000"/>
          <w:szCs w:val="24"/>
        </w:rPr>
        <w:t xml:space="preserve">virsprokurori izmantojuši </w:t>
      </w:r>
      <w:r w:rsidRPr="0030364F">
        <w:rPr>
          <w:color w:val="000000"/>
          <w:szCs w:val="24"/>
        </w:rPr>
        <w:t>6</w:t>
      </w:r>
      <w:r w:rsidR="00201D71">
        <w:rPr>
          <w:color w:val="000000"/>
          <w:szCs w:val="24"/>
        </w:rPr>
        <w:t> </w:t>
      </w:r>
      <w:r>
        <w:rPr>
          <w:color w:val="000000"/>
          <w:szCs w:val="24"/>
        </w:rPr>
        <w:t xml:space="preserve">gadījumos. Savukārt smagāku disciplinārsodu par rājienu </w:t>
      </w:r>
      <w:r w:rsidR="000B0D66">
        <w:rPr>
          <w:color w:val="000000"/>
          <w:szCs w:val="24"/>
        </w:rPr>
        <w:t>vai</w:t>
      </w:r>
      <w:r>
        <w:rPr>
          <w:color w:val="000000"/>
          <w:szCs w:val="24"/>
        </w:rPr>
        <w:t xml:space="preserve"> piezīmi </w:t>
      </w:r>
      <w:r w:rsidR="00201D71">
        <w:rPr>
          <w:color w:val="000000"/>
          <w:szCs w:val="24"/>
        </w:rPr>
        <w:t xml:space="preserve">ir </w:t>
      </w:r>
      <w:r>
        <w:rPr>
          <w:color w:val="000000"/>
          <w:szCs w:val="24"/>
        </w:rPr>
        <w:t xml:space="preserve">tiesīgs piemērot vienīgi ģenerālprokurors. </w:t>
      </w:r>
    </w:p>
    <w:p w14:paraId="68A60480" w14:textId="77777777" w:rsidR="00B63754" w:rsidRDefault="00B63754" w:rsidP="00B63754">
      <w:pPr>
        <w:spacing w:after="0" w:line="240" w:lineRule="auto"/>
        <w:jc w:val="both"/>
        <w:rPr>
          <w:color w:val="000000"/>
          <w:szCs w:val="24"/>
        </w:rPr>
      </w:pPr>
    </w:p>
    <w:p w14:paraId="440795D1" w14:textId="4CDE9BD6" w:rsidR="00B63754" w:rsidRPr="00D7483F" w:rsidRDefault="00B63754" w:rsidP="00B63754">
      <w:pPr>
        <w:spacing w:after="0" w:line="240" w:lineRule="auto"/>
        <w:jc w:val="both"/>
        <w:rPr>
          <w:b/>
          <w:bCs/>
          <w:color w:val="000000"/>
          <w:szCs w:val="24"/>
        </w:rPr>
      </w:pPr>
      <w:r w:rsidRPr="00D7483F">
        <w:rPr>
          <w:b/>
          <w:bCs/>
          <w:color w:val="000000"/>
          <w:szCs w:val="24"/>
        </w:rPr>
        <w:t>Prokuroru atestācijas komisijas līdzpriekšsēdētājs</w:t>
      </w:r>
      <w:r w:rsidR="00D7483F">
        <w:rPr>
          <w:b/>
          <w:bCs/>
          <w:color w:val="000000"/>
          <w:szCs w:val="24"/>
        </w:rPr>
        <w:t xml:space="preserve"> </w:t>
      </w:r>
      <w:r w:rsidRPr="00D7483F">
        <w:rPr>
          <w:b/>
          <w:bCs/>
          <w:color w:val="000000"/>
          <w:szCs w:val="24"/>
        </w:rPr>
        <w:t>A</w:t>
      </w:r>
      <w:r w:rsidR="0072497D">
        <w:rPr>
          <w:b/>
          <w:bCs/>
          <w:color w:val="000000"/>
          <w:szCs w:val="24"/>
        </w:rPr>
        <w:t>. </w:t>
      </w:r>
      <w:proofErr w:type="spellStart"/>
      <w:r w:rsidRPr="00D7483F">
        <w:rPr>
          <w:b/>
          <w:bCs/>
          <w:color w:val="000000"/>
          <w:szCs w:val="24"/>
        </w:rPr>
        <w:t>Ostapko</w:t>
      </w:r>
      <w:proofErr w:type="spellEnd"/>
    </w:p>
    <w:p w14:paraId="720B3B4E" w14:textId="2A264166" w:rsidR="00FE3D98" w:rsidRDefault="00741412" w:rsidP="00B63754">
      <w:pPr>
        <w:spacing w:after="0" w:line="240" w:lineRule="auto"/>
        <w:jc w:val="both"/>
        <w:rPr>
          <w:b/>
          <w:bCs/>
          <w:color w:val="000000"/>
          <w:szCs w:val="24"/>
        </w:rPr>
      </w:pPr>
      <w:r>
        <w:rPr>
          <w:b/>
          <w:bCs/>
          <w:color w:val="000000"/>
          <w:szCs w:val="24"/>
        </w:rPr>
        <w:t xml:space="preserve">Rīgā </w:t>
      </w:r>
      <w:r w:rsidR="00B63754" w:rsidRPr="00D7483F">
        <w:rPr>
          <w:b/>
          <w:bCs/>
          <w:color w:val="000000"/>
          <w:szCs w:val="24"/>
        </w:rPr>
        <w:t>2021.</w:t>
      </w:r>
      <w:r w:rsidR="00D7483F">
        <w:rPr>
          <w:b/>
          <w:bCs/>
          <w:color w:val="000000"/>
          <w:szCs w:val="24"/>
        </w:rPr>
        <w:t> </w:t>
      </w:r>
      <w:r w:rsidR="00B63754" w:rsidRPr="00D7483F">
        <w:rPr>
          <w:b/>
          <w:bCs/>
          <w:color w:val="000000"/>
          <w:szCs w:val="24"/>
        </w:rPr>
        <w:t>gada 1</w:t>
      </w:r>
      <w:r w:rsidR="00D50FA1">
        <w:rPr>
          <w:b/>
          <w:bCs/>
          <w:color w:val="000000"/>
          <w:szCs w:val="24"/>
        </w:rPr>
        <w:t>0</w:t>
      </w:r>
      <w:r w:rsidR="00B63754" w:rsidRPr="00D7483F">
        <w:rPr>
          <w:b/>
          <w:bCs/>
          <w:color w:val="000000"/>
          <w:szCs w:val="24"/>
        </w:rPr>
        <w:t>.</w:t>
      </w:r>
      <w:r w:rsidR="00D7483F">
        <w:rPr>
          <w:b/>
          <w:bCs/>
          <w:color w:val="000000"/>
          <w:szCs w:val="24"/>
        </w:rPr>
        <w:t> </w:t>
      </w:r>
      <w:r w:rsidR="00B63754" w:rsidRPr="00D7483F">
        <w:rPr>
          <w:b/>
          <w:bCs/>
          <w:color w:val="000000"/>
          <w:szCs w:val="24"/>
        </w:rPr>
        <w:t>februārī</w:t>
      </w:r>
    </w:p>
    <w:p w14:paraId="42394559" w14:textId="72A27217" w:rsidR="00B63754" w:rsidRPr="00D7483F" w:rsidRDefault="00FE3D98" w:rsidP="00FE3D98">
      <w:pPr>
        <w:rPr>
          <w:b/>
          <w:bCs/>
          <w:color w:val="000000"/>
          <w:szCs w:val="24"/>
        </w:rPr>
      </w:pPr>
      <w:r>
        <w:rPr>
          <w:b/>
          <w:bCs/>
          <w:color w:val="000000"/>
          <w:szCs w:val="24"/>
        </w:rPr>
        <w:br w:type="page"/>
      </w:r>
    </w:p>
    <w:p w14:paraId="2E172E0F" w14:textId="51BC4AA5" w:rsidR="003A13CA" w:rsidRDefault="000F2172" w:rsidP="003A13CA">
      <w:pPr>
        <w:spacing w:after="0"/>
        <w:jc w:val="center"/>
        <w:rPr>
          <w:b/>
          <w:bCs/>
          <w:sz w:val="32"/>
          <w:szCs w:val="32"/>
        </w:rPr>
      </w:pPr>
      <w:bookmarkStart w:id="87" w:name="_Hlk64382230"/>
      <w:r w:rsidRPr="000F2172">
        <w:rPr>
          <w:b/>
          <w:bCs/>
          <w:sz w:val="32"/>
          <w:szCs w:val="32"/>
        </w:rPr>
        <w:lastRenderedPageBreak/>
        <w:t xml:space="preserve">Prokuroru kvalifikācijas komisijas </w:t>
      </w:r>
      <w:r>
        <w:rPr>
          <w:b/>
          <w:bCs/>
          <w:sz w:val="32"/>
          <w:szCs w:val="32"/>
        </w:rPr>
        <w:t xml:space="preserve">2020. gada </w:t>
      </w:r>
      <w:r w:rsidRPr="000F2172">
        <w:rPr>
          <w:b/>
          <w:bCs/>
          <w:sz w:val="32"/>
          <w:szCs w:val="32"/>
        </w:rPr>
        <w:t>darba pārskats</w:t>
      </w:r>
      <w:r w:rsidR="001F6622">
        <w:rPr>
          <w:b/>
          <w:bCs/>
          <w:sz w:val="32"/>
          <w:szCs w:val="32"/>
        </w:rPr>
        <w:t xml:space="preserve"> </w:t>
      </w:r>
      <w:bookmarkEnd w:id="87"/>
    </w:p>
    <w:p w14:paraId="3F888B0F" w14:textId="77777777" w:rsidR="00736BDB" w:rsidRPr="00F62B7E" w:rsidRDefault="00736BDB" w:rsidP="003A13CA">
      <w:pPr>
        <w:spacing w:after="0"/>
        <w:jc w:val="center"/>
        <w:rPr>
          <w:b/>
          <w:bCs/>
          <w:szCs w:val="24"/>
        </w:rPr>
      </w:pPr>
    </w:p>
    <w:p w14:paraId="6C11C3E1" w14:textId="434A2986" w:rsidR="00C84591" w:rsidRDefault="00C84591" w:rsidP="00C84591">
      <w:pPr>
        <w:spacing w:after="0" w:line="240" w:lineRule="auto"/>
        <w:ind w:firstLine="720"/>
        <w:jc w:val="both"/>
        <w:rPr>
          <w:color w:val="000000"/>
          <w:szCs w:val="24"/>
        </w:rPr>
      </w:pPr>
      <w:r>
        <w:rPr>
          <w:color w:val="000000" w:themeColor="text1"/>
          <w:szCs w:val="24"/>
        </w:rPr>
        <w:t>Prokuroru kvalifikācijas komisija</w:t>
      </w:r>
      <w:r>
        <w:rPr>
          <w:color w:val="000000"/>
          <w:szCs w:val="24"/>
        </w:rPr>
        <w:t xml:space="preserve"> </w:t>
      </w:r>
      <w:r w:rsidRPr="004F5D62">
        <w:rPr>
          <w:color w:val="000000"/>
          <w:szCs w:val="24"/>
        </w:rPr>
        <w:t>atbilstoši Prokuratūras likuma 29.</w:t>
      </w:r>
      <w:r w:rsidRPr="004F5D62">
        <w:rPr>
          <w:color w:val="000000"/>
          <w:szCs w:val="24"/>
          <w:vertAlign w:val="superscript"/>
        </w:rPr>
        <w:t>2</w:t>
      </w:r>
      <w:r w:rsidR="001F6622">
        <w:rPr>
          <w:color w:val="000000"/>
          <w:szCs w:val="24"/>
          <w:vertAlign w:val="superscript"/>
        </w:rPr>
        <w:t> </w:t>
      </w:r>
      <w:r w:rsidRPr="004F5D62">
        <w:rPr>
          <w:color w:val="000000"/>
          <w:szCs w:val="24"/>
        </w:rPr>
        <w:t>panta otrajai daļai izvērtē un dod atzinumu par prokurora amata kandidāt</w:t>
      </w:r>
      <w:r w:rsidR="00456A11">
        <w:rPr>
          <w:color w:val="000000"/>
          <w:szCs w:val="24"/>
        </w:rPr>
        <w:t>a</w:t>
      </w:r>
      <w:r w:rsidRPr="004F5D62">
        <w:rPr>
          <w:color w:val="000000"/>
          <w:szCs w:val="24"/>
        </w:rPr>
        <w:t xml:space="preserve"> stažēšanās programmas izpildi, par prokurora amata kandidāta, prokurora zināšanu un profesionālo iemaņu atbilstību prokurora amatam, kā arī veic citas Prokuratūras likumā noteiktās un Prokuroru kvalifikācijas komisijas nolikumā paredzētās funkcijas</w:t>
      </w:r>
      <w:r w:rsidR="00414B37">
        <w:rPr>
          <w:color w:val="000000"/>
          <w:szCs w:val="24"/>
        </w:rPr>
        <w:t xml:space="preserve">, tostarp pieņem un izvērtē </w:t>
      </w:r>
      <w:r w:rsidR="00414B37">
        <w:t>prokurora amata pretendentu vispārējo un juridisko zināšanu pārbaudījumu</w:t>
      </w:r>
      <w:r w:rsidR="005E3785">
        <w:t>.</w:t>
      </w:r>
    </w:p>
    <w:p w14:paraId="623788F5" w14:textId="2C0B915F" w:rsidR="001F6622" w:rsidRPr="0030364F" w:rsidRDefault="001F6622" w:rsidP="00C84591">
      <w:pPr>
        <w:spacing w:after="0" w:line="240" w:lineRule="auto"/>
        <w:ind w:firstLine="720"/>
        <w:jc w:val="both"/>
        <w:rPr>
          <w:color w:val="000000"/>
          <w:szCs w:val="24"/>
        </w:rPr>
      </w:pPr>
      <w:r w:rsidRPr="0030364F">
        <w:rPr>
          <w:color w:val="000000"/>
          <w:szCs w:val="24"/>
        </w:rPr>
        <w:t xml:space="preserve">Prokuroru kvalifikācijas  komisija 2018., 2019. un 2020. gadā darbojās </w:t>
      </w:r>
      <w:r w:rsidRPr="0030364F">
        <w:rPr>
          <w:szCs w:val="24"/>
        </w:rPr>
        <w:t>šādā sastāvā – 2</w:t>
      </w:r>
      <w:r w:rsidR="001E4E78" w:rsidRPr="0030364F">
        <w:rPr>
          <w:szCs w:val="24"/>
        </w:rPr>
        <w:t> </w:t>
      </w:r>
      <w:r w:rsidRPr="0030364F">
        <w:rPr>
          <w:szCs w:val="24"/>
        </w:rPr>
        <w:t xml:space="preserve">līdzpriekšsēdētāji, </w:t>
      </w:r>
      <w:r w:rsidR="009678FC" w:rsidRPr="0030364F">
        <w:rPr>
          <w:szCs w:val="24"/>
        </w:rPr>
        <w:t>7</w:t>
      </w:r>
      <w:r w:rsidR="001E4E78" w:rsidRPr="0030364F">
        <w:rPr>
          <w:szCs w:val="24"/>
        </w:rPr>
        <w:t> </w:t>
      </w:r>
      <w:r w:rsidRPr="0030364F">
        <w:rPr>
          <w:szCs w:val="24"/>
        </w:rPr>
        <w:t>komisijas locekļi un 1</w:t>
      </w:r>
      <w:r w:rsidR="001E4E78" w:rsidRPr="0030364F">
        <w:rPr>
          <w:szCs w:val="24"/>
        </w:rPr>
        <w:t> </w:t>
      </w:r>
      <w:r w:rsidR="00682DBA" w:rsidRPr="0030364F">
        <w:rPr>
          <w:szCs w:val="24"/>
        </w:rPr>
        <w:t xml:space="preserve">komisijas </w:t>
      </w:r>
      <w:r w:rsidRPr="0030364F">
        <w:rPr>
          <w:szCs w:val="24"/>
        </w:rPr>
        <w:t>sekretāre</w:t>
      </w:r>
      <w:r w:rsidR="00682DBA" w:rsidRPr="0030364F">
        <w:rPr>
          <w:szCs w:val="24"/>
        </w:rPr>
        <w:t>.</w:t>
      </w:r>
    </w:p>
    <w:p w14:paraId="08254826" w14:textId="6376D08A" w:rsidR="000F2172" w:rsidRDefault="000F2172" w:rsidP="000F2172">
      <w:pPr>
        <w:spacing w:after="0" w:line="240" w:lineRule="auto"/>
        <w:jc w:val="both"/>
        <w:rPr>
          <w:szCs w:val="24"/>
        </w:rPr>
      </w:pPr>
      <w:r w:rsidRPr="0030364F">
        <w:rPr>
          <w:szCs w:val="24"/>
        </w:rPr>
        <w:tab/>
        <w:t xml:space="preserve">Saskaņā ar Ģenerālprokurora padomes </w:t>
      </w:r>
      <w:r w:rsidR="00682DBA" w:rsidRPr="0030364F">
        <w:rPr>
          <w:szCs w:val="24"/>
        </w:rPr>
        <w:t xml:space="preserve">2020. gada 23. decembra </w:t>
      </w:r>
      <w:r w:rsidRPr="0030364F">
        <w:rPr>
          <w:szCs w:val="24"/>
        </w:rPr>
        <w:t xml:space="preserve">lēmumu Nr.13 </w:t>
      </w:r>
      <w:r w:rsidRPr="0030364F">
        <w:rPr>
          <w:i/>
          <w:iCs/>
          <w:szCs w:val="24"/>
        </w:rPr>
        <w:t>Par prokuroru kvalifikācijas komisijas izveidošanu</w:t>
      </w:r>
      <w:r w:rsidRPr="0030364F">
        <w:rPr>
          <w:szCs w:val="24"/>
        </w:rPr>
        <w:t xml:space="preserve"> 2021.</w:t>
      </w:r>
      <w:r w:rsidR="00682DBA" w:rsidRPr="0030364F">
        <w:rPr>
          <w:szCs w:val="24"/>
        </w:rPr>
        <w:t> </w:t>
      </w:r>
      <w:r w:rsidRPr="0030364F">
        <w:rPr>
          <w:szCs w:val="24"/>
        </w:rPr>
        <w:t>gadā</w:t>
      </w:r>
      <w:r w:rsidR="00682DBA" w:rsidRPr="0030364F">
        <w:rPr>
          <w:szCs w:val="24"/>
        </w:rPr>
        <w:t xml:space="preserve"> Prokuroru kvalifikācijas komisijas sastāvs ir samazināts un tajā darbosies</w:t>
      </w:r>
      <w:r w:rsidR="009678FC" w:rsidRPr="0030364F">
        <w:rPr>
          <w:szCs w:val="24"/>
        </w:rPr>
        <w:t xml:space="preserve"> 2</w:t>
      </w:r>
      <w:r w:rsidR="001E4E78" w:rsidRPr="0030364F">
        <w:rPr>
          <w:szCs w:val="24"/>
        </w:rPr>
        <w:t> </w:t>
      </w:r>
      <w:r w:rsidR="009678FC" w:rsidRPr="0030364F">
        <w:rPr>
          <w:szCs w:val="24"/>
        </w:rPr>
        <w:t>līdzpriekšsēdētāji, 5</w:t>
      </w:r>
      <w:r w:rsidR="001E4E78" w:rsidRPr="0030364F">
        <w:rPr>
          <w:szCs w:val="24"/>
        </w:rPr>
        <w:t> </w:t>
      </w:r>
      <w:r w:rsidR="009678FC" w:rsidRPr="0030364F">
        <w:rPr>
          <w:szCs w:val="24"/>
        </w:rPr>
        <w:t>komisijas locekļi un 1</w:t>
      </w:r>
      <w:r w:rsidR="001E4E78" w:rsidRPr="0030364F">
        <w:rPr>
          <w:szCs w:val="24"/>
        </w:rPr>
        <w:t> </w:t>
      </w:r>
      <w:r w:rsidR="009678FC" w:rsidRPr="0030364F">
        <w:rPr>
          <w:szCs w:val="24"/>
        </w:rPr>
        <w:t>komisijas</w:t>
      </w:r>
      <w:r w:rsidR="009678FC">
        <w:rPr>
          <w:szCs w:val="24"/>
        </w:rPr>
        <w:t xml:space="preserve"> sekretāre.</w:t>
      </w:r>
    </w:p>
    <w:p w14:paraId="03E712A1" w14:textId="77777777" w:rsidR="0066360D" w:rsidRDefault="0066360D" w:rsidP="0066360D">
      <w:pPr>
        <w:spacing w:after="0" w:line="240" w:lineRule="auto"/>
        <w:ind w:firstLine="720"/>
        <w:jc w:val="both"/>
        <w:rPr>
          <w:szCs w:val="24"/>
        </w:rPr>
      </w:pPr>
      <w:r>
        <w:rPr>
          <w:szCs w:val="24"/>
        </w:rPr>
        <w:t xml:space="preserve">Prokuroru kvalifikācijas komisijas darba rādītāji apskatīti, veidojot salīdzinājumu trīs gadu periodā. </w:t>
      </w:r>
    </w:p>
    <w:p w14:paraId="194D984C" w14:textId="1BF5E31B" w:rsidR="000F2172" w:rsidRDefault="000F2172" w:rsidP="000F2172">
      <w:pPr>
        <w:spacing w:after="0" w:line="240" w:lineRule="auto"/>
        <w:jc w:val="both"/>
        <w:rPr>
          <w:szCs w:val="24"/>
        </w:rPr>
      </w:pPr>
    </w:p>
    <w:p w14:paraId="348D0DAB" w14:textId="1F78B53B" w:rsidR="000F2172" w:rsidRDefault="0066360D" w:rsidP="00FE3D98">
      <w:pPr>
        <w:spacing w:after="0" w:line="240" w:lineRule="auto"/>
        <w:jc w:val="center"/>
        <w:rPr>
          <w:color w:val="000000"/>
          <w:szCs w:val="24"/>
        </w:rPr>
      </w:pPr>
      <w:r>
        <w:rPr>
          <w:noProof/>
        </w:rPr>
        <w:drawing>
          <wp:inline distT="0" distB="0" distL="0" distR="0" wp14:anchorId="6D49BBF7" wp14:editId="7D1D8C56">
            <wp:extent cx="4478867" cy="2268855"/>
            <wp:effectExtent l="0" t="0" r="17145" b="17145"/>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6C0162DC" w14:textId="77777777" w:rsidR="00EF105C" w:rsidRDefault="00EF105C" w:rsidP="00307EB3">
      <w:pPr>
        <w:pStyle w:val="Default"/>
        <w:jc w:val="both"/>
      </w:pPr>
    </w:p>
    <w:p w14:paraId="7D3FA9D7" w14:textId="12FD5E5B" w:rsidR="005610FF" w:rsidRPr="0030364F" w:rsidRDefault="002976CB" w:rsidP="00A82880">
      <w:pPr>
        <w:pStyle w:val="Default"/>
        <w:ind w:firstLine="720"/>
        <w:jc w:val="both"/>
      </w:pPr>
      <w:r>
        <w:t>2020. gadā (konkurss izsludināts divas reizes gadā) sagatavot</w:t>
      </w:r>
      <w:r w:rsidR="005E3785">
        <w:t>s</w:t>
      </w:r>
      <w:r>
        <w:t>, pieņemt</w:t>
      </w:r>
      <w:r w:rsidR="005E3785">
        <w:t>s</w:t>
      </w:r>
      <w:r>
        <w:t xml:space="preserve"> un izvērtēt</w:t>
      </w:r>
      <w:r w:rsidR="005E3785">
        <w:t>s</w:t>
      </w:r>
      <w:r>
        <w:t xml:space="preserve"> prokurora amata pretendentu vispārējo un juridisko zināšanu pārbaudījum</w:t>
      </w:r>
      <w:r w:rsidR="005E3785">
        <w:t>s</w:t>
      </w:r>
      <w:r>
        <w:t xml:space="preserve"> kopumā </w:t>
      </w:r>
      <w:r w:rsidRPr="0030364F">
        <w:t>152 personām (martā – 77 personām, augustā – 75 personām)</w:t>
      </w:r>
      <w:r w:rsidR="00A82880" w:rsidRPr="0030364F">
        <w:t xml:space="preserve">, </w:t>
      </w:r>
      <w:r w:rsidR="005610FF" w:rsidRPr="0030364F">
        <w:t>2019. gadā (konkurss izsludināts divas reizes gadā)</w:t>
      </w:r>
      <w:r w:rsidR="00A82880" w:rsidRPr="0030364F">
        <w:t xml:space="preserve"> – </w:t>
      </w:r>
      <w:r w:rsidR="005610FF" w:rsidRPr="0030364F">
        <w:t>kopumā 154 personām (februārī – 72 personām, augustā – 82 personām)</w:t>
      </w:r>
      <w:r w:rsidR="00A82880" w:rsidRPr="0030364F">
        <w:t>, s</w:t>
      </w:r>
      <w:r w:rsidR="005610FF" w:rsidRPr="0030364F">
        <w:t xml:space="preserve">avukārt 2018. gadā </w:t>
      </w:r>
      <w:r w:rsidR="0033794F" w:rsidRPr="0030364F">
        <w:t xml:space="preserve">(konkurss izsludināts vienu reizi gadā) </w:t>
      </w:r>
      <w:r w:rsidR="00A82880" w:rsidRPr="0030364F">
        <w:t xml:space="preserve">– </w:t>
      </w:r>
      <w:r w:rsidR="005610FF" w:rsidRPr="0030364F">
        <w:t>66 personām</w:t>
      </w:r>
      <w:r w:rsidR="003028F6" w:rsidRPr="0030364F">
        <w:t>.</w:t>
      </w:r>
      <w:r w:rsidR="005610FF" w:rsidRPr="0030364F">
        <w:t xml:space="preserve"> </w:t>
      </w:r>
    </w:p>
    <w:p w14:paraId="242F1C1C" w14:textId="25EE7F3C" w:rsidR="000F2172" w:rsidRDefault="003028F6" w:rsidP="00621637">
      <w:pPr>
        <w:spacing w:after="0" w:line="240" w:lineRule="auto"/>
        <w:ind w:firstLine="720"/>
        <w:jc w:val="both"/>
      </w:pPr>
      <w:r>
        <w:t xml:space="preserve">Ja 2020. gadā </w:t>
      </w:r>
      <w:r w:rsidR="00B872CD">
        <w:t xml:space="preserve">salīdzinājumā ar 2019. gadu prokuroru amata </w:t>
      </w:r>
      <w:r w:rsidR="005E3785">
        <w:t>pretendentu</w:t>
      </w:r>
      <w:r w:rsidR="00B872CD">
        <w:t xml:space="preserve"> skaits nedaudz samazinājies</w:t>
      </w:r>
      <w:r w:rsidR="0033794F">
        <w:t xml:space="preserve">, tad </w:t>
      </w:r>
      <w:r>
        <w:t>2019. gadā</w:t>
      </w:r>
      <w:r w:rsidR="000F2172">
        <w:t xml:space="preserve"> salīdzinājumā ar 2018.</w:t>
      </w:r>
      <w:r>
        <w:t> </w:t>
      </w:r>
      <w:r w:rsidR="000F2172">
        <w:t xml:space="preserve">gadu </w:t>
      </w:r>
      <w:r w:rsidR="00B872CD">
        <w:t>tas palielināj</w:t>
      </w:r>
      <w:r w:rsidR="0033794F">
        <w:t>ās</w:t>
      </w:r>
      <w:r w:rsidR="00B872CD">
        <w:t xml:space="preserve"> </w:t>
      </w:r>
      <w:r w:rsidR="000F2172">
        <w:t>par 57</w:t>
      </w:r>
      <w:r w:rsidR="0033794F">
        <w:t> </w:t>
      </w:r>
      <w:r w:rsidR="000F2172">
        <w:t xml:space="preserve">%, kas norāda uz salīdzinoši lielu interesi par konkursu un vēlmi strādāt prokurora amatā. </w:t>
      </w:r>
    </w:p>
    <w:p w14:paraId="3E561279" w14:textId="77777777" w:rsidR="000F2172" w:rsidRDefault="000F2172" w:rsidP="000F2172">
      <w:pPr>
        <w:pStyle w:val="Default"/>
        <w:ind w:firstLine="720"/>
        <w:jc w:val="both"/>
      </w:pPr>
    </w:p>
    <w:p w14:paraId="070F7D8F" w14:textId="689FC565" w:rsidR="000F2172" w:rsidRDefault="00621637" w:rsidP="000F2172">
      <w:pPr>
        <w:spacing w:after="0" w:line="240" w:lineRule="auto"/>
        <w:ind w:firstLine="720"/>
        <w:jc w:val="both"/>
      </w:pPr>
      <w:r>
        <w:t xml:space="preserve">Prokuroru kvalifikācijas komisija </w:t>
      </w:r>
      <w:r w:rsidR="005E3785">
        <w:t xml:space="preserve">prokurora amata </w:t>
      </w:r>
      <w:r>
        <w:t>p</w:t>
      </w:r>
      <w:r w:rsidR="000F2172">
        <w:t>retendentu zināšanas izvērtē, ievērojot Ģenerālprokurora padomē apstiprinātās kārtības par vispārējo un juridisko zināšanu pārbaudījum</w:t>
      </w:r>
      <w:r w:rsidR="005E3785">
        <w:t>u</w:t>
      </w:r>
      <w:r w:rsidR="000F2172">
        <w:t xml:space="preserve"> nosacījumus.</w:t>
      </w:r>
    </w:p>
    <w:p w14:paraId="2037CFE7" w14:textId="3E027A0A" w:rsidR="00537D12" w:rsidRDefault="000F2172" w:rsidP="00FE3D98">
      <w:pPr>
        <w:pStyle w:val="Default"/>
        <w:ind w:firstLine="720"/>
        <w:jc w:val="both"/>
      </w:pPr>
      <w:r>
        <w:t xml:space="preserve">Prokurora amata </w:t>
      </w:r>
      <w:r w:rsidR="005E3785">
        <w:t>pretendentu</w:t>
      </w:r>
      <w:r>
        <w:t xml:space="preserve"> v</w:t>
      </w:r>
      <w:r w:rsidRPr="004F72E1">
        <w:t>ispārējo un juridisko zināšanu pārbaudījum</w:t>
      </w:r>
      <w:r w:rsidR="005E3785">
        <w:t>s</w:t>
      </w:r>
      <w:r w:rsidRPr="004F72E1">
        <w:t xml:space="preserve"> notiek divās kārtās</w:t>
      </w:r>
      <w:r w:rsidR="00621637">
        <w:t xml:space="preserve">: </w:t>
      </w:r>
      <w:r w:rsidR="00DE6329">
        <w:t>1. </w:t>
      </w:r>
      <w:r>
        <w:t>kārta</w:t>
      </w:r>
      <w:r w:rsidR="00621637">
        <w:t xml:space="preserve"> – </w:t>
      </w:r>
      <w:r w:rsidRPr="004F72E1">
        <w:t>tests (</w:t>
      </w:r>
      <w:r>
        <w:t xml:space="preserve">vispārējo </w:t>
      </w:r>
      <w:r w:rsidR="001734F4">
        <w:t xml:space="preserve">un juridisko </w:t>
      </w:r>
      <w:r>
        <w:t>zināšanu pārbaude)</w:t>
      </w:r>
      <w:r w:rsidR="00DE6329">
        <w:t xml:space="preserve"> – </w:t>
      </w:r>
      <w:r>
        <w:t xml:space="preserve"> un </w:t>
      </w:r>
      <w:r w:rsidR="00DE6329">
        <w:t>2</w:t>
      </w:r>
      <w:r w:rsidR="00F91F88">
        <w:t>. </w:t>
      </w:r>
      <w:r w:rsidR="00DE6329">
        <w:t xml:space="preserve">kārta – </w:t>
      </w:r>
      <w:r w:rsidRPr="004F72E1">
        <w:t>biļešu jautājumi (krimināltiesīb</w:t>
      </w:r>
      <w:r>
        <w:t>a</w:t>
      </w:r>
      <w:r w:rsidRPr="004F72E1">
        <w:t>s, kriminālprocesa tiesīb</w:t>
      </w:r>
      <w:r>
        <w:t>a</w:t>
      </w:r>
      <w:r w:rsidRPr="004F72E1">
        <w:t>s un cit</w:t>
      </w:r>
      <w:r>
        <w:t>as tiesību nozares).</w:t>
      </w:r>
    </w:p>
    <w:p w14:paraId="74276F24" w14:textId="77777777" w:rsidR="00537D12" w:rsidRDefault="00537D12" w:rsidP="00537D12">
      <w:pPr>
        <w:pStyle w:val="Default"/>
        <w:ind w:firstLine="720"/>
        <w:jc w:val="both"/>
      </w:pPr>
    </w:p>
    <w:p w14:paraId="3C4695A9" w14:textId="6C31AB50" w:rsidR="000F2172" w:rsidRDefault="00944FE7" w:rsidP="00D87F92">
      <w:pPr>
        <w:spacing w:after="0" w:line="240" w:lineRule="auto"/>
        <w:ind w:firstLine="720"/>
        <w:jc w:val="both"/>
        <w:rPr>
          <w:szCs w:val="24"/>
        </w:rPr>
      </w:pPr>
      <w:r>
        <w:rPr>
          <w:szCs w:val="24"/>
        </w:rPr>
        <w:t>Prokuroru kvalifikācijas k</w:t>
      </w:r>
      <w:r w:rsidR="000F2172">
        <w:rPr>
          <w:szCs w:val="24"/>
        </w:rPr>
        <w:t>omisija, kuras galvenie</w:t>
      </w:r>
      <w:r w:rsidR="000F2172" w:rsidRPr="001D1B94">
        <w:rPr>
          <w:szCs w:val="24"/>
        </w:rPr>
        <w:t xml:space="preserve"> uzdevumi ir veikt prokuror</w:t>
      </w:r>
      <w:r w:rsidR="00E3767F">
        <w:rPr>
          <w:szCs w:val="24"/>
        </w:rPr>
        <w:t>a</w:t>
      </w:r>
      <w:r w:rsidR="000F2172" w:rsidRPr="001D1B94">
        <w:rPr>
          <w:szCs w:val="24"/>
        </w:rPr>
        <w:t xml:space="preserve"> amata kandidātu zināšanu un profesionālo iemaņu novērtēšanu, do</w:t>
      </w:r>
      <w:r w:rsidR="000F2172">
        <w:rPr>
          <w:szCs w:val="24"/>
        </w:rPr>
        <w:t>d</w:t>
      </w:r>
      <w:r w:rsidR="000F2172" w:rsidRPr="001D1B94">
        <w:rPr>
          <w:szCs w:val="24"/>
        </w:rPr>
        <w:t xml:space="preserve"> atzinumu par prokurora amata</w:t>
      </w:r>
      <w:r w:rsidR="00B960E0">
        <w:rPr>
          <w:szCs w:val="24"/>
        </w:rPr>
        <w:t xml:space="preserve"> kandidātu</w:t>
      </w:r>
      <w:r w:rsidR="000F2172" w:rsidRPr="001D1B94">
        <w:rPr>
          <w:szCs w:val="24"/>
        </w:rPr>
        <w:t xml:space="preserve"> stažēšanās programmas izpildi un pieņem </w:t>
      </w:r>
      <w:r w:rsidR="00B960E0">
        <w:rPr>
          <w:szCs w:val="24"/>
        </w:rPr>
        <w:t>viņu</w:t>
      </w:r>
      <w:r w:rsidR="000F2172" w:rsidRPr="001D1B94">
        <w:rPr>
          <w:szCs w:val="24"/>
        </w:rPr>
        <w:t xml:space="preserve"> kvalifikācijas eksāmenu.</w:t>
      </w:r>
    </w:p>
    <w:p w14:paraId="7AE85400" w14:textId="1003CAC4" w:rsidR="000F2172" w:rsidRDefault="000F2172" w:rsidP="009876DF">
      <w:pPr>
        <w:pStyle w:val="Default"/>
        <w:ind w:firstLine="720"/>
        <w:jc w:val="both"/>
      </w:pPr>
      <w:r>
        <w:lastRenderedPageBreak/>
        <w:t>Atbilstoši Prokuroru amata kandidātu stažēšanās un kvalifikācijas pārbaudes nolikum</w:t>
      </w:r>
      <w:r w:rsidR="00D87F92">
        <w:t>ā noteiktajam</w:t>
      </w:r>
      <w:r>
        <w:t xml:space="preserve"> </w:t>
      </w:r>
      <w:r w:rsidR="00D87F92">
        <w:t>Prokuroru kvalifikācijas k</w:t>
      </w:r>
      <w:r>
        <w:t>omisijas locekļi pārbauda prokurora amata kandidāt</w:t>
      </w:r>
      <w:r w:rsidR="00D87F92">
        <w:t>u</w:t>
      </w:r>
      <w:r>
        <w:t xml:space="preserve"> stažēšanās apstākļus, stažēšanās programmas izpildes apjomu un kvalitāti</w:t>
      </w:r>
      <w:r w:rsidR="00B33FBB">
        <w:t xml:space="preserve"> un izvērtē stažēšanās programmas izpildi.</w:t>
      </w:r>
    </w:p>
    <w:p w14:paraId="22508CB2" w14:textId="77777777" w:rsidR="009876DF" w:rsidRDefault="009876DF" w:rsidP="009876DF">
      <w:pPr>
        <w:pStyle w:val="Default"/>
        <w:ind w:firstLine="720"/>
        <w:jc w:val="both"/>
      </w:pPr>
    </w:p>
    <w:p w14:paraId="6AD43767" w14:textId="6C2BD6F9" w:rsidR="000F2172" w:rsidRPr="00307EB3" w:rsidRDefault="00066C50" w:rsidP="00307EB3">
      <w:pPr>
        <w:pStyle w:val="Default"/>
        <w:jc w:val="center"/>
      </w:pPr>
      <w:r>
        <w:rPr>
          <w:noProof/>
        </w:rPr>
        <w:drawing>
          <wp:inline distT="0" distB="0" distL="0" distR="0" wp14:anchorId="7EDD2DDA" wp14:editId="703C763B">
            <wp:extent cx="3987800" cy="1816100"/>
            <wp:effectExtent l="0" t="0" r="12700" b="1270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1D59B78B" w14:textId="77777777" w:rsidR="000F2172" w:rsidRPr="002A5DFE" w:rsidRDefault="000F2172" w:rsidP="007640FC">
      <w:pPr>
        <w:spacing w:after="0"/>
        <w:rPr>
          <w:rFonts w:eastAsia="Calibri" w:cs="Times New Roman"/>
          <w:szCs w:val="24"/>
        </w:rPr>
      </w:pPr>
    </w:p>
    <w:p w14:paraId="39340F34" w14:textId="1D380C45" w:rsidR="0022021B" w:rsidRDefault="000F2172" w:rsidP="007640FC">
      <w:pPr>
        <w:spacing w:after="100" w:afterAutospacing="1"/>
        <w:jc w:val="center"/>
        <w:rPr>
          <w:rFonts w:eastAsia="Calibri" w:cs="Times New Roman"/>
          <w:szCs w:val="24"/>
        </w:rPr>
      </w:pPr>
      <w:r>
        <w:rPr>
          <w:noProof/>
        </w:rPr>
        <w:drawing>
          <wp:inline distT="0" distB="0" distL="0" distR="0" wp14:anchorId="396700B4" wp14:editId="68443C45">
            <wp:extent cx="4025900" cy="1752600"/>
            <wp:effectExtent l="0" t="0" r="12700" b="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54B6A63C" w14:textId="150F3F62" w:rsidR="00C70D95" w:rsidRDefault="000F2172" w:rsidP="00E3767F">
      <w:pPr>
        <w:ind w:firstLine="720"/>
        <w:jc w:val="both"/>
        <w:rPr>
          <w:rFonts w:eastAsia="Calibri" w:cs="Times New Roman"/>
          <w:szCs w:val="24"/>
        </w:rPr>
      </w:pPr>
      <w:r>
        <w:rPr>
          <w:rFonts w:eastAsia="Calibri" w:cs="Times New Roman"/>
          <w:szCs w:val="24"/>
        </w:rPr>
        <w:t>2021.</w:t>
      </w:r>
      <w:r w:rsidR="005A6C67">
        <w:rPr>
          <w:rFonts w:eastAsia="Calibri" w:cs="Times New Roman"/>
          <w:szCs w:val="24"/>
        </w:rPr>
        <w:t> </w:t>
      </w:r>
      <w:r>
        <w:rPr>
          <w:rFonts w:eastAsia="Calibri" w:cs="Times New Roman"/>
          <w:szCs w:val="24"/>
        </w:rPr>
        <w:t xml:space="preserve">gadā </w:t>
      </w:r>
      <w:r w:rsidR="005A6C67">
        <w:rPr>
          <w:rFonts w:eastAsia="Calibri" w:cs="Times New Roman"/>
          <w:szCs w:val="24"/>
        </w:rPr>
        <w:t>Prokuroru kvalifikācijas k</w:t>
      </w:r>
      <w:r>
        <w:rPr>
          <w:rFonts w:eastAsia="Calibri" w:cs="Times New Roman"/>
          <w:szCs w:val="24"/>
        </w:rPr>
        <w:t>omisijas locekļi turpina pārbaudīt prokurora amata kandidātu,</w:t>
      </w:r>
      <w:r w:rsidRPr="00C1592F">
        <w:t xml:space="preserve"> </w:t>
      </w:r>
      <w:r>
        <w:t>ar kuriem noslēgts stažēšanās līgums 2020.</w:t>
      </w:r>
      <w:r w:rsidR="00C70D95">
        <w:t> </w:t>
      </w:r>
      <w:r>
        <w:t>gadā</w:t>
      </w:r>
      <w:r>
        <w:rPr>
          <w:rFonts w:eastAsia="Calibri" w:cs="Times New Roman"/>
          <w:szCs w:val="24"/>
        </w:rPr>
        <w:t xml:space="preserve">, </w:t>
      </w:r>
      <w:r w:rsidRPr="00BF25AE">
        <w:rPr>
          <w:rFonts w:eastAsia="Calibri" w:cs="Times New Roman"/>
          <w:szCs w:val="24"/>
        </w:rPr>
        <w:t>apstākļ</w:t>
      </w:r>
      <w:r>
        <w:rPr>
          <w:rFonts w:eastAsia="Calibri" w:cs="Times New Roman"/>
          <w:szCs w:val="24"/>
        </w:rPr>
        <w:t>us</w:t>
      </w:r>
      <w:r w:rsidRPr="00BF25AE">
        <w:rPr>
          <w:rFonts w:eastAsia="Calibri" w:cs="Times New Roman"/>
          <w:szCs w:val="24"/>
        </w:rPr>
        <w:t xml:space="preserve"> stažēšanās programmas pilnīgai un kvalitatīvai izpildei</w:t>
      </w:r>
      <w:r>
        <w:rPr>
          <w:rFonts w:eastAsia="Calibri" w:cs="Times New Roman"/>
          <w:szCs w:val="24"/>
        </w:rPr>
        <w:t>, kā arī pārbauda, vai p</w:t>
      </w:r>
      <w:r w:rsidRPr="00BF25AE">
        <w:rPr>
          <w:rFonts w:eastAsia="Calibri" w:cs="Times New Roman"/>
          <w:szCs w:val="24"/>
        </w:rPr>
        <w:t>rokurora amata kandidāt</w:t>
      </w:r>
      <w:r>
        <w:rPr>
          <w:rFonts w:eastAsia="Calibri" w:cs="Times New Roman"/>
          <w:szCs w:val="24"/>
        </w:rPr>
        <w:t>iem</w:t>
      </w:r>
      <w:r w:rsidRPr="00BF25AE">
        <w:rPr>
          <w:rFonts w:eastAsia="Calibri" w:cs="Times New Roman"/>
          <w:szCs w:val="24"/>
        </w:rPr>
        <w:t xml:space="preserve"> ir nepieciešamā materiāltehniskā bāze, pietiekamas iespējas piedalīties procesuālajās aktivitātēs, tiek doti darba uzdevumi, kuru izpilde sekmē prokurora amatam nepieciešamo prasmju un iemaņu apguvi.</w:t>
      </w:r>
      <w:r w:rsidR="00C70D95">
        <w:rPr>
          <w:rFonts w:eastAsia="Calibri" w:cs="Times New Roman"/>
          <w:szCs w:val="24"/>
        </w:rPr>
        <w:t xml:space="preserve"> </w:t>
      </w:r>
    </w:p>
    <w:p w14:paraId="25BC355B" w14:textId="00109A8B" w:rsidR="00B5314E" w:rsidRDefault="00E3767F" w:rsidP="00B5314E">
      <w:pPr>
        <w:pStyle w:val="Default"/>
        <w:ind w:firstLine="720"/>
        <w:jc w:val="both"/>
        <w:rPr>
          <w:rFonts w:eastAsia="Calibri"/>
        </w:rPr>
      </w:pPr>
      <w:r w:rsidRPr="00CA2751">
        <w:t xml:space="preserve">Ja </w:t>
      </w:r>
      <w:r>
        <w:t>Prokuroru kvalifikācijas komisija</w:t>
      </w:r>
      <w:r w:rsidRPr="00CA2751">
        <w:t xml:space="preserve"> atzīst, ka </w:t>
      </w:r>
      <w:r>
        <w:t xml:space="preserve">prokurora amata kandidāts </w:t>
      </w:r>
      <w:r w:rsidRPr="00CA2751">
        <w:t xml:space="preserve">ir </w:t>
      </w:r>
      <w:r>
        <w:t>pietiekamā kvalitātē</w:t>
      </w:r>
      <w:r w:rsidRPr="00CA2751">
        <w:t xml:space="preserve"> izpildījis visus stažēšanās programmā paredzētos uzdevumus,</w:t>
      </w:r>
      <w:r w:rsidRPr="00D11545">
        <w:t xml:space="preserve"> </w:t>
      </w:r>
      <w:r w:rsidRPr="00CA2751">
        <w:t>viņš tiek pielaists pie kvalifikācijas eksāmena</w:t>
      </w:r>
      <w:r w:rsidR="00B5314E">
        <w:t xml:space="preserve">, kas </w:t>
      </w:r>
      <w:r w:rsidR="00B5314E" w:rsidRPr="00CA2751">
        <w:t>sastāv no praktiskajiem uzdevumiem un teorētiskajiem jautājumiem, kurus</w:t>
      </w:r>
      <w:r w:rsidR="00B5314E">
        <w:t xml:space="preserve"> </w:t>
      </w:r>
      <w:r w:rsidR="00B5314E" w:rsidRPr="00CA2751">
        <w:t xml:space="preserve">izstrādājusi </w:t>
      </w:r>
      <w:r w:rsidR="00B5314E">
        <w:t xml:space="preserve">Prokuroru kvalifikācijas komisija </w:t>
      </w:r>
      <w:r w:rsidR="00B5314E" w:rsidRPr="00CA2751">
        <w:t>un apstiprinājis ģenerālprokurors</w:t>
      </w:r>
      <w:r w:rsidR="00B5314E">
        <w:rPr>
          <w:rFonts w:eastAsia="Calibri"/>
        </w:rPr>
        <w:t>.</w:t>
      </w:r>
    </w:p>
    <w:p w14:paraId="75547A77" w14:textId="77777777" w:rsidR="00537D12" w:rsidRDefault="00537D12" w:rsidP="00B5314E">
      <w:pPr>
        <w:pStyle w:val="Default"/>
        <w:ind w:firstLine="720"/>
        <w:jc w:val="both"/>
        <w:rPr>
          <w:rFonts w:eastAsia="Calibri"/>
        </w:rPr>
      </w:pPr>
    </w:p>
    <w:p w14:paraId="161D07FF" w14:textId="0A27F0ED" w:rsidR="00D11545" w:rsidRDefault="00D11545" w:rsidP="00EE2F14">
      <w:pPr>
        <w:spacing w:after="0"/>
        <w:jc w:val="center"/>
      </w:pPr>
      <w:r>
        <w:rPr>
          <w:noProof/>
        </w:rPr>
        <w:drawing>
          <wp:inline distT="0" distB="0" distL="0" distR="0" wp14:anchorId="7E487568" wp14:editId="1CE769CF">
            <wp:extent cx="3962400" cy="1638300"/>
            <wp:effectExtent l="0" t="0" r="0"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39527A62" w14:textId="77777777" w:rsidR="00EE2F14" w:rsidRPr="0022021B" w:rsidRDefault="00EE2F14" w:rsidP="00EE2F14">
      <w:pPr>
        <w:spacing w:after="0"/>
        <w:jc w:val="center"/>
      </w:pPr>
    </w:p>
    <w:p w14:paraId="037B4D9E" w14:textId="0C0142B1" w:rsidR="000F2172" w:rsidRDefault="000F2172" w:rsidP="000F2172">
      <w:pPr>
        <w:pStyle w:val="Default"/>
        <w:ind w:firstLine="720"/>
        <w:jc w:val="both"/>
        <w:rPr>
          <w:rFonts w:eastAsia="Calibri"/>
        </w:rPr>
      </w:pPr>
      <w:r>
        <w:rPr>
          <w:rFonts w:eastAsia="Calibri"/>
        </w:rPr>
        <w:lastRenderedPageBreak/>
        <w:t>2021.</w:t>
      </w:r>
      <w:r w:rsidR="00E3767F">
        <w:rPr>
          <w:rFonts w:eastAsia="Calibri"/>
        </w:rPr>
        <w:t> </w:t>
      </w:r>
      <w:r>
        <w:rPr>
          <w:rFonts w:eastAsia="Calibri"/>
        </w:rPr>
        <w:t xml:space="preserve">gadā </w:t>
      </w:r>
      <w:r w:rsidR="00E3767F">
        <w:rPr>
          <w:rFonts w:eastAsia="Calibri"/>
        </w:rPr>
        <w:t>Prokuroru kvalifikācijas k</w:t>
      </w:r>
      <w:r>
        <w:rPr>
          <w:rFonts w:eastAsia="Calibri"/>
        </w:rPr>
        <w:t>omisijas locekļi turpina pieņemt prokurora amata kandidātu,</w:t>
      </w:r>
      <w:r w:rsidRPr="00C1592F">
        <w:t xml:space="preserve"> </w:t>
      </w:r>
      <w:r>
        <w:t>ar kuriem noslēgts stažēšanās līgums 2020.</w:t>
      </w:r>
      <w:r w:rsidR="00A76D2C">
        <w:t> </w:t>
      </w:r>
      <w:r>
        <w:t>gadā</w:t>
      </w:r>
      <w:r w:rsidR="00A76D2C">
        <w:rPr>
          <w:rFonts w:eastAsia="Calibri"/>
        </w:rPr>
        <w:t xml:space="preserve"> un kuri pietiekamā kvalitātē izpildījuši visus stažēšanās programmā paredzētos uzdevumus,</w:t>
      </w:r>
      <w:r>
        <w:rPr>
          <w:rFonts w:eastAsia="Calibri"/>
        </w:rPr>
        <w:t xml:space="preserve"> kvalifikācijas eksāmenus</w:t>
      </w:r>
      <w:r w:rsidR="00B6435D">
        <w:rPr>
          <w:rFonts w:eastAsia="Calibri"/>
        </w:rPr>
        <w:t>.</w:t>
      </w:r>
    </w:p>
    <w:p w14:paraId="27682C6F" w14:textId="77777777" w:rsidR="00B6435D" w:rsidRDefault="00B6435D" w:rsidP="000F2172">
      <w:pPr>
        <w:pStyle w:val="Default"/>
        <w:ind w:firstLine="720"/>
        <w:jc w:val="both"/>
        <w:rPr>
          <w:rFonts w:eastAsia="Calibri"/>
        </w:rPr>
      </w:pPr>
    </w:p>
    <w:p w14:paraId="2C5D5096" w14:textId="7931C700" w:rsidR="000F2172" w:rsidRDefault="00B6435D" w:rsidP="00EE2F14">
      <w:pPr>
        <w:pStyle w:val="Default"/>
        <w:ind w:firstLine="720"/>
        <w:jc w:val="both"/>
      </w:pPr>
      <w:r>
        <w:t>Prokuroru kvalifikācijas k</w:t>
      </w:r>
      <w:r w:rsidR="000F2172">
        <w:t xml:space="preserve">omisijas sēžu skaits ik gadu pieaug. </w:t>
      </w:r>
      <w:r w:rsidR="006C2663">
        <w:t>P</w:t>
      </w:r>
      <w:r w:rsidR="000F2172">
        <w:t xml:space="preserve">alielinoties sēžu daudzumam, </w:t>
      </w:r>
      <w:r w:rsidR="006C2663">
        <w:t xml:space="preserve">būtiski ir </w:t>
      </w:r>
      <w:r w:rsidR="000F2172">
        <w:t>nodrošināt komisijas sēdes norises kārtība</w:t>
      </w:r>
      <w:r w:rsidR="006C2663">
        <w:t>s</w:t>
      </w:r>
      <w:r w:rsidR="006C2663" w:rsidRPr="006C2663">
        <w:t xml:space="preserve"> </w:t>
      </w:r>
      <w:r w:rsidR="006C2663">
        <w:t>vispārīgos noteikumus</w:t>
      </w:r>
      <w:r w:rsidR="000F2172">
        <w:t xml:space="preserve"> atbilstoši </w:t>
      </w:r>
      <w:r w:rsidR="00456A11">
        <w:t>Prokuroru kvalifikācijas k</w:t>
      </w:r>
      <w:r w:rsidR="000F2172">
        <w:t xml:space="preserve">omisijas </w:t>
      </w:r>
      <w:r w:rsidR="00456A11">
        <w:t>n</w:t>
      </w:r>
      <w:r w:rsidR="000F2172">
        <w:t>olikumam.</w:t>
      </w:r>
    </w:p>
    <w:p w14:paraId="759480DA" w14:textId="77777777" w:rsidR="00EE2F14" w:rsidRDefault="00EE2F14" w:rsidP="000F2172">
      <w:pPr>
        <w:pStyle w:val="Default"/>
        <w:ind w:firstLine="720"/>
        <w:jc w:val="both"/>
      </w:pPr>
    </w:p>
    <w:p w14:paraId="6A06FD03" w14:textId="3232A7E3" w:rsidR="004E6B9D" w:rsidRDefault="004E6B9D" w:rsidP="00FE3D98">
      <w:pPr>
        <w:pStyle w:val="Default"/>
        <w:jc w:val="center"/>
        <w:rPr>
          <w:rFonts w:eastAsia="Calibri"/>
        </w:rPr>
      </w:pPr>
      <w:r>
        <w:rPr>
          <w:noProof/>
        </w:rPr>
        <w:drawing>
          <wp:inline distT="0" distB="0" distL="0" distR="0" wp14:anchorId="1F799B71" wp14:editId="6A4DD747">
            <wp:extent cx="3956050" cy="1938867"/>
            <wp:effectExtent l="0" t="0" r="6350" b="4445"/>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1DA35B1C" w14:textId="77777777" w:rsidR="004E6B9D" w:rsidRDefault="004E6B9D" w:rsidP="0022021B">
      <w:pPr>
        <w:pStyle w:val="Default"/>
        <w:jc w:val="both"/>
        <w:rPr>
          <w:rFonts w:eastAsia="Calibri"/>
        </w:rPr>
      </w:pPr>
    </w:p>
    <w:p w14:paraId="12E94816" w14:textId="38744C8C" w:rsidR="000F2172" w:rsidRDefault="000F2172" w:rsidP="000F2172">
      <w:pPr>
        <w:pStyle w:val="Default"/>
        <w:ind w:firstLine="720"/>
        <w:jc w:val="both"/>
        <w:rPr>
          <w:rFonts w:eastAsia="Calibri"/>
        </w:rPr>
      </w:pPr>
      <w:r>
        <w:rPr>
          <w:rFonts w:eastAsia="Calibri"/>
        </w:rPr>
        <w:t>Jāuzsver, ka 2020.</w:t>
      </w:r>
      <w:r w:rsidR="00FD6A82">
        <w:rPr>
          <w:rFonts w:eastAsia="Calibri"/>
        </w:rPr>
        <w:t> </w:t>
      </w:r>
      <w:r>
        <w:rPr>
          <w:rFonts w:eastAsia="Calibri"/>
        </w:rPr>
        <w:t>gadā, salīdzinot ar iepriekšējiem gadiem, kvalifikācijas eksāmenu skaita samazinājums</w:t>
      </w:r>
      <w:r w:rsidR="006C2663">
        <w:rPr>
          <w:rFonts w:eastAsia="Calibri"/>
        </w:rPr>
        <w:t xml:space="preserve"> </w:t>
      </w:r>
      <w:r>
        <w:rPr>
          <w:rFonts w:eastAsia="Calibri"/>
        </w:rPr>
        <w:t xml:space="preserve">skaidrojams ar valstī izsludināto ārkārtējo situāciju </w:t>
      </w:r>
      <w:r w:rsidR="00FD6A82">
        <w:rPr>
          <w:rFonts w:eastAsia="Calibri"/>
        </w:rPr>
        <w:t xml:space="preserve">un </w:t>
      </w:r>
      <w:r>
        <w:rPr>
          <w:rFonts w:eastAsia="Calibri"/>
        </w:rPr>
        <w:t>Covid-19 infekcijas izplatības i</w:t>
      </w:r>
      <w:r w:rsidR="00FD6A82">
        <w:rPr>
          <w:rFonts w:eastAsia="Calibri"/>
        </w:rPr>
        <w:t>erobežošanai noteiktajiem pasākumiem.</w:t>
      </w:r>
      <w:r>
        <w:rPr>
          <w:rFonts w:eastAsia="Calibri"/>
        </w:rPr>
        <w:t xml:space="preserve"> </w:t>
      </w:r>
    </w:p>
    <w:p w14:paraId="1A7F334F" w14:textId="649303EA" w:rsidR="000F2172" w:rsidRDefault="000F2172" w:rsidP="000F2172">
      <w:pPr>
        <w:pStyle w:val="Default"/>
        <w:ind w:firstLine="720"/>
        <w:jc w:val="both"/>
      </w:pPr>
      <w:r>
        <w:t xml:space="preserve">Pozitīvi vērtējams, ka </w:t>
      </w:r>
      <w:r w:rsidR="00FD6A82">
        <w:t>Prokuroru kvalifikācijas k</w:t>
      </w:r>
      <w:r>
        <w:t xml:space="preserve">omisija spēja salīdzinoši ātri pārorientēties un turpināt nodrošināt prokurora amata kandidātu kvalifikācijas eksāmenu pieņemšanu attālināti, izmantojot videokonferenču platformu Microsoft </w:t>
      </w:r>
      <w:proofErr w:type="spellStart"/>
      <w:r>
        <w:t>Teams</w:t>
      </w:r>
      <w:proofErr w:type="spellEnd"/>
      <w:r>
        <w:t xml:space="preserve">. </w:t>
      </w:r>
    </w:p>
    <w:p w14:paraId="5253EA49" w14:textId="142731EF" w:rsidR="000F2172" w:rsidRDefault="000F2172" w:rsidP="00FD6A82">
      <w:pPr>
        <w:spacing w:after="0" w:line="240" w:lineRule="auto"/>
        <w:ind w:firstLine="720"/>
        <w:jc w:val="both"/>
      </w:pPr>
      <w:r>
        <w:t xml:space="preserve">Kopumā vērtējot </w:t>
      </w:r>
      <w:r w:rsidR="00FD6A82">
        <w:t>Prokuroru kvalifikācijas k</w:t>
      </w:r>
      <w:r>
        <w:t>omisijas darba rādītājus</w:t>
      </w:r>
      <w:r w:rsidR="00B6435D">
        <w:t xml:space="preserve"> un </w:t>
      </w:r>
      <w:r>
        <w:t xml:space="preserve">salīdzinot </w:t>
      </w:r>
      <w:r w:rsidR="00BF4B2A">
        <w:t xml:space="preserve">tos </w:t>
      </w:r>
      <w:r>
        <w:t>trīs gadu period</w:t>
      </w:r>
      <w:r w:rsidR="00B6435D">
        <w:t>ā</w:t>
      </w:r>
      <w:r>
        <w:t>, jāņem vērā Covid</w:t>
      </w:r>
      <w:r w:rsidR="00EE2F14">
        <w:t>-</w:t>
      </w:r>
      <w:r>
        <w:t xml:space="preserve">19 ietekme, kas attālinātā darba ietvaros </w:t>
      </w:r>
      <w:r w:rsidR="00EE2F14">
        <w:t>k</w:t>
      </w:r>
      <w:r>
        <w:t>omisijas locekļiem radīja ne tikai izaicinājumus, atk</w:t>
      </w:r>
      <w:r w:rsidR="00EE2F14">
        <w:t>l</w:t>
      </w:r>
      <w:r>
        <w:t xml:space="preserve">ājot darba efektivitātes plusus un mīnusus, bet arī prasīja nepieciešamību uzlabot </w:t>
      </w:r>
      <w:r w:rsidR="00EE2F14">
        <w:t>k</w:t>
      </w:r>
      <w:r>
        <w:t>omisijas kā komandas darba veiktspēju.</w:t>
      </w:r>
    </w:p>
    <w:p w14:paraId="48046643" w14:textId="6BD3E55D" w:rsidR="00EE2F14" w:rsidRDefault="00EE2F14" w:rsidP="00EE2F14">
      <w:pPr>
        <w:spacing w:after="0" w:line="240" w:lineRule="auto"/>
        <w:jc w:val="both"/>
      </w:pPr>
    </w:p>
    <w:p w14:paraId="167833B3" w14:textId="23439B70" w:rsidR="00EE2F14" w:rsidRPr="00B6435D" w:rsidRDefault="00EE2F14" w:rsidP="00EE2F14">
      <w:pPr>
        <w:spacing w:after="0" w:line="240" w:lineRule="auto"/>
        <w:jc w:val="both"/>
        <w:rPr>
          <w:b/>
          <w:bCs/>
        </w:rPr>
      </w:pPr>
      <w:r w:rsidRPr="00B6435D">
        <w:rPr>
          <w:b/>
          <w:bCs/>
        </w:rPr>
        <w:t xml:space="preserve">Prokuroru </w:t>
      </w:r>
      <w:r w:rsidR="00B6435D">
        <w:rPr>
          <w:b/>
          <w:bCs/>
        </w:rPr>
        <w:t>k</w:t>
      </w:r>
      <w:r w:rsidRPr="00B6435D">
        <w:rPr>
          <w:b/>
          <w:bCs/>
        </w:rPr>
        <w:t>valifikācijas komisijas līdzpriekšsēdētājs</w:t>
      </w:r>
      <w:r w:rsidR="00B6435D">
        <w:rPr>
          <w:b/>
          <w:bCs/>
        </w:rPr>
        <w:t xml:space="preserve"> </w:t>
      </w:r>
      <w:r w:rsidR="00B6435D" w:rsidRPr="00B6435D">
        <w:rPr>
          <w:b/>
          <w:bCs/>
        </w:rPr>
        <w:t>A</w:t>
      </w:r>
      <w:r w:rsidR="00D50FA1">
        <w:rPr>
          <w:b/>
          <w:bCs/>
        </w:rPr>
        <w:t>. </w:t>
      </w:r>
      <w:r w:rsidR="008D5664">
        <w:rPr>
          <w:b/>
          <w:bCs/>
        </w:rPr>
        <w:t>Kalniņš</w:t>
      </w:r>
    </w:p>
    <w:p w14:paraId="040F0B15" w14:textId="62F6690E" w:rsidR="00FE3D98" w:rsidRDefault="00B6435D" w:rsidP="00EE2F14">
      <w:pPr>
        <w:spacing w:after="0" w:line="240" w:lineRule="auto"/>
        <w:jc w:val="both"/>
        <w:rPr>
          <w:b/>
          <w:bCs/>
        </w:rPr>
      </w:pPr>
      <w:r w:rsidRPr="00B6435D">
        <w:rPr>
          <w:b/>
          <w:bCs/>
        </w:rPr>
        <w:t>Rīgā 2021. gada 10. februārī</w:t>
      </w:r>
    </w:p>
    <w:p w14:paraId="222923C4" w14:textId="77777777" w:rsidR="00FE3D98" w:rsidRDefault="00FE3D98">
      <w:pPr>
        <w:rPr>
          <w:b/>
          <w:bCs/>
        </w:rPr>
      </w:pPr>
      <w:r>
        <w:rPr>
          <w:b/>
          <w:bCs/>
        </w:rPr>
        <w:br w:type="page"/>
      </w:r>
    </w:p>
    <w:p w14:paraId="55BE2B3E" w14:textId="7FB2AB81" w:rsidR="000B7811" w:rsidRDefault="000B7811" w:rsidP="000B7811">
      <w:pPr>
        <w:spacing w:after="0"/>
        <w:jc w:val="center"/>
        <w:rPr>
          <w:b/>
          <w:bCs/>
          <w:sz w:val="32"/>
          <w:szCs w:val="32"/>
        </w:rPr>
      </w:pPr>
      <w:bookmarkStart w:id="88" w:name="_Hlk64406855"/>
      <w:bookmarkEnd w:id="85"/>
      <w:bookmarkEnd w:id="86"/>
      <w:r w:rsidRPr="00590F22">
        <w:rPr>
          <w:b/>
          <w:bCs/>
          <w:sz w:val="32"/>
          <w:szCs w:val="32"/>
        </w:rPr>
        <w:lastRenderedPageBreak/>
        <w:t xml:space="preserve">Pārskats </w:t>
      </w:r>
      <w:r>
        <w:rPr>
          <w:b/>
          <w:bCs/>
          <w:sz w:val="32"/>
          <w:szCs w:val="32"/>
        </w:rPr>
        <w:t xml:space="preserve">par prokuroru </w:t>
      </w:r>
      <w:r w:rsidR="007E7696">
        <w:rPr>
          <w:b/>
          <w:bCs/>
          <w:sz w:val="32"/>
          <w:szCs w:val="32"/>
        </w:rPr>
        <w:t>iesaisti kvalifikā</w:t>
      </w:r>
      <w:r w:rsidR="00976A6B">
        <w:rPr>
          <w:b/>
          <w:bCs/>
          <w:sz w:val="32"/>
          <w:szCs w:val="32"/>
        </w:rPr>
        <w:t>cijas celšanas pasākumos</w:t>
      </w:r>
    </w:p>
    <w:p w14:paraId="7B8DD292" w14:textId="77777777" w:rsidR="000B7811" w:rsidRPr="00F62B7E" w:rsidRDefault="000B7811" w:rsidP="000B7811">
      <w:pPr>
        <w:spacing w:after="0"/>
        <w:jc w:val="center"/>
        <w:rPr>
          <w:b/>
          <w:bCs/>
          <w:szCs w:val="24"/>
        </w:rPr>
      </w:pPr>
    </w:p>
    <w:p w14:paraId="0AD41E35" w14:textId="77777777" w:rsidR="000B7811" w:rsidRDefault="000B7811" w:rsidP="000B7811">
      <w:pPr>
        <w:spacing w:line="240" w:lineRule="auto"/>
        <w:ind w:firstLine="720"/>
        <w:jc w:val="both"/>
      </w:pPr>
      <w:r>
        <w:t xml:space="preserve">Kopumā 2020. gadā notika </w:t>
      </w:r>
      <w:r w:rsidRPr="0030364F">
        <w:t>171 apmācību pasākums, kurā piedalījās 568 prokurori (no šī kopējā apmeklējuma skaita tie ir 408 prokurori</w:t>
      </w:r>
      <w:r>
        <w:t xml:space="preserve">). Galvenās institūcijas, no kurām prokuratūra ir saņēmusi uzaicinājumus piedalīties apmācību pasākumos vai sadarboties apmācību organizēšanā, ir Tiesu administrācija, Valsts administrācijas skola, Latvijas Tiesnešu mācību centrs, </w:t>
      </w:r>
      <w:r w:rsidRPr="00306EEA">
        <w:t>Latvijas Universitātes Juridiskās fakultātes Juridiskās tālākizglītības un profesionālās pilnveides centrs</w:t>
      </w:r>
      <w:r>
        <w:t xml:space="preserve">, </w:t>
      </w:r>
      <w:r w:rsidRPr="00306EEA">
        <w:t>Finanšu izlūkošanas dienests</w:t>
      </w:r>
      <w:r>
        <w:t xml:space="preserve">, Valsts policija, </w:t>
      </w:r>
      <w:r w:rsidRPr="00060D63">
        <w:t>Latvijas Pašvaldību mācību centrs</w:t>
      </w:r>
      <w:r>
        <w:t xml:space="preserve">, </w:t>
      </w:r>
      <w:r w:rsidRPr="006C49ED">
        <w:t>Eiropas Tiesību akadēmija (</w:t>
      </w:r>
      <w:r w:rsidRPr="006C49ED">
        <w:rPr>
          <w:i/>
          <w:iCs/>
        </w:rPr>
        <w:t>ERA</w:t>
      </w:r>
      <w:r w:rsidRPr="006C49ED">
        <w:t>)</w:t>
      </w:r>
      <w:r>
        <w:t>,</w:t>
      </w:r>
      <w:r w:rsidRPr="006C49ED">
        <w:t xml:space="preserve"> Eiropas Juridiskās tālākizglītības tīkl</w:t>
      </w:r>
      <w:r>
        <w:t>s</w:t>
      </w:r>
      <w:r w:rsidRPr="006C49ED">
        <w:t xml:space="preserve"> (</w:t>
      </w:r>
      <w:r w:rsidRPr="006C49ED">
        <w:rPr>
          <w:i/>
          <w:iCs/>
        </w:rPr>
        <w:t>EJTN</w:t>
      </w:r>
      <w:r w:rsidRPr="006C49ED">
        <w:t>)</w:t>
      </w:r>
      <w:r>
        <w:t xml:space="preserve"> un citas. </w:t>
      </w:r>
    </w:p>
    <w:p w14:paraId="069791C7" w14:textId="77777777" w:rsidR="000B7811" w:rsidRDefault="000B7811" w:rsidP="000B7811">
      <w:pPr>
        <w:spacing w:line="240" w:lineRule="auto"/>
        <w:ind w:firstLine="720"/>
        <w:jc w:val="both"/>
      </w:pPr>
      <w:r>
        <w:t>Turklāt p</w:t>
      </w:r>
      <w:r w:rsidRPr="00306EEA">
        <w:t>rokuratūra regulāri saņem uzaicinājumus no institūcijām piedalīties apmācībās ne tikai kā klausītāji, bet arī</w:t>
      </w:r>
      <w:r>
        <w:t xml:space="preserve"> kā lektori un nozares</w:t>
      </w:r>
      <w:r w:rsidRPr="00306EEA">
        <w:t xml:space="preserve"> eksperti</w:t>
      </w:r>
      <w:r>
        <w:t xml:space="preserve">. Prokurori arī aktīvi izmanto savu praktisko pieredzi, izstrādā apmācību programmas gan saviem kolēģiem, gan arī izmeklēšanas iestāžu un tiesu amatpersonām. </w:t>
      </w:r>
    </w:p>
    <w:p w14:paraId="7FC02D72" w14:textId="0F975BDD" w:rsidR="000B7811" w:rsidRDefault="000B7811" w:rsidP="000B7811">
      <w:pPr>
        <w:spacing w:line="240" w:lineRule="auto"/>
        <w:ind w:firstLine="720"/>
        <w:jc w:val="both"/>
      </w:pPr>
      <w:r>
        <w:t xml:space="preserve">2020. gadā prokurori ir apmācīti par tādām tēmām kā finanšu un ekonomiskie </w:t>
      </w:r>
      <w:r w:rsidR="00034C36">
        <w:t>noziedzīgie nodarījumi</w:t>
      </w:r>
      <w:r>
        <w:t xml:space="preserve"> (tai skaitā noziedzīgi iegūtu līdzekļu legalizēšanas jautājumi), korupcijas apkarošana, </w:t>
      </w:r>
      <w:r w:rsidRPr="00194CF8">
        <w:t xml:space="preserve">bērnu tiesību aizsardzība, </w:t>
      </w:r>
      <w:r>
        <w:t>dzimumnoziegumi, kriminālprocesa aktualitātes,</w:t>
      </w:r>
      <w:r w:rsidRPr="00194CF8">
        <w:t xml:space="preserve"> cilvēk</w:t>
      </w:r>
      <w:r>
        <w:t xml:space="preserve">u </w:t>
      </w:r>
      <w:r w:rsidRPr="00194CF8">
        <w:t>tirdzniecības novēršana</w:t>
      </w:r>
      <w:r>
        <w:t>,</w:t>
      </w:r>
      <w:r w:rsidRPr="00194CF8">
        <w:t xml:space="preserve"> datu aizsardzīb</w:t>
      </w:r>
      <w:r>
        <w:t>a, vides tiesības, administratīvās tiesības, intelektuālā īpašuma aizsardzības jautājumi</w:t>
      </w:r>
      <w:r w:rsidRPr="00194CF8">
        <w:t>, svešvalodu apmācība</w:t>
      </w:r>
      <w:r>
        <w:t>s, Covid-19 pandēmijas radītā ietekme,</w:t>
      </w:r>
      <w:r w:rsidRPr="00194CF8">
        <w:t xml:space="preserve"> profesionālās ētikas jautājumi, </w:t>
      </w:r>
      <w:r>
        <w:t xml:space="preserve">virtuālie aktīvi, juridiskā ētika, </w:t>
      </w:r>
      <w:r w:rsidRPr="00194CF8">
        <w:t>mediju treniņ</w:t>
      </w:r>
      <w:r>
        <w:t xml:space="preserve">š, kā arī piedalījušies mācību vizītēs Cilvēktiesību tiesā, Eiropas tiesā u. c. </w:t>
      </w:r>
    </w:p>
    <w:p w14:paraId="0A9C6A6D" w14:textId="77777777" w:rsidR="000B7811" w:rsidRDefault="000B7811" w:rsidP="000B7811">
      <w:pPr>
        <w:spacing w:line="240" w:lineRule="auto"/>
        <w:ind w:firstLine="720"/>
        <w:jc w:val="both"/>
        <w:rPr>
          <w:bCs/>
        </w:rPr>
      </w:pPr>
      <w:r>
        <w:t>Tāpat n</w:t>
      </w:r>
      <w:r w:rsidRPr="00306EEA">
        <w:t>olūkā veicināt</w:t>
      </w:r>
      <w:r w:rsidRPr="00306EEA">
        <w:rPr>
          <w:bCs/>
        </w:rPr>
        <w:t xml:space="preserve"> prokurora amatam nepieciešamo iemaņu apguvi</w:t>
      </w:r>
      <w:r w:rsidRPr="00306EEA">
        <w:t>, pieredzējuši</w:t>
      </w:r>
      <w:r>
        <w:t>e</w:t>
      </w:r>
      <w:r w:rsidRPr="00306EEA">
        <w:t xml:space="preserve"> prokurori </w:t>
      </w:r>
      <w:r>
        <w:t xml:space="preserve">2020. gadā </w:t>
      </w:r>
      <w:r w:rsidRPr="00306EEA">
        <w:t>organizē</w:t>
      </w:r>
      <w:r>
        <w:t>ja</w:t>
      </w:r>
      <w:r w:rsidRPr="00306EEA">
        <w:t xml:space="preserve"> un vad</w:t>
      </w:r>
      <w:r>
        <w:t>īja</w:t>
      </w:r>
      <w:r w:rsidRPr="00306EEA">
        <w:t xml:space="preserve"> apmācības </w:t>
      </w:r>
      <w:r w:rsidRPr="00306EEA">
        <w:rPr>
          <w:bCs/>
        </w:rPr>
        <w:t>prokurora amata kandidātiem</w:t>
      </w:r>
      <w:r>
        <w:rPr>
          <w:bCs/>
        </w:rPr>
        <w:t xml:space="preserve"> par tādām tēmām kā s</w:t>
      </w:r>
      <w:r w:rsidRPr="006A61C0">
        <w:rPr>
          <w:bCs/>
        </w:rPr>
        <w:t>peciālās izmeklēšanas darbības</w:t>
      </w:r>
      <w:r>
        <w:rPr>
          <w:bCs/>
        </w:rPr>
        <w:t>, p</w:t>
      </w:r>
      <w:r w:rsidRPr="006A61C0">
        <w:rPr>
          <w:bCs/>
        </w:rPr>
        <w:t>ierādījumu pieļaujamība</w:t>
      </w:r>
      <w:r>
        <w:rPr>
          <w:bCs/>
        </w:rPr>
        <w:t>, s</w:t>
      </w:r>
      <w:r w:rsidRPr="0078440B">
        <w:rPr>
          <w:bCs/>
        </w:rPr>
        <w:t>ods un tā noteikšana</w:t>
      </w:r>
      <w:r>
        <w:rPr>
          <w:bCs/>
        </w:rPr>
        <w:t>, p</w:t>
      </w:r>
      <w:r w:rsidRPr="0078440B">
        <w:rPr>
          <w:bCs/>
        </w:rPr>
        <w:t xml:space="preserve">roblēmjautājumi </w:t>
      </w:r>
      <w:r>
        <w:rPr>
          <w:bCs/>
        </w:rPr>
        <w:t xml:space="preserve">pirmstiesas procesā un </w:t>
      </w:r>
      <w:r w:rsidRPr="0078440B">
        <w:rPr>
          <w:bCs/>
        </w:rPr>
        <w:t>iztiesāšanas stadijā</w:t>
      </w:r>
      <w:r>
        <w:rPr>
          <w:bCs/>
        </w:rPr>
        <w:t xml:space="preserve"> u. c. </w:t>
      </w:r>
      <w:r w:rsidRPr="0078440B">
        <w:rPr>
          <w:bCs/>
        </w:rPr>
        <w:t>Turklāt 2020.</w:t>
      </w:r>
      <w:r>
        <w:rPr>
          <w:bCs/>
        </w:rPr>
        <w:t> </w:t>
      </w:r>
      <w:r w:rsidRPr="0078440B">
        <w:rPr>
          <w:bCs/>
        </w:rPr>
        <w:t>gadā</w:t>
      </w:r>
      <w:r>
        <w:rPr>
          <w:bCs/>
        </w:rPr>
        <w:t xml:space="preserve"> prokurora amata kandidātu</w:t>
      </w:r>
      <w:r w:rsidRPr="0078440B">
        <w:rPr>
          <w:bCs/>
        </w:rPr>
        <w:t xml:space="preserve"> apmācībās tika iesaistīt</w:t>
      </w:r>
      <w:r>
        <w:rPr>
          <w:bCs/>
        </w:rPr>
        <w:t>i arī</w:t>
      </w:r>
      <w:r w:rsidRPr="0078440B">
        <w:rPr>
          <w:bCs/>
        </w:rPr>
        <w:t xml:space="preserve"> Latvijas Universitātes </w:t>
      </w:r>
      <w:r>
        <w:rPr>
          <w:bCs/>
        </w:rPr>
        <w:t xml:space="preserve">mācībspēki un </w:t>
      </w:r>
      <w:r w:rsidRPr="00142913">
        <w:rPr>
          <w:bCs/>
        </w:rPr>
        <w:t>Latvijas pārstāve Eiropas Cilvēktiesību tiesā</w:t>
      </w:r>
      <w:r>
        <w:rPr>
          <w:bCs/>
        </w:rPr>
        <w:t xml:space="preserve">, </w:t>
      </w:r>
      <w:r w:rsidRPr="0078440B">
        <w:rPr>
          <w:bCs/>
        </w:rPr>
        <w:t>nodrošinot vēl pilnīgāku prokurora amatam nepieciešamo iemaņu apguvi</w:t>
      </w:r>
      <w:r>
        <w:rPr>
          <w:bCs/>
        </w:rPr>
        <w:t>.</w:t>
      </w:r>
    </w:p>
    <w:p w14:paraId="2DAB7C64" w14:textId="77777777" w:rsidR="000B7811" w:rsidRDefault="000B7811" w:rsidP="000B7811">
      <w:pPr>
        <w:spacing w:line="240" w:lineRule="auto"/>
        <w:ind w:firstLine="720"/>
        <w:jc w:val="both"/>
        <w:rPr>
          <w:bCs/>
        </w:rPr>
      </w:pPr>
      <w:r>
        <w:rPr>
          <w:bCs/>
        </w:rPr>
        <w:t>2020. gada decembrī ieviesta arī prakse organizēt regulārus diskusiju forumus par specifiskiem ar prokurora funkciju izpildi saistītiem jautājumiem, piemēram, par tēmām, kas saistīti ar noziedzīgi iegūtu līdzekļu legalizēšanas apkarošanas jomu, izmeklēšanas uzraudzības kvalitātes un efektivitātes jautājumiem, kā arī starptautiskās krimināltiesiskās sadarbības jautājumiem.</w:t>
      </w:r>
    </w:p>
    <w:p w14:paraId="26CFC2ED" w14:textId="77777777" w:rsidR="000B7811" w:rsidRDefault="000B7811" w:rsidP="000B7811">
      <w:pPr>
        <w:spacing w:line="240" w:lineRule="auto"/>
        <w:ind w:firstLine="720"/>
        <w:jc w:val="both"/>
      </w:pPr>
      <w:r>
        <w:t xml:space="preserve">2021. gadā ir paredzēti </w:t>
      </w:r>
      <w:r w:rsidRPr="0030364F">
        <w:t>152</w:t>
      </w:r>
      <w:r>
        <w:t xml:space="preserve"> apmācību pasākumi, kas plānoti, ņemot vērā apmācību sadarbības institūciju iesūtītās apmācību programmas, kā arī aptaujājot prokurorus par aktuālajām apmācību tēmu vajadzībām, taču prokuratūra regulāri saņem aicinājumus piedalīties jaunos apmācību pasākumos. Prokuratūra arī turpinās nodrošināt apmācības, ņemot vērā prokuroru ierosinājumus par apmācību tēmām, tāpēc pašreiz nav iespējams pateikt precīzu kopējo plānoto apmācību skaitu. Taču skaidrs, ka pasākumu skaits pieaugs.</w:t>
      </w:r>
    </w:p>
    <w:p w14:paraId="0B75B33A" w14:textId="33EEAAAD" w:rsidR="000B7811" w:rsidRDefault="000B7811" w:rsidP="000B7811">
      <w:pPr>
        <w:spacing w:line="240" w:lineRule="auto"/>
        <w:ind w:firstLine="720"/>
        <w:jc w:val="both"/>
      </w:pPr>
      <w:r>
        <w:t>Paredzams, kā arī 2021. gadā galvenie prokuratūras apmācību sadarbības partneri būs jau nosauktās institūcijas un prokurori tiks apmācīti par tādām tēmām kā finanšu un ekonomiskie nozi</w:t>
      </w:r>
      <w:r w:rsidR="00034C36">
        <w:t>edzīgie nodarījumi</w:t>
      </w:r>
      <w:r>
        <w:t xml:space="preserve">, krāpšanas jautājumi, ekspertīžu iespējas, komerctiesības, nodokļu tiesības, apmācības, kas vērstas uz profesionālās izdegšanas novēršanu un produktivitātes paaugstināšanu, kā arī, paplašinot dalībnieku skaitu, tiks turpinātas 2020. gadā iesāktās apmācību tēmas. </w:t>
      </w:r>
    </w:p>
    <w:p w14:paraId="3D69633B" w14:textId="77777777" w:rsidR="000B7811" w:rsidRDefault="000B7811" w:rsidP="000B7811">
      <w:pPr>
        <w:spacing w:line="240" w:lineRule="auto"/>
        <w:ind w:firstLine="720"/>
        <w:jc w:val="both"/>
        <w:rPr>
          <w:rStyle w:val="CommentReference"/>
        </w:rPr>
      </w:pPr>
      <w:r>
        <w:rPr>
          <w:bCs/>
        </w:rPr>
        <w:t xml:space="preserve">2021. gada janvārī apmācībās, kas valstī noteiktās ārkārtējās situācijas dēļ notika attālināti, izmantojot interneta platformas, piedalījušies </w:t>
      </w:r>
      <w:r w:rsidRPr="0030364F">
        <w:rPr>
          <w:bCs/>
        </w:rPr>
        <w:t>529</w:t>
      </w:r>
      <w:r>
        <w:rPr>
          <w:bCs/>
        </w:rPr>
        <w:t> prokurori (</w:t>
      </w:r>
      <w:r>
        <w:t xml:space="preserve">no šī kopējā skaita tie ir </w:t>
      </w:r>
      <w:r w:rsidRPr="00F67C42">
        <w:lastRenderedPageBreak/>
        <w:t>236 </w:t>
      </w:r>
      <w:r>
        <w:t xml:space="preserve">prokurori). Apmācību pasākumos par juridiskās ētikas, kriminālprocesa aktualitāšu, lietisko pierādījumu un arestētās mantas, finanšu noziegumu proaktīvas izmeklēšanas, </w:t>
      </w:r>
      <w:r w:rsidRPr="001C17E5">
        <w:t>nezināmas izcel</w:t>
      </w:r>
      <w:r>
        <w:t>s</w:t>
      </w:r>
      <w:r w:rsidRPr="001C17E5">
        <w:t>mes pārtikas produk</w:t>
      </w:r>
      <w:r>
        <w:t>t</w:t>
      </w:r>
      <w:r w:rsidRPr="001C17E5">
        <w:t>u un dzērienu nelikumīgas cirkulācijas apkarošan</w:t>
      </w:r>
      <w:r>
        <w:t xml:space="preserve">as un  </w:t>
      </w:r>
      <w:r w:rsidRPr="00836D9D">
        <w:t>farmaceitisko produktu viltojumu novēršan</w:t>
      </w:r>
      <w:r>
        <w:t>as</w:t>
      </w:r>
      <w:r w:rsidRPr="00836D9D">
        <w:t xml:space="preserve"> un apkarošan</w:t>
      </w:r>
      <w:r>
        <w:t>as</w:t>
      </w:r>
      <w:r w:rsidRPr="00836D9D">
        <w:t xml:space="preserve"> </w:t>
      </w:r>
      <w:r>
        <w:t>tēmām kā lektori vai eksperti iesaistījās prokurori</w:t>
      </w:r>
      <w:r>
        <w:rPr>
          <w:rStyle w:val="CommentReference"/>
        </w:rPr>
        <w:t>.</w:t>
      </w:r>
    </w:p>
    <w:p w14:paraId="0AEC6FF0" w14:textId="6A0DE676" w:rsidR="006F7852" w:rsidRDefault="000B7811" w:rsidP="00741412">
      <w:pPr>
        <w:spacing w:after="0" w:line="240" w:lineRule="auto"/>
        <w:ind w:firstLine="720"/>
        <w:jc w:val="both"/>
        <w:rPr>
          <w:rStyle w:val="CommentReference"/>
          <w:sz w:val="24"/>
          <w:szCs w:val="24"/>
        </w:rPr>
      </w:pPr>
      <w:r w:rsidRPr="000B7811">
        <w:rPr>
          <w:rStyle w:val="CommentReference"/>
          <w:sz w:val="24"/>
          <w:szCs w:val="24"/>
        </w:rPr>
        <w:t>Rezumējot, svarīgi pieminēt, ka kopumā prokurori aktīvi iesaistās dažādu ar kvalifikācijas celšanu saistītu pasākumu apmeklēšanā. Kopējais apmācību skaits ir liels, kas spēj nodrošināt minimāli nepieciešamās profesionālās kvalifikācijas celšanas vajadzības. Tajā pašā laikā vienotas un centralizētas apmācību sistēmas trūkums traucē plānot nepieciešamos apmācību pasākumus vidējā termiņā un ilgtermiņā. Tādēļ stratēģiski svarīgi ir nodrošināt prokuroru apmācību centra izveidi, kas gan ikdienas režīmā, gan ilgtermiņā varētu plānot un nodrošina mērķtiecīgu pieeju prokuroru profesionalitātes celšanai.</w:t>
      </w:r>
    </w:p>
    <w:p w14:paraId="324F3487" w14:textId="77777777" w:rsidR="006F7852" w:rsidRDefault="006F7852">
      <w:pPr>
        <w:rPr>
          <w:rStyle w:val="CommentReference"/>
          <w:sz w:val="24"/>
          <w:szCs w:val="24"/>
        </w:rPr>
      </w:pPr>
      <w:r>
        <w:rPr>
          <w:rStyle w:val="CommentReference"/>
          <w:sz w:val="24"/>
          <w:szCs w:val="24"/>
        </w:rPr>
        <w:br w:type="page"/>
      </w:r>
    </w:p>
    <w:p w14:paraId="106CBD9F" w14:textId="3DB3CA5E" w:rsidR="00052EA5" w:rsidRDefault="00741412" w:rsidP="00741412">
      <w:pPr>
        <w:spacing w:after="0"/>
        <w:jc w:val="center"/>
        <w:rPr>
          <w:b/>
          <w:bCs/>
          <w:sz w:val="32"/>
          <w:szCs w:val="32"/>
        </w:rPr>
      </w:pPr>
      <w:r>
        <w:rPr>
          <w:b/>
          <w:bCs/>
          <w:sz w:val="32"/>
          <w:szCs w:val="32"/>
        </w:rPr>
        <w:lastRenderedPageBreak/>
        <w:t>Informācija par prokuroru personālsastāvu</w:t>
      </w:r>
    </w:p>
    <w:p w14:paraId="3567416E" w14:textId="77777777" w:rsidR="00741412" w:rsidRPr="00F62B7E" w:rsidRDefault="00741412" w:rsidP="00741412">
      <w:pPr>
        <w:spacing w:after="0"/>
        <w:jc w:val="center"/>
        <w:rPr>
          <w:b/>
          <w:bCs/>
          <w:szCs w:val="24"/>
        </w:rPr>
      </w:pPr>
    </w:p>
    <w:p w14:paraId="4C21C445" w14:textId="75B62B88" w:rsidR="00DB7B78" w:rsidRDefault="00BC7252" w:rsidP="00BC7252">
      <w:r>
        <w:rPr>
          <w:noProof/>
        </w:rPr>
        <w:drawing>
          <wp:inline distT="0" distB="0" distL="0" distR="0" wp14:anchorId="6223594B" wp14:editId="0171A8F7">
            <wp:extent cx="5939790" cy="6172200"/>
            <wp:effectExtent l="0" t="0" r="3810" b="0"/>
            <wp:docPr id="205" name="Chart 205">
              <a:extLst xmlns:a="http://schemas.openxmlformats.org/drawingml/2006/main">
                <a:ext uri="{FF2B5EF4-FFF2-40B4-BE49-F238E27FC236}">
                  <a16:creationId xmlns:a16="http://schemas.microsoft.com/office/drawing/2014/main" id="{BA2CA9FF-B42E-4FEE-BBAE-F70E7C6E69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38CC595A" w14:textId="77777777" w:rsidR="006F7852" w:rsidRDefault="006F7852" w:rsidP="00DB7B78"/>
    <w:p w14:paraId="0AE4EF81" w14:textId="4BCDFF6A" w:rsidR="00486E11" w:rsidRDefault="00486E11" w:rsidP="00DB7B78">
      <w:pPr>
        <w:sectPr w:rsidR="00486E11" w:rsidSect="00CB40A0">
          <w:headerReference w:type="default" r:id="rId202"/>
          <w:pgSz w:w="11906" w:h="16838" w:code="9"/>
          <w:pgMar w:top="1134" w:right="1134" w:bottom="1134" w:left="1701" w:header="709" w:footer="709" w:gutter="0"/>
          <w:cols w:space="708"/>
          <w:titlePg/>
          <w:docGrid w:linePitch="360"/>
        </w:sectPr>
      </w:pPr>
    </w:p>
    <w:p w14:paraId="467F9D89" w14:textId="77777777" w:rsidR="00B522DA" w:rsidRDefault="00BD543D" w:rsidP="003C3C53">
      <w:pPr>
        <w:jc w:val="center"/>
      </w:pPr>
      <w:r>
        <w:rPr>
          <w:noProof/>
        </w:rPr>
        <w:lastRenderedPageBreak/>
        <w:drawing>
          <wp:inline distT="0" distB="0" distL="0" distR="0" wp14:anchorId="191AE9A5" wp14:editId="72A34773">
            <wp:extent cx="9168977" cy="5544820"/>
            <wp:effectExtent l="0" t="0" r="13335" b="17780"/>
            <wp:docPr id="225" name="Chart 225">
              <a:extLst xmlns:a="http://schemas.openxmlformats.org/drawingml/2006/main">
                <a:ext uri="{FF2B5EF4-FFF2-40B4-BE49-F238E27FC236}">
                  <a16:creationId xmlns:a16="http://schemas.microsoft.com/office/drawing/2014/main" id="{6E4027B9-7B3F-4437-BCE2-3F1386182B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1C475173" w14:textId="6440893D" w:rsidR="003C3C53" w:rsidRDefault="003C3C53" w:rsidP="003C3C53">
      <w:pPr>
        <w:sectPr w:rsidR="003C3C53" w:rsidSect="00357287">
          <w:pgSz w:w="16838" w:h="11906" w:orient="landscape" w:code="9"/>
          <w:pgMar w:top="1701" w:right="992" w:bottom="851" w:left="1134" w:header="709" w:footer="709" w:gutter="0"/>
          <w:pgNumType w:start="152"/>
          <w:cols w:space="708"/>
          <w:docGrid w:linePitch="360"/>
        </w:sectPr>
      </w:pPr>
    </w:p>
    <w:p w14:paraId="14F54411" w14:textId="77777777" w:rsidR="003C3C53" w:rsidRDefault="00BD543D" w:rsidP="00486E11">
      <w:pPr>
        <w:jc w:val="center"/>
      </w:pPr>
      <w:r>
        <w:rPr>
          <w:noProof/>
        </w:rPr>
        <w:lastRenderedPageBreak/>
        <w:drawing>
          <wp:inline distT="0" distB="0" distL="0" distR="0" wp14:anchorId="49F672E0" wp14:editId="62D3FCA4">
            <wp:extent cx="9172787" cy="5855970"/>
            <wp:effectExtent l="0" t="0" r="9525" b="11430"/>
            <wp:docPr id="226" name="Chart 226">
              <a:extLst xmlns:a="http://schemas.openxmlformats.org/drawingml/2006/main">
                <a:ext uri="{FF2B5EF4-FFF2-40B4-BE49-F238E27FC236}">
                  <a16:creationId xmlns:a16="http://schemas.microsoft.com/office/drawing/2014/main" id="{609C2C92-ABC8-48D8-AC71-AB58EA7BC2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16C04533" w14:textId="204107A9" w:rsidR="00B76E23" w:rsidRDefault="00B76E23" w:rsidP="00DB7B78">
      <w:pPr>
        <w:sectPr w:rsidR="00B76E23" w:rsidSect="00357287">
          <w:pgSz w:w="16838" w:h="11906" w:orient="landscape" w:code="9"/>
          <w:pgMar w:top="1701" w:right="992" w:bottom="851" w:left="1134" w:header="709" w:footer="709" w:gutter="0"/>
          <w:pgNumType w:start="153"/>
          <w:cols w:space="708"/>
          <w:docGrid w:linePitch="360"/>
        </w:sectPr>
      </w:pPr>
    </w:p>
    <w:p w14:paraId="26809138" w14:textId="77777777" w:rsidR="00BB53D2" w:rsidRDefault="00B522DA" w:rsidP="00BC7252">
      <w:pPr>
        <w:sectPr w:rsidR="00BB53D2" w:rsidSect="00357287">
          <w:pgSz w:w="16838" w:h="11906" w:orient="landscape" w:code="9"/>
          <w:pgMar w:top="1701" w:right="992" w:bottom="851" w:left="1134" w:header="709" w:footer="709" w:gutter="0"/>
          <w:pgNumType w:start="154"/>
          <w:cols w:space="708"/>
          <w:docGrid w:linePitch="360"/>
        </w:sectPr>
      </w:pPr>
      <w:r>
        <w:rPr>
          <w:noProof/>
        </w:rPr>
        <w:lastRenderedPageBreak/>
        <w:drawing>
          <wp:inline distT="0" distB="0" distL="0" distR="0" wp14:anchorId="32D0628A" wp14:editId="693D4EEA">
            <wp:extent cx="9288780" cy="5593080"/>
            <wp:effectExtent l="0" t="0" r="7620" b="7620"/>
            <wp:docPr id="212" name="Chart 212">
              <a:extLst xmlns:a="http://schemas.openxmlformats.org/drawingml/2006/main">
                <a:ext uri="{FF2B5EF4-FFF2-40B4-BE49-F238E27FC236}">
                  <a16:creationId xmlns:a16="http://schemas.microsoft.com/office/drawing/2014/main" id="{031D2025-F773-4DB7-98AB-73E25EF093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139CEDA3" w14:textId="0655442F" w:rsidR="00DF0D1B" w:rsidRDefault="00DF0D1B" w:rsidP="00BC7252"/>
    <w:p w14:paraId="2AB6351D" w14:textId="39F527C8" w:rsidR="00BC7252" w:rsidRDefault="00BC7252" w:rsidP="00EE373D">
      <w:pPr>
        <w:jc w:val="center"/>
      </w:pPr>
      <w:r>
        <w:rPr>
          <w:noProof/>
        </w:rPr>
        <w:drawing>
          <wp:inline distT="0" distB="0" distL="0" distR="0" wp14:anchorId="1878E293" wp14:editId="685CA4F1">
            <wp:extent cx="5939790" cy="4017645"/>
            <wp:effectExtent l="0" t="0" r="3810" b="1905"/>
            <wp:docPr id="206" name="Chart 206">
              <a:extLst xmlns:a="http://schemas.openxmlformats.org/drawingml/2006/main">
                <a:ext uri="{FF2B5EF4-FFF2-40B4-BE49-F238E27FC236}">
                  <a16:creationId xmlns:a16="http://schemas.microsoft.com/office/drawing/2014/main" id="{471192A6-3976-4331-AD3D-A3DF170BFA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0D0400A6" w14:textId="77777777" w:rsidR="00B76E23" w:rsidRDefault="00B76E23" w:rsidP="00BC7252"/>
    <w:p w14:paraId="2B207519" w14:textId="77777777" w:rsidR="00BC7252" w:rsidRDefault="00BC7252" w:rsidP="00EE373D">
      <w:pPr>
        <w:jc w:val="center"/>
      </w:pPr>
      <w:r>
        <w:rPr>
          <w:noProof/>
        </w:rPr>
        <w:drawing>
          <wp:inline distT="0" distB="0" distL="0" distR="0" wp14:anchorId="337909E9" wp14:editId="666AAA96">
            <wp:extent cx="5939790" cy="4178935"/>
            <wp:effectExtent l="0" t="0" r="3810" b="12065"/>
            <wp:docPr id="207" name="Chart 207">
              <a:extLst xmlns:a="http://schemas.openxmlformats.org/drawingml/2006/main">
                <a:ext uri="{FF2B5EF4-FFF2-40B4-BE49-F238E27FC236}">
                  <a16:creationId xmlns:a16="http://schemas.microsoft.com/office/drawing/2014/main" id="{0025EB48-E1C7-47CC-9026-272874536E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17391893" w14:textId="742C69A9" w:rsidR="00BC7252" w:rsidRDefault="00BC7252" w:rsidP="00EE373D">
      <w:pPr>
        <w:spacing w:after="0"/>
        <w:jc w:val="center"/>
      </w:pPr>
      <w:r>
        <w:rPr>
          <w:noProof/>
        </w:rPr>
        <w:lastRenderedPageBreak/>
        <w:drawing>
          <wp:inline distT="0" distB="0" distL="0" distR="0" wp14:anchorId="0EBA71AC" wp14:editId="138D68AA">
            <wp:extent cx="5844540" cy="3492500"/>
            <wp:effectExtent l="0" t="0" r="3810" b="12700"/>
            <wp:docPr id="208" name="Chart 208">
              <a:extLst xmlns:a="http://schemas.openxmlformats.org/drawingml/2006/main">
                <a:ext uri="{FF2B5EF4-FFF2-40B4-BE49-F238E27FC236}">
                  <a16:creationId xmlns:a16="http://schemas.microsoft.com/office/drawing/2014/main" id="{A6E354E7-A42E-43CD-955E-9BCF0AE6F1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66DE72C0" w14:textId="77777777" w:rsidR="00631CA8" w:rsidRDefault="00631CA8" w:rsidP="00631CA8">
      <w:pPr>
        <w:spacing w:after="0"/>
      </w:pPr>
    </w:p>
    <w:p w14:paraId="3CA25824" w14:textId="34BDD7C6" w:rsidR="00436068" w:rsidRDefault="00BC7252" w:rsidP="00EE373D">
      <w:pPr>
        <w:jc w:val="center"/>
        <w:sectPr w:rsidR="00436068" w:rsidSect="00357287">
          <w:pgSz w:w="11906" w:h="16838" w:code="9"/>
          <w:pgMar w:top="993" w:right="849" w:bottom="1135" w:left="1701" w:header="709" w:footer="709" w:gutter="0"/>
          <w:pgNumType w:start="155"/>
          <w:cols w:space="708"/>
          <w:docGrid w:linePitch="360"/>
        </w:sectPr>
      </w:pPr>
      <w:r>
        <w:rPr>
          <w:noProof/>
        </w:rPr>
        <w:drawing>
          <wp:inline distT="0" distB="0" distL="0" distR="0" wp14:anchorId="3289E1B2" wp14:editId="2A29A3EC">
            <wp:extent cx="5863590" cy="4197350"/>
            <wp:effectExtent l="0" t="0" r="3810" b="12700"/>
            <wp:docPr id="209" name="Chart 209">
              <a:extLst xmlns:a="http://schemas.openxmlformats.org/drawingml/2006/main">
                <a:ext uri="{FF2B5EF4-FFF2-40B4-BE49-F238E27FC236}">
                  <a16:creationId xmlns:a16="http://schemas.microsoft.com/office/drawing/2014/main" id="{BF57F5F7-D8E5-4A73-B08C-2D2B6D474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5DC37488" w14:textId="6FDBDB90" w:rsidR="00F36BD4" w:rsidRDefault="00F36BD4" w:rsidP="005E5175">
      <w:pPr>
        <w:spacing w:after="0" w:line="240" w:lineRule="auto"/>
        <w:jc w:val="center"/>
        <w:rPr>
          <w:b/>
          <w:bCs/>
          <w:sz w:val="32"/>
          <w:szCs w:val="32"/>
        </w:rPr>
      </w:pPr>
      <w:r w:rsidRPr="000F2172">
        <w:rPr>
          <w:b/>
          <w:bCs/>
          <w:sz w:val="32"/>
          <w:szCs w:val="32"/>
        </w:rPr>
        <w:lastRenderedPageBreak/>
        <w:t>P</w:t>
      </w:r>
      <w:r w:rsidR="00A46445">
        <w:rPr>
          <w:b/>
          <w:bCs/>
          <w:sz w:val="32"/>
          <w:szCs w:val="32"/>
        </w:rPr>
        <w:t xml:space="preserve">ārskats par Latvijas Republikas pārstāvniecības </w:t>
      </w:r>
      <w:proofErr w:type="spellStart"/>
      <w:r w:rsidR="00A46445">
        <w:rPr>
          <w:b/>
          <w:bCs/>
          <w:sz w:val="32"/>
          <w:szCs w:val="32"/>
        </w:rPr>
        <w:t>Eirojustā</w:t>
      </w:r>
      <w:proofErr w:type="spellEnd"/>
      <w:r w:rsidR="00A46445">
        <w:rPr>
          <w:b/>
          <w:bCs/>
          <w:sz w:val="32"/>
          <w:szCs w:val="32"/>
        </w:rPr>
        <w:t xml:space="preserve"> darbu</w:t>
      </w:r>
      <w:r w:rsidRPr="000F2172">
        <w:rPr>
          <w:b/>
          <w:bCs/>
          <w:sz w:val="32"/>
          <w:szCs w:val="32"/>
        </w:rPr>
        <w:t xml:space="preserve"> </w:t>
      </w:r>
      <w:r>
        <w:rPr>
          <w:b/>
          <w:bCs/>
          <w:sz w:val="32"/>
          <w:szCs w:val="32"/>
        </w:rPr>
        <w:t>2020. gad</w:t>
      </w:r>
      <w:r w:rsidR="00A46445">
        <w:rPr>
          <w:b/>
          <w:bCs/>
          <w:sz w:val="32"/>
          <w:szCs w:val="32"/>
        </w:rPr>
        <w:t>ā</w:t>
      </w:r>
    </w:p>
    <w:p w14:paraId="77D0F123" w14:textId="77777777" w:rsidR="00F36BD4" w:rsidRPr="005C4C6A" w:rsidRDefault="00F36BD4" w:rsidP="00F36BD4">
      <w:pPr>
        <w:spacing w:after="0" w:line="240" w:lineRule="auto"/>
        <w:jc w:val="both"/>
        <w:rPr>
          <w:b/>
          <w:bCs/>
          <w:szCs w:val="24"/>
        </w:rPr>
      </w:pPr>
    </w:p>
    <w:p w14:paraId="1DAF0307" w14:textId="34E9A0FA" w:rsidR="00F36BD4" w:rsidRDefault="00B16CA1" w:rsidP="005C4C6A">
      <w:pPr>
        <w:spacing w:after="0" w:line="240" w:lineRule="auto"/>
        <w:ind w:firstLine="720"/>
        <w:jc w:val="both"/>
      </w:pPr>
      <w:r>
        <w:t xml:space="preserve">Latvijas Republikas pārstāvniecības </w:t>
      </w:r>
      <w:proofErr w:type="spellStart"/>
      <w:r w:rsidR="00F36BD4">
        <w:t>Eirojustā</w:t>
      </w:r>
      <w:proofErr w:type="spellEnd"/>
      <w:r w:rsidR="00F36BD4">
        <w:t xml:space="preserve"> </w:t>
      </w:r>
      <w:r w:rsidR="005C4C6A">
        <w:t xml:space="preserve">darbu </w:t>
      </w:r>
      <w:r w:rsidR="00F36BD4">
        <w:t>2020.gadā</w:t>
      </w:r>
      <w:r w:rsidR="005C4C6A">
        <w:t xml:space="preserve"> nosacīti var </w:t>
      </w:r>
      <w:r w:rsidR="00F36BD4">
        <w:t xml:space="preserve">iedalīt divos pamatblokos – darbs, kas saistīts ar </w:t>
      </w:r>
      <w:proofErr w:type="spellStart"/>
      <w:r w:rsidR="00F36BD4">
        <w:t>Eirojusta</w:t>
      </w:r>
      <w:proofErr w:type="spellEnd"/>
      <w:r w:rsidR="00F36BD4">
        <w:t xml:space="preserve"> pārvaldību un operatīvais darbs. </w:t>
      </w:r>
    </w:p>
    <w:p w14:paraId="01D1564A" w14:textId="77777777" w:rsidR="005C4C6A" w:rsidRPr="005C4C6A" w:rsidRDefault="005C4C6A" w:rsidP="005C4C6A">
      <w:pPr>
        <w:spacing w:after="0" w:line="240" w:lineRule="auto"/>
        <w:ind w:firstLine="720"/>
        <w:jc w:val="both"/>
      </w:pPr>
    </w:p>
    <w:p w14:paraId="5E13DA3D" w14:textId="088F9E16" w:rsidR="00F36BD4" w:rsidRDefault="005C4C6A" w:rsidP="00F36BD4">
      <w:pPr>
        <w:spacing w:after="0" w:line="240" w:lineRule="auto"/>
        <w:jc w:val="both"/>
        <w:rPr>
          <w:b/>
        </w:rPr>
      </w:pPr>
      <w:r>
        <w:rPr>
          <w:b/>
        </w:rPr>
        <w:t xml:space="preserve">[1] </w:t>
      </w:r>
      <w:proofErr w:type="spellStart"/>
      <w:r w:rsidR="00F36BD4" w:rsidRPr="00ED620A">
        <w:rPr>
          <w:b/>
        </w:rPr>
        <w:t>Eirojusta</w:t>
      </w:r>
      <w:proofErr w:type="spellEnd"/>
      <w:r w:rsidR="00F36BD4" w:rsidRPr="00ED620A">
        <w:rPr>
          <w:b/>
        </w:rPr>
        <w:t xml:space="preserve"> pārvaldība</w:t>
      </w:r>
    </w:p>
    <w:p w14:paraId="3AA846EE" w14:textId="77777777" w:rsidR="00F36BD4" w:rsidRPr="00ED620A" w:rsidRDefault="00F36BD4" w:rsidP="00F36BD4">
      <w:pPr>
        <w:spacing w:after="0" w:line="240" w:lineRule="auto"/>
        <w:jc w:val="both"/>
        <w:rPr>
          <w:b/>
        </w:rPr>
      </w:pPr>
    </w:p>
    <w:p w14:paraId="64B5DA19" w14:textId="411E53E1" w:rsidR="00F36BD4" w:rsidRDefault="00F36BD4" w:rsidP="005C4C6A">
      <w:pPr>
        <w:spacing w:after="0" w:line="240" w:lineRule="auto"/>
        <w:ind w:firstLine="720"/>
        <w:jc w:val="both"/>
      </w:pPr>
      <w:r>
        <w:t xml:space="preserve">Atbilstoši </w:t>
      </w:r>
      <w:r w:rsidRPr="008B4836">
        <w:rPr>
          <w:i/>
        </w:rPr>
        <w:t>Eiropas parlamenta un Padomes regulā (ES) 2018/1727 par Eiropas Savienības Aģentūru tiesu iestāžu sadarbībai krimināllietās (</w:t>
      </w:r>
      <w:proofErr w:type="spellStart"/>
      <w:r w:rsidRPr="008B4836">
        <w:rPr>
          <w:i/>
        </w:rPr>
        <w:t>Eurojust</w:t>
      </w:r>
      <w:proofErr w:type="spellEnd"/>
      <w:r w:rsidRPr="008B4836">
        <w:rPr>
          <w:i/>
        </w:rPr>
        <w:t>) un ar ko aizstāj un atceļ Padomes Lēmumu 2002/187/TIK</w:t>
      </w:r>
      <w:r>
        <w:t xml:space="preserve"> (turpmāk</w:t>
      </w:r>
      <w:r w:rsidR="005C4C6A">
        <w:t xml:space="preserve"> – </w:t>
      </w:r>
      <w:proofErr w:type="spellStart"/>
      <w:r>
        <w:t>Eurojust</w:t>
      </w:r>
      <w:proofErr w:type="spellEnd"/>
      <w:r>
        <w:t xml:space="preserve"> Regula) noteiktajam Latvijas valsts pārstāvis </w:t>
      </w:r>
      <w:proofErr w:type="spellStart"/>
      <w:r>
        <w:t>Eirojustā</w:t>
      </w:r>
      <w:proofErr w:type="spellEnd"/>
      <w:r>
        <w:t xml:space="preserve"> ietilpst </w:t>
      </w:r>
      <w:proofErr w:type="spellStart"/>
      <w:r>
        <w:t>Eirojusta</w:t>
      </w:r>
      <w:proofErr w:type="spellEnd"/>
      <w:r>
        <w:t xml:space="preserve"> kolēģijā, kuras ietvaros tiek realizētas </w:t>
      </w:r>
      <w:proofErr w:type="spellStart"/>
      <w:r>
        <w:t>Eirojusta</w:t>
      </w:r>
      <w:proofErr w:type="spellEnd"/>
      <w:r>
        <w:t xml:space="preserve"> operatīvās un vadības funkcijas.  </w:t>
      </w:r>
    </w:p>
    <w:p w14:paraId="2F7CCF6B" w14:textId="6F4A13B3" w:rsidR="00F36BD4" w:rsidRDefault="00F36BD4" w:rsidP="005C4C6A">
      <w:pPr>
        <w:spacing w:after="0" w:line="240" w:lineRule="auto"/>
        <w:ind w:firstLine="720"/>
        <w:jc w:val="both"/>
      </w:pPr>
      <w:r>
        <w:t xml:space="preserve">Realizējot šīs funkcijas, </w:t>
      </w:r>
      <w:r w:rsidR="00284E08">
        <w:t xml:space="preserve">Latvijas pārstāve </w:t>
      </w:r>
      <w:proofErr w:type="spellStart"/>
      <w:r w:rsidR="00284E08">
        <w:t>Eirojustā</w:t>
      </w:r>
      <w:proofErr w:type="spellEnd"/>
      <w:r w:rsidR="00284E08">
        <w:t xml:space="preserve"> </w:t>
      </w:r>
      <w:r>
        <w:t>2020.</w:t>
      </w:r>
      <w:r w:rsidR="005C4C6A">
        <w:t> </w:t>
      </w:r>
      <w:r>
        <w:t>gadā</w:t>
      </w:r>
      <w:r w:rsidR="00284E08">
        <w:t xml:space="preserve"> </w:t>
      </w:r>
      <w:r>
        <w:t>piedalījusies visās</w:t>
      </w:r>
      <w:r w:rsidRPr="003C49AF">
        <w:t xml:space="preserve"> </w:t>
      </w:r>
      <w:proofErr w:type="spellStart"/>
      <w:r w:rsidRPr="003C49AF">
        <w:t>Eirojusta</w:t>
      </w:r>
      <w:proofErr w:type="spellEnd"/>
      <w:r w:rsidRPr="003C49AF">
        <w:t xml:space="preserve"> kolēģijas </w:t>
      </w:r>
      <w:r w:rsidR="00720473">
        <w:t xml:space="preserve">(turpmāk – Kolēģija) </w:t>
      </w:r>
      <w:r w:rsidRPr="003C49AF">
        <w:t>sēdēs, kuru laikā tik</w:t>
      </w:r>
      <w:r>
        <w:t>a</w:t>
      </w:r>
      <w:r w:rsidRPr="003C49AF">
        <w:t xml:space="preserve"> pieņemti aktuāli lēmumi gan par </w:t>
      </w:r>
      <w:proofErr w:type="spellStart"/>
      <w:r w:rsidRPr="003C49AF">
        <w:t>Eirojusta</w:t>
      </w:r>
      <w:proofErr w:type="spellEnd"/>
      <w:r w:rsidRPr="003C49AF">
        <w:t xml:space="preserve"> operatīvo, gan administratīvo darbību</w:t>
      </w:r>
      <w:r>
        <w:t>, t.sk.</w:t>
      </w:r>
      <w:r w:rsidRPr="00095175">
        <w:t xml:space="preserve"> </w:t>
      </w:r>
      <w:r>
        <w:t>plānošanas dokuments</w:t>
      </w:r>
      <w:r w:rsidRPr="00095175">
        <w:t xml:space="preserve">, kurā ietverta </w:t>
      </w:r>
      <w:proofErr w:type="spellStart"/>
      <w:r>
        <w:t>Eirojusta</w:t>
      </w:r>
      <w:proofErr w:type="spellEnd"/>
      <w:r>
        <w:t xml:space="preserve"> </w:t>
      </w:r>
      <w:r w:rsidRPr="00095175">
        <w:t>gada un daudzgadu programma</w:t>
      </w:r>
      <w:r w:rsidRPr="003C49AF">
        <w:t xml:space="preserve">. </w:t>
      </w:r>
    </w:p>
    <w:p w14:paraId="622E09A5" w14:textId="02CD3AC9" w:rsidR="00F36BD4" w:rsidRPr="0030364F" w:rsidRDefault="00284E08" w:rsidP="00284E08">
      <w:pPr>
        <w:spacing w:after="0" w:line="240" w:lineRule="auto"/>
        <w:ind w:firstLine="720"/>
        <w:jc w:val="both"/>
      </w:pPr>
      <w:r>
        <w:t>2020. gadā</w:t>
      </w:r>
      <w:r w:rsidR="00F36BD4">
        <w:t xml:space="preserve"> </w:t>
      </w:r>
      <w:r w:rsidR="00F36BD4" w:rsidRPr="003C49AF">
        <w:t xml:space="preserve">ir notikušas </w:t>
      </w:r>
      <w:r w:rsidR="00F36BD4" w:rsidRPr="0030364F">
        <w:t xml:space="preserve">22 </w:t>
      </w:r>
      <w:r w:rsidR="00720473" w:rsidRPr="0030364F">
        <w:t>K</w:t>
      </w:r>
      <w:r w:rsidR="00F36BD4" w:rsidRPr="0030364F">
        <w:t>olēģijas sēdes, no kurām 16</w:t>
      </w:r>
      <w:r w:rsidR="00720473" w:rsidRPr="0030364F">
        <w:t xml:space="preserve"> </w:t>
      </w:r>
      <w:r w:rsidR="00F31F60">
        <w:t xml:space="preserve">sēdes notikušas </w:t>
      </w:r>
      <w:r w:rsidR="00F36BD4" w:rsidRPr="0030364F">
        <w:t>videokonferences režīmā</w:t>
      </w:r>
      <w:r w:rsidR="00720473" w:rsidRPr="0030364F">
        <w:t xml:space="preserve"> </w:t>
      </w:r>
      <w:r w:rsidR="00F36BD4" w:rsidRPr="0030364F">
        <w:t>C</w:t>
      </w:r>
      <w:r w:rsidRPr="0030364F">
        <w:t>ovid</w:t>
      </w:r>
      <w:r w:rsidR="00F31F60">
        <w:t>-1</w:t>
      </w:r>
      <w:r w:rsidR="00F36BD4" w:rsidRPr="0030364F">
        <w:t>9 krīzes dēļ. Kolēģijai nebija iespējams noturēt s</w:t>
      </w:r>
      <w:r w:rsidR="00720473" w:rsidRPr="0030364F">
        <w:t>ēdes</w:t>
      </w:r>
      <w:r w:rsidR="00F36BD4" w:rsidRPr="0030364F">
        <w:t xml:space="preserve"> laika periodā no 2020.</w:t>
      </w:r>
      <w:r w:rsidR="00720473" w:rsidRPr="0030364F">
        <w:t> </w:t>
      </w:r>
      <w:r w:rsidR="00F36BD4" w:rsidRPr="0030364F">
        <w:t>gada 10.</w:t>
      </w:r>
      <w:r w:rsidR="00720473" w:rsidRPr="0030364F">
        <w:t> </w:t>
      </w:r>
      <w:r w:rsidR="00F36BD4" w:rsidRPr="0030364F">
        <w:t>marta līdz 28.</w:t>
      </w:r>
      <w:r w:rsidR="00720473" w:rsidRPr="0030364F">
        <w:t> </w:t>
      </w:r>
      <w:r w:rsidR="00F36BD4" w:rsidRPr="0030364F">
        <w:t>aprīlim C</w:t>
      </w:r>
      <w:r w:rsidR="00720473" w:rsidRPr="0030364F">
        <w:t>ovid</w:t>
      </w:r>
      <w:r w:rsidR="00F36BD4" w:rsidRPr="0030364F">
        <w:t>-19 krīzes dēļ, kad tika atceltas 4</w:t>
      </w:r>
      <w:r w:rsidR="00720473" w:rsidRPr="0030364F">
        <w:t> </w:t>
      </w:r>
      <w:r w:rsidR="00F36BD4" w:rsidRPr="0030364F">
        <w:t xml:space="preserve">sanāksmes. Šajā laikā tika meklēti risinājumi, kā arī domāts par normatīvo aktu izmaiņām, lai </w:t>
      </w:r>
      <w:r w:rsidR="00AE1C31" w:rsidRPr="0030364F">
        <w:t>K</w:t>
      </w:r>
      <w:r w:rsidR="00F36BD4" w:rsidRPr="0030364F">
        <w:t>olēģijas sēdes varētu notikt attālināti videokonferences režīmā.</w:t>
      </w:r>
    </w:p>
    <w:p w14:paraId="1B34ED9D" w14:textId="690156E1" w:rsidR="00F36BD4" w:rsidRPr="0030364F" w:rsidRDefault="00F36BD4" w:rsidP="00720473">
      <w:pPr>
        <w:spacing w:after="0" w:line="240" w:lineRule="auto"/>
        <w:ind w:firstLine="360"/>
        <w:jc w:val="both"/>
      </w:pPr>
      <w:r w:rsidRPr="0030364F">
        <w:t>Kolēģija 2020.</w:t>
      </w:r>
      <w:r w:rsidR="00AE1C31" w:rsidRPr="0030364F">
        <w:t> </w:t>
      </w:r>
      <w:r w:rsidRPr="0030364F">
        <w:t>gadā ir izskatījusi virkni jautājumu, kuru ietvaros:</w:t>
      </w:r>
    </w:p>
    <w:p w14:paraId="588C5E60" w14:textId="1654D36A" w:rsidR="00F36BD4" w:rsidRPr="0030364F" w:rsidRDefault="00F36BD4" w:rsidP="00E329FC">
      <w:pPr>
        <w:pStyle w:val="ListParagraph"/>
        <w:numPr>
          <w:ilvl w:val="0"/>
          <w:numId w:val="29"/>
        </w:numPr>
        <w:spacing w:after="0" w:line="240" w:lineRule="auto"/>
        <w:jc w:val="both"/>
      </w:pPr>
      <w:r w:rsidRPr="0030364F">
        <w:t xml:space="preserve">tika pieņemti 10 formāli </w:t>
      </w:r>
      <w:r w:rsidR="00AE1C31" w:rsidRPr="0030364F">
        <w:t>K</w:t>
      </w:r>
      <w:r w:rsidRPr="0030364F">
        <w:t>olēģijas lēmumi;</w:t>
      </w:r>
    </w:p>
    <w:p w14:paraId="1C0D6783" w14:textId="1D88B0D7" w:rsidR="00F36BD4" w:rsidRPr="0030364F" w:rsidRDefault="00F36BD4" w:rsidP="00E329FC">
      <w:pPr>
        <w:pStyle w:val="ListParagraph"/>
        <w:numPr>
          <w:ilvl w:val="0"/>
          <w:numId w:val="29"/>
        </w:numPr>
        <w:spacing w:after="0" w:line="240" w:lineRule="auto"/>
        <w:jc w:val="both"/>
      </w:pPr>
      <w:r w:rsidRPr="0030364F">
        <w:t>ir veiktas 5</w:t>
      </w:r>
      <w:r w:rsidR="00AE1C31" w:rsidRPr="0030364F">
        <w:t> </w:t>
      </w:r>
      <w:r w:rsidRPr="0030364F">
        <w:t>konsultāciju procedūras</w:t>
      </w:r>
      <w:r w:rsidR="00AE1C31" w:rsidRPr="0030364F">
        <w:t>;</w:t>
      </w:r>
      <w:r w:rsidRPr="0030364F">
        <w:t xml:space="preserve"> </w:t>
      </w:r>
    </w:p>
    <w:p w14:paraId="4948CFE0" w14:textId="1206F1A9" w:rsidR="00F36BD4" w:rsidRPr="0030364F" w:rsidRDefault="00F36BD4" w:rsidP="00E329FC">
      <w:pPr>
        <w:pStyle w:val="ListParagraph"/>
        <w:numPr>
          <w:ilvl w:val="0"/>
          <w:numId w:val="29"/>
        </w:numPr>
        <w:spacing w:after="0" w:line="240" w:lineRule="auto"/>
        <w:jc w:val="both"/>
      </w:pPr>
      <w:r w:rsidRPr="0030364F">
        <w:t>ir notikušas 3</w:t>
      </w:r>
      <w:r w:rsidR="00AE1C31" w:rsidRPr="0030364F">
        <w:t> </w:t>
      </w:r>
      <w:r w:rsidRPr="0030364F">
        <w:t>vēlēšanas (tika ievēlēta valde, prezidents un vice-prezidents)</w:t>
      </w:r>
      <w:r w:rsidR="00AE1C31" w:rsidRPr="0030364F">
        <w:t>;</w:t>
      </w:r>
      <w:r w:rsidRPr="0030364F">
        <w:t xml:space="preserve"> </w:t>
      </w:r>
    </w:p>
    <w:p w14:paraId="095BA290" w14:textId="3659201F" w:rsidR="00F36BD4" w:rsidRPr="0030364F" w:rsidRDefault="00F36BD4" w:rsidP="00E329FC">
      <w:pPr>
        <w:pStyle w:val="ListParagraph"/>
        <w:numPr>
          <w:ilvl w:val="0"/>
          <w:numId w:val="29"/>
        </w:numPr>
        <w:spacing w:after="0" w:line="240" w:lineRule="auto"/>
        <w:jc w:val="both"/>
      </w:pPr>
      <w:r w:rsidRPr="0030364F">
        <w:t>tika apspriesti 7</w:t>
      </w:r>
      <w:r w:rsidR="00AE1C31" w:rsidRPr="0030364F">
        <w:t> </w:t>
      </w:r>
      <w:r w:rsidRPr="0030364F">
        <w:t>konfidenciāli jautājumi;</w:t>
      </w:r>
    </w:p>
    <w:p w14:paraId="1B782E27" w14:textId="56F169AB" w:rsidR="00F36BD4" w:rsidRDefault="00F36BD4" w:rsidP="00E329FC">
      <w:pPr>
        <w:pStyle w:val="ListParagraph"/>
        <w:numPr>
          <w:ilvl w:val="0"/>
          <w:numId w:val="29"/>
        </w:numPr>
        <w:spacing w:after="0" w:line="240" w:lineRule="auto"/>
        <w:jc w:val="both"/>
      </w:pPr>
      <w:r w:rsidRPr="0030364F">
        <w:t>balsojot rakst</w:t>
      </w:r>
      <w:r w:rsidR="00AE1C31" w:rsidRPr="0030364F">
        <w:t>veida</w:t>
      </w:r>
      <w:r w:rsidRPr="0030364F">
        <w:t xml:space="preserve"> procedūrā pēc jautājumu izskatīšanas </w:t>
      </w:r>
      <w:r w:rsidR="00AE1C31" w:rsidRPr="0030364F">
        <w:t>K</w:t>
      </w:r>
      <w:r w:rsidRPr="0030364F">
        <w:t>olēģijas s</w:t>
      </w:r>
      <w:r w:rsidR="00AE1C31" w:rsidRPr="0030364F">
        <w:t>ēdēs</w:t>
      </w:r>
      <w:r w:rsidRPr="0030364F">
        <w:t xml:space="preserve"> videokonferences režīmā, pieņemti lēmumi par 70</w:t>
      </w:r>
      <w:r w:rsidR="00AE1C31">
        <w:t> </w:t>
      </w:r>
      <w:r>
        <w:t xml:space="preserve">priekšlikumiem. </w:t>
      </w:r>
    </w:p>
    <w:p w14:paraId="6C8F5EB7" w14:textId="0C35508A" w:rsidR="00F36BD4" w:rsidRDefault="00F36BD4" w:rsidP="00F36BD4">
      <w:pPr>
        <w:spacing w:after="0" w:line="240" w:lineRule="auto"/>
        <w:jc w:val="both"/>
      </w:pPr>
      <w:r w:rsidRPr="00BB04C1">
        <w:t xml:space="preserve">Jāatzīmē, ka iepazīšanās ar </w:t>
      </w:r>
      <w:r w:rsidR="003A494F">
        <w:t>K</w:t>
      </w:r>
      <w:r w:rsidRPr="00BB04C1">
        <w:t>olēģijas sēdēs apspriežamajiem jautājumiem, ierosinājumiem un pavadoša</w:t>
      </w:r>
      <w:r>
        <w:t>jiem dokumentiem aizņem iev</w:t>
      </w:r>
      <w:r w:rsidRPr="00BB04C1">
        <w:t xml:space="preserve">ērojamu </w:t>
      </w:r>
      <w:proofErr w:type="spellStart"/>
      <w:r w:rsidR="003A494F">
        <w:t>Eirojusta</w:t>
      </w:r>
      <w:proofErr w:type="spellEnd"/>
      <w:r w:rsidR="003A494F">
        <w:t xml:space="preserve"> n</w:t>
      </w:r>
      <w:r w:rsidRPr="00BB04C1">
        <w:t xml:space="preserve">acionālo pārstāvju darba laika daļu.  </w:t>
      </w:r>
    </w:p>
    <w:p w14:paraId="5331766F" w14:textId="77777777" w:rsidR="00F36BD4" w:rsidRDefault="00F36BD4" w:rsidP="00F36BD4">
      <w:pPr>
        <w:spacing w:after="0" w:line="240" w:lineRule="auto"/>
        <w:jc w:val="both"/>
      </w:pPr>
    </w:p>
    <w:p w14:paraId="2B996627" w14:textId="2E516153" w:rsidR="00F36BD4" w:rsidRDefault="00F36BD4" w:rsidP="003A494F">
      <w:pPr>
        <w:spacing w:after="0" w:line="240" w:lineRule="auto"/>
        <w:ind w:firstLine="720"/>
        <w:jc w:val="both"/>
      </w:pPr>
      <w:r>
        <w:t xml:space="preserve">Kā Kolēģijas apakšstruktūras </w:t>
      </w:r>
      <w:r w:rsidR="003A494F">
        <w:t>–</w:t>
      </w:r>
      <w:r>
        <w:t xml:space="preserve"> K</w:t>
      </w:r>
      <w:r w:rsidRPr="00091E29">
        <w:t>rimināltiesiskās sadarbības instrumentu darba grupas (JCIT)</w:t>
      </w:r>
      <w:r w:rsidR="003A494F">
        <w:t xml:space="preserve"> – </w:t>
      </w:r>
      <w:r>
        <w:t xml:space="preserve">loceklis </w:t>
      </w:r>
      <w:r w:rsidR="003A494F">
        <w:t xml:space="preserve">Latvijas pārstāvis </w:t>
      </w:r>
      <w:proofErr w:type="spellStart"/>
      <w:r w:rsidR="003A494F">
        <w:t>Eirojustā</w:t>
      </w:r>
      <w:proofErr w:type="spellEnd"/>
      <w:r>
        <w:t xml:space="preserve"> piedal</w:t>
      </w:r>
      <w:r w:rsidR="003A494F">
        <w:t>ās</w:t>
      </w:r>
      <w:r>
        <w:t xml:space="preserve"> tās</w:t>
      </w:r>
      <w:r w:rsidRPr="00091E29">
        <w:t xml:space="preserve"> sanāksmēs, kurās tiek apspriesti jautājumi un problēmas, kas izriet no praktiskās Eiropas apcietinājuma lēmuma, Eiropas izmeklēšanas rīkojuma, iesaldēšanas rīkojuma un citu instrumentu piemērošanas. Kā nozīmīgi šīs darba grupas rezultāti ir vairāki ziņojumi par krimināltiesiskās sadarbības instrumentu praktisko piemērošanu, kuri tika nosūtīti arī uz Latviju un atzinīgi novērtēti no tiesīb</w:t>
      </w:r>
      <w:r w:rsidR="003A494F">
        <w:t>aizsardzības</w:t>
      </w:r>
      <w:r>
        <w:t xml:space="preserve"> iestāžu puses, kā piemēram:</w:t>
      </w:r>
    </w:p>
    <w:p w14:paraId="36F0BA3D" w14:textId="13D3AFD8" w:rsidR="00F36BD4" w:rsidRDefault="00F36BD4" w:rsidP="00E329FC">
      <w:pPr>
        <w:pStyle w:val="ListParagraph"/>
        <w:numPr>
          <w:ilvl w:val="0"/>
          <w:numId w:val="29"/>
        </w:numPr>
        <w:spacing w:after="0" w:line="240" w:lineRule="auto"/>
        <w:jc w:val="both"/>
      </w:pPr>
      <w:r w:rsidRPr="00091E29">
        <w:t>“</w:t>
      </w:r>
      <w:proofErr w:type="spellStart"/>
      <w:r w:rsidRPr="00091E29">
        <w:t>Note</w:t>
      </w:r>
      <w:proofErr w:type="spellEnd"/>
      <w:r w:rsidRPr="00091E29">
        <w:t xml:space="preserve"> </w:t>
      </w:r>
      <w:proofErr w:type="spellStart"/>
      <w:r w:rsidRPr="00091E29">
        <w:t>on</w:t>
      </w:r>
      <w:proofErr w:type="spellEnd"/>
      <w:r w:rsidRPr="00091E29">
        <w:t xml:space="preserve"> </w:t>
      </w:r>
      <w:proofErr w:type="spellStart"/>
      <w:r w:rsidRPr="00091E29">
        <w:t>Regulation</w:t>
      </w:r>
      <w:proofErr w:type="spellEnd"/>
      <w:r w:rsidRPr="00091E29">
        <w:t xml:space="preserve"> </w:t>
      </w:r>
      <w:proofErr w:type="spellStart"/>
      <w:r w:rsidRPr="00091E29">
        <w:t>on</w:t>
      </w:r>
      <w:proofErr w:type="spellEnd"/>
      <w:r w:rsidRPr="00091E29">
        <w:t xml:space="preserve"> </w:t>
      </w:r>
      <w:proofErr w:type="spellStart"/>
      <w:r w:rsidRPr="00091E29">
        <w:t>the</w:t>
      </w:r>
      <w:proofErr w:type="spellEnd"/>
      <w:r w:rsidRPr="00091E29">
        <w:t xml:space="preserve"> Mutual </w:t>
      </w:r>
      <w:proofErr w:type="spellStart"/>
      <w:r w:rsidRPr="00091E29">
        <w:t>Recognition</w:t>
      </w:r>
      <w:proofErr w:type="spellEnd"/>
      <w:r w:rsidRPr="00091E29">
        <w:t xml:space="preserve"> </w:t>
      </w:r>
      <w:proofErr w:type="spellStart"/>
      <w:r w:rsidRPr="00091E29">
        <w:t>of</w:t>
      </w:r>
      <w:proofErr w:type="spellEnd"/>
      <w:r w:rsidRPr="00091E29">
        <w:t xml:space="preserve"> </w:t>
      </w:r>
      <w:proofErr w:type="spellStart"/>
      <w:r w:rsidRPr="00091E29">
        <w:t>Freezing</w:t>
      </w:r>
      <w:proofErr w:type="spellEnd"/>
      <w:r w:rsidRPr="00091E29">
        <w:t xml:space="preserve"> </w:t>
      </w:r>
      <w:proofErr w:type="spellStart"/>
      <w:r w:rsidRPr="00091E29">
        <w:t>and</w:t>
      </w:r>
      <w:proofErr w:type="spellEnd"/>
      <w:r w:rsidRPr="00091E29">
        <w:t xml:space="preserve"> </w:t>
      </w:r>
      <w:proofErr w:type="spellStart"/>
      <w:r w:rsidRPr="00091E29">
        <w:t>confiscation</w:t>
      </w:r>
      <w:proofErr w:type="spellEnd"/>
      <w:r w:rsidRPr="00091E29">
        <w:t xml:space="preserve"> </w:t>
      </w:r>
      <w:proofErr w:type="spellStart"/>
      <w:r w:rsidRPr="00091E29">
        <w:t>Orders</w:t>
      </w:r>
      <w:proofErr w:type="spellEnd"/>
      <w:r w:rsidRPr="00091E29">
        <w:t>”</w:t>
      </w:r>
      <w:r w:rsidR="00033B1F">
        <w:t>;</w:t>
      </w:r>
      <w:r w:rsidR="0093688C">
        <w:t xml:space="preserve"> </w:t>
      </w:r>
    </w:p>
    <w:p w14:paraId="4C25885B" w14:textId="2A1499DE" w:rsidR="00F36BD4" w:rsidRDefault="00F36BD4" w:rsidP="00E329FC">
      <w:pPr>
        <w:pStyle w:val="ListParagraph"/>
        <w:numPr>
          <w:ilvl w:val="0"/>
          <w:numId w:val="29"/>
        </w:numPr>
        <w:spacing w:after="0" w:line="240" w:lineRule="auto"/>
        <w:jc w:val="both"/>
      </w:pPr>
      <w:r w:rsidRPr="00091E29">
        <w:t>“</w:t>
      </w:r>
      <w:proofErr w:type="spellStart"/>
      <w:r w:rsidRPr="00091E29">
        <w:t>Report</w:t>
      </w:r>
      <w:proofErr w:type="spellEnd"/>
      <w:r w:rsidRPr="00091E29">
        <w:t xml:space="preserve"> </w:t>
      </w:r>
      <w:proofErr w:type="spellStart"/>
      <w:r w:rsidRPr="00091E29">
        <w:t>on</w:t>
      </w:r>
      <w:proofErr w:type="spellEnd"/>
      <w:r w:rsidRPr="00091E29">
        <w:t xml:space="preserve"> </w:t>
      </w:r>
      <w:proofErr w:type="spellStart"/>
      <w:r w:rsidRPr="00091E29">
        <w:t>Eurojust</w:t>
      </w:r>
      <w:proofErr w:type="spellEnd"/>
      <w:r w:rsidRPr="00091E29">
        <w:t xml:space="preserve"> </w:t>
      </w:r>
      <w:proofErr w:type="spellStart"/>
      <w:r w:rsidRPr="00091E29">
        <w:t>casework</w:t>
      </w:r>
      <w:proofErr w:type="spellEnd"/>
      <w:r w:rsidRPr="00091E29">
        <w:t xml:space="preserve"> </w:t>
      </w:r>
      <w:proofErr w:type="spellStart"/>
      <w:r w:rsidRPr="00091E29">
        <w:t>in</w:t>
      </w:r>
      <w:proofErr w:type="spellEnd"/>
      <w:r w:rsidRPr="00091E29">
        <w:t xml:space="preserve"> </w:t>
      </w:r>
      <w:proofErr w:type="spellStart"/>
      <w:r w:rsidRPr="00091E29">
        <w:t>the</w:t>
      </w:r>
      <w:proofErr w:type="spellEnd"/>
      <w:r w:rsidRPr="00091E29">
        <w:t xml:space="preserve"> </w:t>
      </w:r>
      <w:proofErr w:type="spellStart"/>
      <w:r w:rsidRPr="00091E29">
        <w:t>field</w:t>
      </w:r>
      <w:proofErr w:type="spellEnd"/>
      <w:r w:rsidRPr="00091E29">
        <w:t xml:space="preserve"> </w:t>
      </w:r>
      <w:proofErr w:type="spellStart"/>
      <w:r w:rsidRPr="00091E29">
        <w:t>of</w:t>
      </w:r>
      <w:proofErr w:type="spellEnd"/>
      <w:r w:rsidRPr="00091E29">
        <w:t xml:space="preserve"> </w:t>
      </w:r>
      <w:proofErr w:type="spellStart"/>
      <w:r w:rsidRPr="00091E29">
        <w:t>the</w:t>
      </w:r>
      <w:proofErr w:type="spellEnd"/>
      <w:r w:rsidRPr="00091E29">
        <w:t xml:space="preserve"> </w:t>
      </w:r>
      <w:proofErr w:type="spellStart"/>
      <w:r w:rsidRPr="00091E29">
        <w:t>European</w:t>
      </w:r>
      <w:proofErr w:type="spellEnd"/>
      <w:r w:rsidRPr="00091E29">
        <w:t xml:space="preserve"> </w:t>
      </w:r>
      <w:proofErr w:type="spellStart"/>
      <w:r w:rsidRPr="00091E29">
        <w:t>Investigation</w:t>
      </w:r>
      <w:proofErr w:type="spellEnd"/>
      <w:r w:rsidRPr="00091E29">
        <w:t xml:space="preserve"> </w:t>
      </w:r>
      <w:proofErr w:type="spellStart"/>
      <w:r w:rsidRPr="00091E29">
        <w:t>Order</w:t>
      </w:r>
      <w:proofErr w:type="spellEnd"/>
      <w:r w:rsidRPr="00091E29">
        <w:t>”</w:t>
      </w:r>
      <w:r w:rsidR="00033B1F">
        <w:t>;</w:t>
      </w:r>
      <w:r w:rsidR="0093688C">
        <w:t xml:space="preserve"> </w:t>
      </w:r>
    </w:p>
    <w:p w14:paraId="56ECEEDD" w14:textId="20BBEDDF" w:rsidR="00F36BD4" w:rsidRDefault="00F36BD4" w:rsidP="00E329FC">
      <w:pPr>
        <w:pStyle w:val="ListParagraph"/>
        <w:numPr>
          <w:ilvl w:val="0"/>
          <w:numId w:val="29"/>
        </w:numPr>
        <w:spacing w:after="0" w:line="240" w:lineRule="auto"/>
        <w:jc w:val="both"/>
      </w:pPr>
      <w:r w:rsidRPr="00091E29">
        <w:t>“</w:t>
      </w:r>
      <w:proofErr w:type="spellStart"/>
      <w:r w:rsidRPr="00091E29">
        <w:t>Joint</w:t>
      </w:r>
      <w:proofErr w:type="spellEnd"/>
      <w:r w:rsidRPr="00091E29">
        <w:t xml:space="preserve"> </w:t>
      </w:r>
      <w:proofErr w:type="spellStart"/>
      <w:r w:rsidRPr="00091E29">
        <w:t>report</w:t>
      </w:r>
      <w:proofErr w:type="spellEnd"/>
      <w:r w:rsidRPr="00091E29">
        <w:t xml:space="preserve"> </w:t>
      </w:r>
      <w:proofErr w:type="spellStart"/>
      <w:r w:rsidRPr="00091E29">
        <w:t>of</w:t>
      </w:r>
      <w:proofErr w:type="spellEnd"/>
      <w:r w:rsidRPr="00091E29">
        <w:t xml:space="preserve"> </w:t>
      </w:r>
      <w:proofErr w:type="spellStart"/>
      <w:r w:rsidRPr="00091E29">
        <w:t>Eurojust</w:t>
      </w:r>
      <w:proofErr w:type="spellEnd"/>
      <w:r w:rsidRPr="00091E29">
        <w:t xml:space="preserve"> </w:t>
      </w:r>
      <w:proofErr w:type="spellStart"/>
      <w:r w:rsidRPr="00091E29">
        <w:t>and</w:t>
      </w:r>
      <w:proofErr w:type="spellEnd"/>
      <w:r w:rsidRPr="00091E29">
        <w:t xml:space="preserve"> </w:t>
      </w:r>
      <w:proofErr w:type="spellStart"/>
      <w:r w:rsidRPr="00091E29">
        <w:t>the</w:t>
      </w:r>
      <w:proofErr w:type="spellEnd"/>
      <w:r w:rsidRPr="00091E29">
        <w:t xml:space="preserve"> </w:t>
      </w:r>
      <w:proofErr w:type="spellStart"/>
      <w:r w:rsidRPr="00091E29">
        <w:t>European</w:t>
      </w:r>
      <w:proofErr w:type="spellEnd"/>
      <w:r w:rsidRPr="00091E29">
        <w:t xml:space="preserve"> </w:t>
      </w:r>
      <w:proofErr w:type="spellStart"/>
      <w:r w:rsidRPr="00091E29">
        <w:t>Judicial</w:t>
      </w:r>
      <w:proofErr w:type="spellEnd"/>
      <w:r w:rsidRPr="00091E29">
        <w:t xml:space="preserve"> </w:t>
      </w:r>
      <w:proofErr w:type="spellStart"/>
      <w:r w:rsidRPr="00091E29">
        <w:t>Network</w:t>
      </w:r>
      <w:proofErr w:type="spellEnd"/>
      <w:r w:rsidRPr="00091E29">
        <w:t xml:space="preserve"> </w:t>
      </w:r>
      <w:proofErr w:type="spellStart"/>
      <w:r w:rsidRPr="00091E29">
        <w:t>on</w:t>
      </w:r>
      <w:proofErr w:type="spellEnd"/>
      <w:r w:rsidRPr="00091E29">
        <w:t xml:space="preserve"> </w:t>
      </w:r>
      <w:proofErr w:type="spellStart"/>
      <w:r w:rsidRPr="00091E29">
        <w:t>the</w:t>
      </w:r>
      <w:proofErr w:type="spellEnd"/>
      <w:r w:rsidRPr="00091E29">
        <w:t xml:space="preserve"> </w:t>
      </w:r>
      <w:proofErr w:type="spellStart"/>
      <w:r w:rsidRPr="00091E29">
        <w:t>extradition</w:t>
      </w:r>
      <w:proofErr w:type="spellEnd"/>
      <w:r w:rsidRPr="00091E29">
        <w:t xml:space="preserve"> </w:t>
      </w:r>
      <w:proofErr w:type="spellStart"/>
      <w:r w:rsidRPr="00091E29">
        <w:t>of</w:t>
      </w:r>
      <w:proofErr w:type="spellEnd"/>
      <w:r w:rsidRPr="00091E29">
        <w:t xml:space="preserve"> EU </w:t>
      </w:r>
      <w:proofErr w:type="spellStart"/>
      <w:r w:rsidRPr="00091E29">
        <w:t>citizens</w:t>
      </w:r>
      <w:proofErr w:type="spellEnd"/>
      <w:r w:rsidRPr="00091E29">
        <w:t xml:space="preserve"> to </w:t>
      </w:r>
      <w:proofErr w:type="spellStart"/>
      <w:r w:rsidRPr="00091E29">
        <w:t>third</w:t>
      </w:r>
      <w:proofErr w:type="spellEnd"/>
      <w:r w:rsidRPr="00091E29">
        <w:t xml:space="preserve"> </w:t>
      </w:r>
      <w:proofErr w:type="spellStart"/>
      <w:r w:rsidRPr="00091E29">
        <w:t>countries</w:t>
      </w:r>
      <w:proofErr w:type="spellEnd"/>
      <w:r w:rsidRPr="00091E29">
        <w:t>”</w:t>
      </w:r>
      <w:r w:rsidR="00033B1F">
        <w:t>;</w:t>
      </w:r>
      <w:r w:rsidR="0093688C">
        <w:t xml:space="preserve"> </w:t>
      </w:r>
    </w:p>
    <w:p w14:paraId="5A946C06" w14:textId="06FA1729" w:rsidR="00F36BD4" w:rsidRDefault="00F36BD4" w:rsidP="00E329FC">
      <w:pPr>
        <w:pStyle w:val="ListParagraph"/>
        <w:numPr>
          <w:ilvl w:val="0"/>
          <w:numId w:val="29"/>
        </w:numPr>
        <w:spacing w:after="0" w:line="240" w:lineRule="auto"/>
        <w:jc w:val="both"/>
      </w:pPr>
      <w:r w:rsidRPr="00091E29">
        <w:t>“</w:t>
      </w:r>
      <w:proofErr w:type="spellStart"/>
      <w:r w:rsidRPr="00091E29">
        <w:t>Case</w:t>
      </w:r>
      <w:proofErr w:type="spellEnd"/>
      <w:r w:rsidRPr="00091E29">
        <w:t xml:space="preserve"> </w:t>
      </w:r>
      <w:proofErr w:type="spellStart"/>
      <w:r w:rsidRPr="00091E29">
        <w:t>law</w:t>
      </w:r>
      <w:proofErr w:type="spellEnd"/>
      <w:r w:rsidRPr="00091E29">
        <w:t xml:space="preserve"> </w:t>
      </w:r>
      <w:proofErr w:type="spellStart"/>
      <w:r w:rsidRPr="00091E29">
        <w:t>by</w:t>
      </w:r>
      <w:proofErr w:type="spellEnd"/>
      <w:r w:rsidRPr="00091E29">
        <w:t xml:space="preserve"> </w:t>
      </w:r>
      <w:proofErr w:type="spellStart"/>
      <w:r w:rsidRPr="00091E29">
        <w:t>the</w:t>
      </w:r>
      <w:proofErr w:type="spellEnd"/>
      <w:r w:rsidRPr="00091E29">
        <w:t xml:space="preserve"> </w:t>
      </w:r>
      <w:proofErr w:type="spellStart"/>
      <w:r w:rsidRPr="00091E29">
        <w:t>Court</w:t>
      </w:r>
      <w:proofErr w:type="spellEnd"/>
      <w:r w:rsidRPr="00091E29">
        <w:t xml:space="preserve"> </w:t>
      </w:r>
      <w:proofErr w:type="spellStart"/>
      <w:r w:rsidRPr="00091E29">
        <w:t>of</w:t>
      </w:r>
      <w:proofErr w:type="spellEnd"/>
      <w:r w:rsidRPr="00091E29">
        <w:t xml:space="preserve"> </w:t>
      </w:r>
      <w:proofErr w:type="spellStart"/>
      <w:r w:rsidRPr="00091E29">
        <w:t>Justice</w:t>
      </w:r>
      <w:proofErr w:type="spellEnd"/>
      <w:r w:rsidRPr="00091E29">
        <w:t xml:space="preserve"> </w:t>
      </w:r>
      <w:proofErr w:type="spellStart"/>
      <w:r w:rsidRPr="00091E29">
        <w:t>of</w:t>
      </w:r>
      <w:proofErr w:type="spellEnd"/>
      <w:r w:rsidRPr="00091E29">
        <w:t xml:space="preserve"> </w:t>
      </w:r>
      <w:proofErr w:type="spellStart"/>
      <w:r w:rsidRPr="00091E29">
        <w:t>the</w:t>
      </w:r>
      <w:proofErr w:type="spellEnd"/>
      <w:r w:rsidRPr="00091E29">
        <w:t xml:space="preserve"> </w:t>
      </w:r>
      <w:proofErr w:type="spellStart"/>
      <w:r w:rsidRPr="00091E29">
        <w:t>European</w:t>
      </w:r>
      <w:proofErr w:type="spellEnd"/>
      <w:r w:rsidRPr="00091E29">
        <w:t xml:space="preserve"> </w:t>
      </w:r>
      <w:proofErr w:type="spellStart"/>
      <w:r w:rsidRPr="00091E29">
        <w:t>Union</w:t>
      </w:r>
      <w:proofErr w:type="spellEnd"/>
      <w:r w:rsidRPr="00091E29">
        <w:t xml:space="preserve"> </w:t>
      </w:r>
      <w:proofErr w:type="spellStart"/>
      <w:r w:rsidRPr="00091E29">
        <w:t>on</w:t>
      </w:r>
      <w:proofErr w:type="spellEnd"/>
      <w:r w:rsidRPr="00091E29">
        <w:t xml:space="preserve"> </w:t>
      </w:r>
      <w:proofErr w:type="spellStart"/>
      <w:r w:rsidRPr="00091E29">
        <w:t>the</w:t>
      </w:r>
      <w:proofErr w:type="spellEnd"/>
      <w:r w:rsidRPr="00091E29">
        <w:t xml:space="preserve"> </w:t>
      </w:r>
      <w:proofErr w:type="spellStart"/>
      <w:r w:rsidRPr="00091E29">
        <w:t>European</w:t>
      </w:r>
      <w:proofErr w:type="spellEnd"/>
      <w:r w:rsidRPr="00091E29">
        <w:t xml:space="preserve"> </w:t>
      </w:r>
      <w:proofErr w:type="spellStart"/>
      <w:r w:rsidRPr="00091E29">
        <w:t>Arrest</w:t>
      </w:r>
      <w:proofErr w:type="spellEnd"/>
      <w:r w:rsidRPr="00091E29">
        <w:t xml:space="preserve"> </w:t>
      </w:r>
      <w:proofErr w:type="spellStart"/>
      <w:r w:rsidRPr="00091E29">
        <w:t>Warrant</w:t>
      </w:r>
      <w:proofErr w:type="spellEnd"/>
      <w:r w:rsidRPr="00091E29">
        <w:t>”</w:t>
      </w:r>
      <w:r w:rsidR="00033B1F">
        <w:t>;</w:t>
      </w:r>
      <w:r w:rsidRPr="00091E29">
        <w:t xml:space="preserve"> </w:t>
      </w:r>
    </w:p>
    <w:p w14:paraId="0B0116EC" w14:textId="33BDC6AD" w:rsidR="00F36BD4" w:rsidRDefault="00F36BD4" w:rsidP="00E329FC">
      <w:pPr>
        <w:pStyle w:val="ListParagraph"/>
        <w:numPr>
          <w:ilvl w:val="0"/>
          <w:numId w:val="29"/>
        </w:numPr>
        <w:spacing w:after="0" w:line="240" w:lineRule="auto"/>
        <w:jc w:val="both"/>
      </w:pPr>
      <w:r w:rsidRPr="00091E29">
        <w:t>“</w:t>
      </w:r>
      <w:proofErr w:type="spellStart"/>
      <w:r w:rsidRPr="00091E29">
        <w:t>Case</w:t>
      </w:r>
      <w:proofErr w:type="spellEnd"/>
      <w:r w:rsidRPr="00091E29">
        <w:t xml:space="preserve"> </w:t>
      </w:r>
      <w:proofErr w:type="spellStart"/>
      <w:r w:rsidRPr="00091E29">
        <w:t>law</w:t>
      </w:r>
      <w:proofErr w:type="spellEnd"/>
      <w:r w:rsidRPr="00091E29">
        <w:t xml:space="preserve"> </w:t>
      </w:r>
      <w:proofErr w:type="spellStart"/>
      <w:r w:rsidRPr="00091E29">
        <w:t>by</w:t>
      </w:r>
      <w:proofErr w:type="spellEnd"/>
      <w:r w:rsidRPr="00091E29">
        <w:t xml:space="preserve"> </w:t>
      </w:r>
      <w:proofErr w:type="spellStart"/>
      <w:r w:rsidRPr="00091E29">
        <w:t>the</w:t>
      </w:r>
      <w:proofErr w:type="spellEnd"/>
      <w:r w:rsidRPr="00091E29">
        <w:t xml:space="preserve"> </w:t>
      </w:r>
      <w:proofErr w:type="spellStart"/>
      <w:r w:rsidRPr="00091E29">
        <w:t>Court</w:t>
      </w:r>
      <w:proofErr w:type="spellEnd"/>
      <w:r w:rsidRPr="00091E29">
        <w:t xml:space="preserve"> </w:t>
      </w:r>
      <w:proofErr w:type="spellStart"/>
      <w:r w:rsidRPr="00091E29">
        <w:t>of</w:t>
      </w:r>
      <w:proofErr w:type="spellEnd"/>
      <w:r w:rsidRPr="00091E29">
        <w:t xml:space="preserve"> </w:t>
      </w:r>
      <w:proofErr w:type="spellStart"/>
      <w:r w:rsidRPr="00091E29">
        <w:t>Justice</w:t>
      </w:r>
      <w:proofErr w:type="spellEnd"/>
      <w:r w:rsidRPr="00091E29">
        <w:t xml:space="preserve"> </w:t>
      </w:r>
      <w:proofErr w:type="spellStart"/>
      <w:r w:rsidRPr="00091E29">
        <w:t>of</w:t>
      </w:r>
      <w:proofErr w:type="spellEnd"/>
      <w:r w:rsidRPr="00091E29">
        <w:t xml:space="preserve"> </w:t>
      </w:r>
      <w:proofErr w:type="spellStart"/>
      <w:r w:rsidRPr="00091E29">
        <w:t>the</w:t>
      </w:r>
      <w:proofErr w:type="spellEnd"/>
      <w:r w:rsidRPr="00091E29">
        <w:t xml:space="preserve"> </w:t>
      </w:r>
      <w:proofErr w:type="spellStart"/>
      <w:r w:rsidRPr="00091E29">
        <w:t>European</w:t>
      </w:r>
      <w:proofErr w:type="spellEnd"/>
      <w:r w:rsidRPr="00091E29">
        <w:t xml:space="preserve"> </w:t>
      </w:r>
      <w:proofErr w:type="spellStart"/>
      <w:r w:rsidRPr="00091E29">
        <w:t>Union</w:t>
      </w:r>
      <w:proofErr w:type="spellEnd"/>
      <w:r w:rsidRPr="00091E29">
        <w:t xml:space="preserve"> </w:t>
      </w:r>
      <w:proofErr w:type="spellStart"/>
      <w:r w:rsidRPr="00091E29">
        <w:t>on</w:t>
      </w:r>
      <w:proofErr w:type="spellEnd"/>
      <w:r w:rsidRPr="00091E29">
        <w:t xml:space="preserve"> </w:t>
      </w:r>
      <w:proofErr w:type="spellStart"/>
      <w:r w:rsidRPr="00091E29">
        <w:t>the</w:t>
      </w:r>
      <w:proofErr w:type="spellEnd"/>
      <w:r w:rsidRPr="00091E29">
        <w:t xml:space="preserve"> </w:t>
      </w:r>
      <w:proofErr w:type="spellStart"/>
      <w:r w:rsidRPr="00091E29">
        <w:t>principle</w:t>
      </w:r>
      <w:proofErr w:type="spellEnd"/>
      <w:r w:rsidRPr="00091E29">
        <w:t xml:space="preserve"> </w:t>
      </w:r>
      <w:proofErr w:type="spellStart"/>
      <w:r w:rsidRPr="00091E29">
        <w:t>of</w:t>
      </w:r>
      <w:proofErr w:type="spellEnd"/>
      <w:r w:rsidRPr="00091E29">
        <w:t xml:space="preserve"> ne </w:t>
      </w:r>
      <w:proofErr w:type="spellStart"/>
      <w:r w:rsidRPr="00091E29">
        <w:t>bis</w:t>
      </w:r>
      <w:proofErr w:type="spellEnd"/>
      <w:r w:rsidRPr="00091E29">
        <w:t xml:space="preserve"> </w:t>
      </w:r>
      <w:proofErr w:type="spellStart"/>
      <w:r w:rsidRPr="00091E29">
        <w:t>in</w:t>
      </w:r>
      <w:proofErr w:type="spellEnd"/>
      <w:r w:rsidRPr="00091E29">
        <w:t xml:space="preserve"> </w:t>
      </w:r>
      <w:proofErr w:type="spellStart"/>
      <w:r w:rsidRPr="00091E29">
        <w:t>idem</w:t>
      </w:r>
      <w:proofErr w:type="spellEnd"/>
      <w:r w:rsidRPr="00091E29">
        <w:t xml:space="preserve"> </w:t>
      </w:r>
      <w:proofErr w:type="spellStart"/>
      <w:r w:rsidRPr="00091E29">
        <w:t>in</w:t>
      </w:r>
      <w:proofErr w:type="spellEnd"/>
      <w:r w:rsidRPr="00091E29">
        <w:t xml:space="preserve"> </w:t>
      </w:r>
      <w:proofErr w:type="spellStart"/>
      <w:r w:rsidRPr="00091E29">
        <w:t>criminal</w:t>
      </w:r>
      <w:proofErr w:type="spellEnd"/>
      <w:r w:rsidRPr="00091E29">
        <w:t xml:space="preserve"> </w:t>
      </w:r>
      <w:proofErr w:type="spellStart"/>
      <w:r w:rsidRPr="00091E29">
        <w:t>matters</w:t>
      </w:r>
      <w:proofErr w:type="spellEnd"/>
      <w:r w:rsidRPr="00091E29">
        <w:t>” u.</w:t>
      </w:r>
      <w:r w:rsidR="00033B1F">
        <w:t> </w:t>
      </w:r>
      <w:r w:rsidRPr="00091E29">
        <w:t>c.</w:t>
      </w:r>
    </w:p>
    <w:p w14:paraId="79239C8B" w14:textId="77777777" w:rsidR="00F36BD4" w:rsidRPr="00C90FE2" w:rsidRDefault="00F36BD4" w:rsidP="00F36BD4">
      <w:pPr>
        <w:spacing w:after="0" w:line="240" w:lineRule="auto"/>
        <w:jc w:val="both"/>
      </w:pPr>
    </w:p>
    <w:p w14:paraId="48361753" w14:textId="68835A4F" w:rsidR="00F36BD4" w:rsidRDefault="00F36BD4" w:rsidP="00033B1F">
      <w:pPr>
        <w:spacing w:after="0" w:line="240" w:lineRule="auto"/>
        <w:ind w:firstLine="720"/>
        <w:jc w:val="both"/>
        <w:rPr>
          <w:b/>
        </w:rPr>
      </w:pPr>
      <w:r w:rsidRPr="00C90FE2">
        <w:t>Sākoties C</w:t>
      </w:r>
      <w:r w:rsidR="00033B1F">
        <w:t>ovid</w:t>
      </w:r>
      <w:r w:rsidRPr="00C90FE2">
        <w:t xml:space="preserve">-19 globālajai krīzei, </w:t>
      </w:r>
      <w:proofErr w:type="spellStart"/>
      <w:r w:rsidRPr="00C90FE2">
        <w:t>Eirojusts</w:t>
      </w:r>
      <w:proofErr w:type="spellEnd"/>
      <w:r w:rsidRPr="00C90FE2">
        <w:t xml:space="preserve"> ir aktīvi iesaistījies starptautiskās krimināltiesiskās</w:t>
      </w:r>
      <w:r w:rsidR="00F31F60">
        <w:t xml:space="preserve"> </w:t>
      </w:r>
      <w:r w:rsidRPr="00C90FE2">
        <w:t>sadarbības</w:t>
      </w:r>
      <w:r w:rsidR="00F31F60">
        <w:t xml:space="preserve"> </w:t>
      </w:r>
      <w:r w:rsidRPr="00C90FE2">
        <w:t>situācijas analīzē un regulāri izsūtījis dalībvalstīm aktuālo i</w:t>
      </w:r>
      <w:r>
        <w:t>nformācijas apkopojumu par C</w:t>
      </w:r>
      <w:r w:rsidR="00033B1F">
        <w:t>ovid</w:t>
      </w:r>
      <w:r>
        <w:t>-</w:t>
      </w:r>
      <w:r w:rsidRPr="00C90FE2">
        <w:t xml:space="preserve">19 ietekmi uz krimināltiesisko sadarbību, t.sk. par dalībvalstu ieviestajiem drošības un citiem pasākumiem, lai, pielāgojoties jaunajiem apstākļiem, tomēr varētu </w:t>
      </w:r>
      <w:r w:rsidRPr="00C90FE2">
        <w:lastRenderedPageBreak/>
        <w:t xml:space="preserve">nodrošināt nepieciešamo krimināltiesisko sadarbību. Latvijas pārstāvniecība </w:t>
      </w:r>
      <w:proofErr w:type="spellStart"/>
      <w:r w:rsidRPr="00C90FE2">
        <w:t>Eirojustā</w:t>
      </w:r>
      <w:proofErr w:type="spellEnd"/>
      <w:r w:rsidRPr="00C90FE2">
        <w:t xml:space="preserve"> ir veikusi koordinējošo lomu attiecīgās informācijas iegūšanā un apkopošanā par situāciju Latvijā, pēc kā šī informācija ir tikusi iekļauta minētajā valstu apkopojumā.  </w:t>
      </w:r>
    </w:p>
    <w:p w14:paraId="7CC70EC0" w14:textId="77777777" w:rsidR="00033B1F" w:rsidRDefault="00033B1F" w:rsidP="00033B1F">
      <w:pPr>
        <w:spacing w:after="0" w:line="240" w:lineRule="auto"/>
        <w:ind w:firstLine="720"/>
        <w:jc w:val="both"/>
        <w:rPr>
          <w:b/>
        </w:rPr>
      </w:pPr>
    </w:p>
    <w:p w14:paraId="5E29A4EA" w14:textId="170C0E72" w:rsidR="00F36BD4" w:rsidRDefault="00033B1F" w:rsidP="00F36BD4">
      <w:pPr>
        <w:spacing w:after="0" w:line="360" w:lineRule="auto"/>
        <w:jc w:val="both"/>
        <w:rPr>
          <w:b/>
        </w:rPr>
      </w:pPr>
      <w:r>
        <w:rPr>
          <w:b/>
        </w:rPr>
        <w:t xml:space="preserve">[2] </w:t>
      </w:r>
      <w:r w:rsidR="00F36BD4" w:rsidRPr="00080D71">
        <w:rPr>
          <w:b/>
        </w:rPr>
        <w:t>Krimināltiesiskās sadarbības koordinēšana</w:t>
      </w:r>
      <w:r w:rsidR="00F36BD4">
        <w:rPr>
          <w:b/>
        </w:rPr>
        <w:t xml:space="preserve"> – operatīvo un citu funkciju izpilde</w:t>
      </w:r>
    </w:p>
    <w:p w14:paraId="180D3C13" w14:textId="4EC65C20" w:rsidR="00630244" w:rsidRPr="00630244" w:rsidRDefault="005E272A" w:rsidP="00630244">
      <w:pPr>
        <w:spacing w:after="120" w:line="240" w:lineRule="auto"/>
        <w:ind w:firstLine="720"/>
        <w:jc w:val="both"/>
      </w:pPr>
      <w:proofErr w:type="spellStart"/>
      <w:r w:rsidRPr="00F81D76">
        <w:t>Eirojusta</w:t>
      </w:r>
      <w:proofErr w:type="spellEnd"/>
      <w:r w:rsidRPr="00F81D76">
        <w:t xml:space="preserve"> darb</w:t>
      </w:r>
      <w:r>
        <w:t>ību</w:t>
      </w:r>
      <w:r w:rsidRPr="00F81D76">
        <w:t xml:space="preserve"> krimināltiesiskās sadarbības</w:t>
      </w:r>
      <w:r>
        <w:t xml:space="preserve"> veicināšanā un</w:t>
      </w:r>
      <w:r w:rsidRPr="00F81D76">
        <w:t xml:space="preserve"> koordinēšan</w:t>
      </w:r>
      <w:r>
        <w:t>ā galvenokārt raksturo darbs ar lietām.</w:t>
      </w:r>
    </w:p>
    <w:p w14:paraId="0C125E39" w14:textId="1296D294" w:rsidR="007B6731" w:rsidRDefault="005E272A" w:rsidP="00B76E23">
      <w:pPr>
        <w:spacing w:after="0" w:line="240" w:lineRule="auto"/>
        <w:jc w:val="center"/>
      </w:pPr>
      <w:r w:rsidRPr="00F81D76">
        <w:rPr>
          <w:noProof/>
          <w:lang w:eastAsia="en-GB"/>
        </w:rPr>
        <w:drawing>
          <wp:inline distT="0" distB="0" distL="0" distR="0" wp14:anchorId="4BE85722" wp14:editId="44F8AF71">
            <wp:extent cx="5715000" cy="2895600"/>
            <wp:effectExtent l="0" t="0" r="0" b="0"/>
            <wp:docPr id="194" name="Picture 194" descr="C:\Users\dskudra\Work folders\Desktop\New folder\Eurojust Statistics 2020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skudra\Work folders\Desktop\New folder\Eurojust Statistics 2020_Page_2.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63716" cy="2920283"/>
                    </a:xfrm>
                    <a:prstGeom prst="rect">
                      <a:avLst/>
                    </a:prstGeom>
                    <a:noFill/>
                    <a:ln>
                      <a:noFill/>
                    </a:ln>
                  </pic:spPr>
                </pic:pic>
              </a:graphicData>
            </a:graphic>
          </wp:inline>
        </w:drawing>
      </w:r>
    </w:p>
    <w:p w14:paraId="3F192E50" w14:textId="77777777" w:rsidR="00630244" w:rsidRDefault="00630244" w:rsidP="00B76E23">
      <w:pPr>
        <w:spacing w:after="0" w:line="240" w:lineRule="auto"/>
        <w:jc w:val="center"/>
      </w:pPr>
    </w:p>
    <w:p w14:paraId="02A6F3FF" w14:textId="0121E31C" w:rsidR="005E272A" w:rsidRPr="00ED4340" w:rsidRDefault="005E272A" w:rsidP="00B76E23">
      <w:pPr>
        <w:spacing w:after="0" w:line="240" w:lineRule="auto"/>
        <w:jc w:val="center"/>
      </w:pPr>
      <w:r>
        <w:rPr>
          <w:rFonts w:cs="Times New Roman"/>
          <w:noProof/>
          <w:lang w:eastAsia="en-GB"/>
        </w:rPr>
        <w:drawing>
          <wp:inline distT="0" distB="0" distL="0" distR="0" wp14:anchorId="281D8097" wp14:editId="4E5B441B">
            <wp:extent cx="5768340" cy="3115310"/>
            <wp:effectExtent l="0" t="0" r="3810" b="889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57394" cy="3163405"/>
                    </a:xfrm>
                    <a:prstGeom prst="rect">
                      <a:avLst/>
                    </a:prstGeom>
                    <a:noFill/>
                  </pic:spPr>
                </pic:pic>
              </a:graphicData>
            </a:graphic>
          </wp:inline>
        </w:drawing>
      </w:r>
    </w:p>
    <w:p w14:paraId="59EB2559" w14:textId="77777777" w:rsidR="005E272A" w:rsidRDefault="005E272A" w:rsidP="005E272A">
      <w:pPr>
        <w:spacing w:after="0" w:line="240" w:lineRule="auto"/>
        <w:ind w:firstLine="720"/>
        <w:jc w:val="both"/>
        <w:rPr>
          <w:rFonts w:cs="Times New Roman"/>
        </w:rPr>
      </w:pPr>
    </w:p>
    <w:p w14:paraId="1B3C9F45" w14:textId="77777777" w:rsidR="003E465E" w:rsidRPr="0030364F" w:rsidRDefault="003E465E" w:rsidP="007B6731">
      <w:pPr>
        <w:spacing w:after="120" w:line="240" w:lineRule="auto"/>
        <w:ind w:firstLine="720"/>
        <w:jc w:val="both"/>
        <w:rPr>
          <w:rFonts w:cs="Times New Roman"/>
        </w:rPr>
      </w:pPr>
      <w:r>
        <w:rPr>
          <w:rFonts w:cs="Times New Roman"/>
        </w:rPr>
        <w:t xml:space="preserve">Izpildot uzdevumu, kas noteikts </w:t>
      </w:r>
      <w:proofErr w:type="spellStart"/>
      <w:r>
        <w:rPr>
          <w:rFonts w:cs="Times New Roman"/>
        </w:rPr>
        <w:t>Eurojust</w:t>
      </w:r>
      <w:proofErr w:type="spellEnd"/>
      <w:r>
        <w:rPr>
          <w:rFonts w:cs="Times New Roman"/>
        </w:rPr>
        <w:t xml:space="preserve"> Regulas 2. pantā, </w:t>
      </w:r>
      <w:r w:rsidRPr="00080D71">
        <w:rPr>
          <w:rFonts w:cs="Times New Roman"/>
        </w:rPr>
        <w:t>Latvijas pārs</w:t>
      </w:r>
      <w:r>
        <w:rPr>
          <w:rFonts w:cs="Times New Roman"/>
        </w:rPr>
        <w:t xml:space="preserve">tāvniecība </w:t>
      </w:r>
      <w:proofErr w:type="spellStart"/>
      <w:r>
        <w:rPr>
          <w:rFonts w:cs="Times New Roman"/>
        </w:rPr>
        <w:t>Eirojustā</w:t>
      </w:r>
      <w:proofErr w:type="spellEnd"/>
      <w:r>
        <w:rPr>
          <w:rFonts w:cs="Times New Roman"/>
        </w:rPr>
        <w:t xml:space="preserve"> 2020. gadā ir atvērusi </w:t>
      </w:r>
      <w:r w:rsidRPr="0030364F">
        <w:rPr>
          <w:rFonts w:cs="Times New Roman"/>
          <w:u w:val="single"/>
        </w:rPr>
        <w:t>68 jaunas lietas, balstoties uz lūgumu pēc palīdzības no kompetentām Latvijas iestādēm</w:t>
      </w:r>
      <w:r w:rsidRPr="0030364F">
        <w:rPr>
          <w:rFonts w:cs="Times New Roman"/>
        </w:rPr>
        <w:t xml:space="preserve"> (pieaugums par 33 % jeb par 17 lietām vairāk nekā 2019. gadā). </w:t>
      </w:r>
    </w:p>
    <w:p w14:paraId="2734ABD0" w14:textId="07B8E8B6" w:rsidR="005E272A" w:rsidRDefault="005E272A" w:rsidP="007B6731">
      <w:pPr>
        <w:spacing w:after="0" w:line="240" w:lineRule="auto"/>
        <w:jc w:val="center"/>
        <w:rPr>
          <w:rFonts w:cs="Times New Roman"/>
        </w:rPr>
      </w:pPr>
      <w:r w:rsidRPr="00660BD1">
        <w:rPr>
          <w:rFonts w:cs="Times New Roman"/>
          <w:noProof/>
          <w:lang w:eastAsia="en-GB"/>
        </w:rPr>
        <w:lastRenderedPageBreak/>
        <w:drawing>
          <wp:inline distT="0" distB="0" distL="0" distR="0" wp14:anchorId="00EA5AB0" wp14:editId="39A5B561">
            <wp:extent cx="4638675" cy="2609254"/>
            <wp:effectExtent l="0" t="0" r="0" b="635"/>
            <wp:docPr id="196" name="Picture 196" descr="C:\Users\dskudra\Work folders\Desktop\Statistics_2020_Latvia_jpg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skudra\Work folders\Desktop\Statistics_2020_Latvia_jpg_Page_10.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664967" cy="2624043"/>
                    </a:xfrm>
                    <a:prstGeom prst="rect">
                      <a:avLst/>
                    </a:prstGeom>
                    <a:noFill/>
                    <a:ln>
                      <a:noFill/>
                    </a:ln>
                  </pic:spPr>
                </pic:pic>
              </a:graphicData>
            </a:graphic>
          </wp:inline>
        </w:drawing>
      </w:r>
    </w:p>
    <w:p w14:paraId="5BC43E4C" w14:textId="77777777" w:rsidR="00630244" w:rsidRDefault="00630244" w:rsidP="007B6731">
      <w:pPr>
        <w:spacing w:after="0" w:line="240" w:lineRule="auto"/>
        <w:jc w:val="center"/>
        <w:rPr>
          <w:rFonts w:cs="Times New Roman"/>
        </w:rPr>
      </w:pPr>
    </w:p>
    <w:p w14:paraId="2AB021A1" w14:textId="77777777" w:rsidR="005E272A" w:rsidRDefault="005E272A" w:rsidP="00630244">
      <w:pPr>
        <w:spacing w:before="120" w:after="120" w:line="240" w:lineRule="auto"/>
        <w:ind w:firstLine="720"/>
        <w:jc w:val="both"/>
        <w:rPr>
          <w:rFonts w:cs="Times New Roman"/>
        </w:rPr>
      </w:pPr>
      <w:r w:rsidRPr="00080D71">
        <w:rPr>
          <w:rFonts w:cs="Times New Roman"/>
        </w:rPr>
        <w:t xml:space="preserve">Jāņem vērā tas, ka koordinēto </w:t>
      </w:r>
      <w:r>
        <w:rPr>
          <w:rFonts w:cs="Times New Roman"/>
        </w:rPr>
        <w:t>krimināl</w:t>
      </w:r>
      <w:r w:rsidRPr="00080D71">
        <w:rPr>
          <w:rFonts w:cs="Times New Roman"/>
        </w:rPr>
        <w:t xml:space="preserve">tiesiskās </w:t>
      </w:r>
      <w:r>
        <w:rPr>
          <w:rFonts w:cs="Times New Roman"/>
        </w:rPr>
        <w:t>sadarbības</w:t>
      </w:r>
      <w:r w:rsidRPr="00080D71">
        <w:rPr>
          <w:rFonts w:cs="Times New Roman"/>
        </w:rPr>
        <w:t xml:space="preserve"> lūgumu skaits ir bijis </w:t>
      </w:r>
      <w:r>
        <w:rPr>
          <w:rFonts w:cs="Times New Roman"/>
        </w:rPr>
        <w:t xml:space="preserve">vēl </w:t>
      </w:r>
      <w:r w:rsidRPr="00080D71">
        <w:rPr>
          <w:rFonts w:cs="Times New Roman"/>
        </w:rPr>
        <w:t xml:space="preserve">lielāks, jo </w:t>
      </w:r>
      <w:r>
        <w:rPr>
          <w:rFonts w:cs="Times New Roman"/>
        </w:rPr>
        <w:t>17</w:t>
      </w:r>
      <w:r w:rsidRPr="00080D71">
        <w:rPr>
          <w:rFonts w:cs="Times New Roman"/>
        </w:rPr>
        <w:t xml:space="preserve"> lietas tika </w:t>
      </w:r>
      <w:r>
        <w:rPr>
          <w:rFonts w:cs="Times New Roman"/>
        </w:rPr>
        <w:t>reģistrētas</w:t>
      </w:r>
      <w:r w:rsidRPr="00080D71">
        <w:rPr>
          <w:rFonts w:cs="Times New Roman"/>
        </w:rPr>
        <w:t xml:space="preserve"> pret vairāk kā vienu iesaistīto valsti vienlaicīgi. </w:t>
      </w:r>
      <w:r>
        <w:rPr>
          <w:rFonts w:cs="Times New Roman"/>
        </w:rPr>
        <w:t xml:space="preserve">Minētais nozīmē, ka konkrēta kriminālprocesa ietvaros krimināltiesiskās sadarbības lūgumi ir tikuši nosūtīti vairākām valstīm un Latvijas pārstāvniecība </w:t>
      </w:r>
      <w:proofErr w:type="spellStart"/>
      <w:r>
        <w:rPr>
          <w:rFonts w:cs="Times New Roman"/>
        </w:rPr>
        <w:t>Eirojustā</w:t>
      </w:r>
      <w:proofErr w:type="spellEnd"/>
      <w:r>
        <w:rPr>
          <w:rFonts w:cs="Times New Roman"/>
        </w:rPr>
        <w:t xml:space="preserve"> atbalstu ir lūgusi sniegt vairāk kā vienai valstij. Tā n</w:t>
      </w:r>
      <w:r w:rsidRPr="00080D71">
        <w:rPr>
          <w:rFonts w:cs="Times New Roman"/>
        </w:rPr>
        <w:t xml:space="preserve">o </w:t>
      </w:r>
      <w:r>
        <w:rPr>
          <w:rFonts w:cs="Times New Roman"/>
        </w:rPr>
        <w:t>reģistrēt</w:t>
      </w:r>
      <w:r w:rsidRPr="00080D71">
        <w:rPr>
          <w:rFonts w:cs="Times New Roman"/>
        </w:rPr>
        <w:t xml:space="preserve">ajām lietām </w:t>
      </w:r>
      <w:r>
        <w:rPr>
          <w:rFonts w:cs="Times New Roman"/>
        </w:rPr>
        <w:t>51</w:t>
      </w:r>
      <w:r w:rsidRPr="00080D71">
        <w:rPr>
          <w:rFonts w:cs="Times New Roman"/>
        </w:rPr>
        <w:t xml:space="preserve"> ir </w:t>
      </w:r>
      <w:r>
        <w:rPr>
          <w:rFonts w:cs="Times New Roman"/>
        </w:rPr>
        <w:t>divpusēja</w:t>
      </w:r>
      <w:r w:rsidRPr="00080D71">
        <w:rPr>
          <w:rFonts w:cs="Times New Roman"/>
        </w:rPr>
        <w:t xml:space="preserve">, bet </w:t>
      </w:r>
      <w:r>
        <w:rPr>
          <w:rFonts w:cs="Times New Roman"/>
        </w:rPr>
        <w:t>17</w:t>
      </w:r>
      <w:r w:rsidRPr="00080D71">
        <w:rPr>
          <w:rFonts w:cs="Times New Roman"/>
        </w:rPr>
        <w:t xml:space="preserve"> – </w:t>
      </w:r>
      <w:r>
        <w:rPr>
          <w:rFonts w:cs="Times New Roman"/>
        </w:rPr>
        <w:t>daudzpusējas</w:t>
      </w:r>
      <w:r w:rsidRPr="00080D71">
        <w:rPr>
          <w:rFonts w:cs="Times New Roman"/>
        </w:rPr>
        <w:t xml:space="preserve">. </w:t>
      </w:r>
    </w:p>
    <w:p w14:paraId="4206F9E0" w14:textId="4846946A" w:rsidR="005E272A" w:rsidRDefault="005E272A" w:rsidP="007B6731">
      <w:pPr>
        <w:spacing w:after="0" w:line="240" w:lineRule="auto"/>
        <w:jc w:val="center"/>
        <w:rPr>
          <w:rFonts w:cs="Times New Roman"/>
        </w:rPr>
      </w:pPr>
      <w:r>
        <w:rPr>
          <w:rFonts w:cs="Times New Roman"/>
          <w:noProof/>
          <w:lang w:eastAsia="en-GB"/>
        </w:rPr>
        <w:drawing>
          <wp:inline distT="0" distB="0" distL="0" distR="0" wp14:anchorId="252C20DC" wp14:editId="497F0B5A">
            <wp:extent cx="4610100" cy="191325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699128" cy="1950203"/>
                    </a:xfrm>
                    <a:prstGeom prst="rect">
                      <a:avLst/>
                    </a:prstGeom>
                    <a:noFill/>
                  </pic:spPr>
                </pic:pic>
              </a:graphicData>
            </a:graphic>
          </wp:inline>
        </w:drawing>
      </w:r>
    </w:p>
    <w:p w14:paraId="29D55CB3" w14:textId="2474A3F6" w:rsidR="00F36BD4" w:rsidRPr="0030364F" w:rsidRDefault="00F36BD4" w:rsidP="00630244">
      <w:pPr>
        <w:spacing w:before="120" w:after="0" w:line="240" w:lineRule="auto"/>
        <w:ind w:firstLine="357"/>
        <w:jc w:val="both"/>
        <w:rPr>
          <w:rFonts w:cs="Times New Roman"/>
        </w:rPr>
      </w:pPr>
      <w:r>
        <w:rPr>
          <w:rFonts w:cs="Times New Roman"/>
        </w:rPr>
        <w:t xml:space="preserve">Atsevišķi </w:t>
      </w:r>
      <w:r w:rsidR="00606200">
        <w:rPr>
          <w:rFonts w:cs="Times New Roman"/>
        </w:rPr>
        <w:t>jā</w:t>
      </w:r>
      <w:r>
        <w:rPr>
          <w:rFonts w:cs="Times New Roman"/>
        </w:rPr>
        <w:t xml:space="preserve">atzīmē, ka vienā daudzpusējās lietas gadījumā tika lūgts atbalsts vienlaicīgi </w:t>
      </w:r>
      <w:r w:rsidRPr="0030364F">
        <w:rPr>
          <w:rFonts w:cs="Times New Roman"/>
        </w:rPr>
        <w:t>13</w:t>
      </w:r>
      <w:r w:rsidR="00606200" w:rsidRPr="0030364F">
        <w:rPr>
          <w:rFonts w:cs="Times New Roman"/>
        </w:rPr>
        <w:t> </w:t>
      </w:r>
      <w:r w:rsidRPr="0030364F">
        <w:rPr>
          <w:rFonts w:cs="Times New Roman"/>
        </w:rPr>
        <w:t xml:space="preserve">valstīm, un proti, paātrināt visām šīm iesaistītajām valstīm nosūtīto Eiropas izmeklēšanas rīkojumu izpildi, kas pieņemti viena kriminālprocesa ietvaros. </w:t>
      </w:r>
      <w:r w:rsidR="0093688C" w:rsidRPr="0030364F">
        <w:rPr>
          <w:rFonts w:cs="Times New Roman"/>
        </w:rPr>
        <w:t> </w:t>
      </w:r>
    </w:p>
    <w:p w14:paraId="7951F93E" w14:textId="3A0DB60E" w:rsidR="00F36BD4" w:rsidRPr="0030364F" w:rsidRDefault="00F36BD4" w:rsidP="00606200">
      <w:pPr>
        <w:spacing w:after="0" w:line="240" w:lineRule="auto"/>
        <w:ind w:firstLine="360"/>
        <w:jc w:val="both"/>
        <w:rPr>
          <w:rFonts w:cs="Times New Roman"/>
          <w:u w:val="single"/>
        </w:rPr>
      </w:pPr>
      <w:r w:rsidRPr="0030364F">
        <w:rPr>
          <w:rFonts w:cs="Times New Roman"/>
          <w:u w:val="single"/>
        </w:rPr>
        <w:t xml:space="preserve">Pēc Latvijas iestāžu iniciatīvas tika </w:t>
      </w:r>
      <w:r w:rsidR="0055260F">
        <w:rPr>
          <w:rFonts w:cs="Times New Roman"/>
          <w:u w:val="single"/>
        </w:rPr>
        <w:t>reģistrētas</w:t>
      </w:r>
      <w:r w:rsidRPr="0030364F">
        <w:rPr>
          <w:rFonts w:cs="Times New Roman"/>
          <w:u w:val="single"/>
        </w:rPr>
        <w:t xml:space="preserve"> </w:t>
      </w:r>
      <w:r w:rsidR="00606200" w:rsidRPr="0030364F">
        <w:rPr>
          <w:rFonts w:cs="Times New Roman"/>
          <w:u w:val="single"/>
        </w:rPr>
        <w:t xml:space="preserve">lietas </w:t>
      </w:r>
      <w:r w:rsidRPr="0030364F">
        <w:rPr>
          <w:rFonts w:cs="Times New Roman"/>
          <w:u w:val="single"/>
        </w:rPr>
        <w:t>pret šādām valstīm:</w:t>
      </w:r>
    </w:p>
    <w:p w14:paraId="58D3C4E5" w14:textId="1DD72421"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Lielbritānij</w:t>
      </w:r>
      <w:r w:rsidR="00A153AC" w:rsidRPr="0030364F">
        <w:rPr>
          <w:rFonts w:cs="Times New Roman"/>
        </w:rPr>
        <w:t>u</w:t>
      </w:r>
      <w:r w:rsidRPr="0030364F">
        <w:rPr>
          <w:rFonts w:cs="Times New Roman"/>
        </w:rPr>
        <w:t xml:space="preserve"> – 12</w:t>
      </w:r>
      <w:r w:rsidR="00606200" w:rsidRPr="0030364F">
        <w:rPr>
          <w:rFonts w:cs="Times New Roman"/>
        </w:rPr>
        <w:t> </w:t>
      </w:r>
      <w:r w:rsidRPr="0030364F">
        <w:rPr>
          <w:rFonts w:cs="Times New Roman"/>
        </w:rPr>
        <w:t>lietas;</w:t>
      </w:r>
    </w:p>
    <w:p w14:paraId="4F356B51" w14:textId="31CC3624"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Vācij</w:t>
      </w:r>
      <w:r w:rsidR="00A153AC" w:rsidRPr="0030364F">
        <w:rPr>
          <w:rFonts w:cs="Times New Roman"/>
        </w:rPr>
        <w:t>u</w:t>
      </w:r>
      <w:r w:rsidRPr="0030364F">
        <w:rPr>
          <w:rFonts w:cs="Times New Roman"/>
        </w:rPr>
        <w:t xml:space="preserve"> – 10</w:t>
      </w:r>
      <w:r w:rsidR="00606200" w:rsidRPr="0030364F">
        <w:rPr>
          <w:rFonts w:cs="Times New Roman"/>
        </w:rPr>
        <w:t> </w:t>
      </w:r>
      <w:r w:rsidRPr="0030364F">
        <w:rPr>
          <w:rFonts w:cs="Times New Roman"/>
        </w:rPr>
        <w:t>lietas;</w:t>
      </w:r>
    </w:p>
    <w:p w14:paraId="4F62F25E" w14:textId="4B0B4E22"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Francij</w:t>
      </w:r>
      <w:r w:rsidR="00A153AC" w:rsidRPr="0030364F">
        <w:rPr>
          <w:rFonts w:cs="Times New Roman"/>
        </w:rPr>
        <w:t>u</w:t>
      </w:r>
      <w:r w:rsidRPr="0030364F">
        <w:rPr>
          <w:rFonts w:cs="Times New Roman"/>
        </w:rPr>
        <w:t xml:space="preserve"> – 8</w:t>
      </w:r>
      <w:r w:rsidR="00606200" w:rsidRPr="0030364F">
        <w:rPr>
          <w:rFonts w:cs="Times New Roman"/>
        </w:rPr>
        <w:t> </w:t>
      </w:r>
      <w:r w:rsidRPr="0030364F">
        <w:rPr>
          <w:rFonts w:cs="Times New Roman"/>
        </w:rPr>
        <w:t>lietas;</w:t>
      </w:r>
    </w:p>
    <w:p w14:paraId="21F8E83A" w14:textId="0FFE73DC"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Spānij</w:t>
      </w:r>
      <w:r w:rsidR="00A153AC" w:rsidRPr="0030364F">
        <w:rPr>
          <w:rFonts w:cs="Times New Roman"/>
        </w:rPr>
        <w:t>u</w:t>
      </w:r>
      <w:r w:rsidRPr="0030364F">
        <w:rPr>
          <w:rFonts w:cs="Times New Roman"/>
        </w:rPr>
        <w:t xml:space="preserve"> – 7</w:t>
      </w:r>
      <w:r w:rsidR="00606200" w:rsidRPr="0030364F">
        <w:rPr>
          <w:rFonts w:cs="Times New Roman"/>
        </w:rPr>
        <w:t> </w:t>
      </w:r>
      <w:r w:rsidRPr="0030364F">
        <w:rPr>
          <w:rFonts w:cs="Times New Roman"/>
        </w:rPr>
        <w:t>lietas;</w:t>
      </w:r>
    </w:p>
    <w:p w14:paraId="64F1B802" w14:textId="109E0A65"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Igaunij</w:t>
      </w:r>
      <w:r w:rsidR="00A153AC" w:rsidRPr="0030364F">
        <w:rPr>
          <w:rFonts w:cs="Times New Roman"/>
        </w:rPr>
        <w:t>u</w:t>
      </w:r>
      <w:r w:rsidRPr="0030364F">
        <w:rPr>
          <w:rFonts w:cs="Times New Roman"/>
        </w:rPr>
        <w:t>, Lietuv</w:t>
      </w:r>
      <w:r w:rsidR="00A153AC" w:rsidRPr="0030364F">
        <w:rPr>
          <w:rFonts w:cs="Times New Roman"/>
        </w:rPr>
        <w:t>u</w:t>
      </w:r>
      <w:r w:rsidRPr="0030364F">
        <w:rPr>
          <w:rFonts w:cs="Times New Roman"/>
        </w:rPr>
        <w:t>, Ukrain</w:t>
      </w:r>
      <w:r w:rsidR="00A153AC" w:rsidRPr="0030364F">
        <w:rPr>
          <w:rFonts w:cs="Times New Roman"/>
        </w:rPr>
        <w:t>u</w:t>
      </w:r>
      <w:r w:rsidRPr="0030364F">
        <w:rPr>
          <w:rFonts w:cs="Times New Roman"/>
        </w:rPr>
        <w:t xml:space="preserve"> – pret katru 5</w:t>
      </w:r>
      <w:r w:rsidR="00A153AC" w:rsidRPr="0030364F">
        <w:rPr>
          <w:rFonts w:cs="Times New Roman"/>
        </w:rPr>
        <w:t> </w:t>
      </w:r>
      <w:r w:rsidRPr="0030364F">
        <w:rPr>
          <w:rFonts w:cs="Times New Roman"/>
        </w:rPr>
        <w:t>lietas;</w:t>
      </w:r>
    </w:p>
    <w:p w14:paraId="282D14BF" w14:textId="4754854F"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Šveic</w:t>
      </w:r>
      <w:r w:rsidR="00A153AC" w:rsidRPr="0030364F">
        <w:rPr>
          <w:rFonts w:cs="Times New Roman"/>
        </w:rPr>
        <w:t>i</w:t>
      </w:r>
      <w:r w:rsidRPr="0030364F">
        <w:rPr>
          <w:rFonts w:cs="Times New Roman"/>
        </w:rPr>
        <w:t xml:space="preserve"> – 4</w:t>
      </w:r>
      <w:r w:rsidR="00A153AC" w:rsidRPr="0030364F">
        <w:rPr>
          <w:rFonts w:cs="Times New Roman"/>
        </w:rPr>
        <w:t> </w:t>
      </w:r>
      <w:r w:rsidRPr="0030364F">
        <w:rPr>
          <w:rFonts w:cs="Times New Roman"/>
        </w:rPr>
        <w:t>lietas;</w:t>
      </w:r>
    </w:p>
    <w:p w14:paraId="6481AC11" w14:textId="6D3E527D"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Itālij</w:t>
      </w:r>
      <w:r w:rsidR="00A153AC" w:rsidRPr="0030364F">
        <w:rPr>
          <w:rFonts w:cs="Times New Roman"/>
        </w:rPr>
        <w:t>u</w:t>
      </w:r>
      <w:r w:rsidRPr="0030364F">
        <w:rPr>
          <w:rFonts w:cs="Times New Roman"/>
        </w:rPr>
        <w:t>, Slovākij</w:t>
      </w:r>
      <w:r w:rsidR="00A153AC" w:rsidRPr="0030364F">
        <w:rPr>
          <w:rFonts w:cs="Times New Roman"/>
        </w:rPr>
        <w:t>u</w:t>
      </w:r>
      <w:r w:rsidRPr="0030364F">
        <w:rPr>
          <w:rFonts w:cs="Times New Roman"/>
        </w:rPr>
        <w:t>, Somij</w:t>
      </w:r>
      <w:r w:rsidR="00A153AC" w:rsidRPr="0030364F">
        <w:rPr>
          <w:rFonts w:cs="Times New Roman"/>
        </w:rPr>
        <w:t>u</w:t>
      </w:r>
      <w:r w:rsidRPr="0030364F">
        <w:rPr>
          <w:rFonts w:cs="Times New Roman"/>
        </w:rPr>
        <w:t xml:space="preserve"> – pret katru 3</w:t>
      </w:r>
      <w:r w:rsidR="00A153AC" w:rsidRPr="0030364F">
        <w:rPr>
          <w:rFonts w:cs="Times New Roman"/>
        </w:rPr>
        <w:t> </w:t>
      </w:r>
      <w:r w:rsidRPr="0030364F">
        <w:rPr>
          <w:rFonts w:cs="Times New Roman"/>
        </w:rPr>
        <w:t>lietas;</w:t>
      </w:r>
    </w:p>
    <w:p w14:paraId="5DB2E95B" w14:textId="36E43FAD"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Čehij</w:t>
      </w:r>
      <w:r w:rsidR="00A153AC" w:rsidRPr="0030364F">
        <w:rPr>
          <w:rFonts w:cs="Times New Roman"/>
        </w:rPr>
        <w:t>u</w:t>
      </w:r>
      <w:r w:rsidRPr="0030364F">
        <w:rPr>
          <w:rFonts w:cs="Times New Roman"/>
        </w:rPr>
        <w:t>, Ungārij</w:t>
      </w:r>
      <w:r w:rsidR="00A153AC" w:rsidRPr="0030364F">
        <w:rPr>
          <w:rFonts w:cs="Times New Roman"/>
        </w:rPr>
        <w:t>u</w:t>
      </w:r>
      <w:r w:rsidRPr="0030364F">
        <w:rPr>
          <w:rFonts w:cs="Times New Roman"/>
        </w:rPr>
        <w:t>, Zviedrij</w:t>
      </w:r>
      <w:r w:rsidR="00A153AC" w:rsidRPr="0030364F">
        <w:rPr>
          <w:rFonts w:cs="Times New Roman"/>
        </w:rPr>
        <w:t>u</w:t>
      </w:r>
      <w:r w:rsidRPr="0030364F">
        <w:rPr>
          <w:rFonts w:cs="Times New Roman"/>
        </w:rPr>
        <w:t>, Moldov</w:t>
      </w:r>
      <w:r w:rsidR="00A153AC" w:rsidRPr="0030364F">
        <w:rPr>
          <w:rFonts w:cs="Times New Roman"/>
        </w:rPr>
        <w:t>u</w:t>
      </w:r>
      <w:r w:rsidRPr="0030364F">
        <w:rPr>
          <w:rFonts w:cs="Times New Roman"/>
        </w:rPr>
        <w:t xml:space="preserve"> – pret katru 2</w:t>
      </w:r>
      <w:r w:rsidR="00A153AC" w:rsidRPr="0030364F">
        <w:rPr>
          <w:rFonts w:cs="Times New Roman"/>
        </w:rPr>
        <w:t> </w:t>
      </w:r>
      <w:r w:rsidRPr="0030364F">
        <w:rPr>
          <w:rFonts w:cs="Times New Roman"/>
        </w:rPr>
        <w:t xml:space="preserve">lietas; </w:t>
      </w:r>
    </w:p>
    <w:p w14:paraId="33AF3874" w14:textId="38C0869F" w:rsidR="00F36BD4" w:rsidRPr="0030364F" w:rsidRDefault="00F36BD4" w:rsidP="00E329FC">
      <w:pPr>
        <w:pStyle w:val="ListParagraph"/>
        <w:numPr>
          <w:ilvl w:val="0"/>
          <w:numId w:val="28"/>
        </w:numPr>
        <w:spacing w:after="0" w:line="240" w:lineRule="auto"/>
        <w:jc w:val="both"/>
        <w:rPr>
          <w:rFonts w:cs="Times New Roman"/>
        </w:rPr>
      </w:pPr>
      <w:r w:rsidRPr="0030364F">
        <w:rPr>
          <w:rFonts w:cs="Times New Roman"/>
        </w:rPr>
        <w:t>Beļģij</w:t>
      </w:r>
      <w:r w:rsidR="00A153AC" w:rsidRPr="0030364F">
        <w:rPr>
          <w:rFonts w:cs="Times New Roman"/>
        </w:rPr>
        <w:t>u</w:t>
      </w:r>
      <w:r w:rsidRPr="0030364F">
        <w:rPr>
          <w:rFonts w:cs="Times New Roman"/>
        </w:rPr>
        <w:t>, Bulgārij</w:t>
      </w:r>
      <w:r w:rsidR="00A153AC" w:rsidRPr="0030364F">
        <w:rPr>
          <w:rFonts w:cs="Times New Roman"/>
        </w:rPr>
        <w:t>u</w:t>
      </w:r>
      <w:r w:rsidRPr="0030364F">
        <w:rPr>
          <w:rFonts w:cs="Times New Roman"/>
        </w:rPr>
        <w:t>, Austrij</w:t>
      </w:r>
      <w:r w:rsidR="00A153AC" w:rsidRPr="0030364F">
        <w:rPr>
          <w:rFonts w:cs="Times New Roman"/>
        </w:rPr>
        <w:t>u</w:t>
      </w:r>
      <w:r w:rsidRPr="0030364F">
        <w:rPr>
          <w:rFonts w:cs="Times New Roman"/>
        </w:rPr>
        <w:t>, Slovēnij</w:t>
      </w:r>
      <w:r w:rsidR="00A153AC" w:rsidRPr="0030364F">
        <w:rPr>
          <w:rFonts w:cs="Times New Roman"/>
        </w:rPr>
        <w:t>u</w:t>
      </w:r>
      <w:r w:rsidRPr="0030364F">
        <w:rPr>
          <w:rFonts w:cs="Times New Roman"/>
        </w:rPr>
        <w:t xml:space="preserve"> – pret katru 1</w:t>
      </w:r>
      <w:r w:rsidR="00A153AC" w:rsidRPr="0030364F">
        <w:rPr>
          <w:rFonts w:cs="Times New Roman"/>
        </w:rPr>
        <w:t> </w:t>
      </w:r>
      <w:r w:rsidRPr="0030364F">
        <w:rPr>
          <w:rFonts w:cs="Times New Roman"/>
        </w:rPr>
        <w:t xml:space="preserve">lieta. </w:t>
      </w:r>
    </w:p>
    <w:p w14:paraId="64157F4C" w14:textId="3B0E0709" w:rsidR="00F36BD4" w:rsidRDefault="00F36BD4" w:rsidP="00630244">
      <w:pPr>
        <w:spacing w:after="120" w:line="240" w:lineRule="auto"/>
        <w:jc w:val="both"/>
        <w:rPr>
          <w:rFonts w:cs="Times New Roman"/>
        </w:rPr>
      </w:pPr>
      <w:r w:rsidRPr="0030364F">
        <w:rPr>
          <w:rFonts w:cs="Times New Roman"/>
        </w:rPr>
        <w:t>3</w:t>
      </w:r>
      <w:r w:rsidR="005455A7" w:rsidRPr="0030364F">
        <w:rPr>
          <w:rFonts w:cs="Times New Roman"/>
        </w:rPr>
        <w:t> </w:t>
      </w:r>
      <w:r w:rsidRPr="0030364F">
        <w:rPr>
          <w:rFonts w:cs="Times New Roman"/>
        </w:rPr>
        <w:t xml:space="preserve">lietās sadarbība tika nodrošināta arī ar Baltkrieviju un </w:t>
      </w:r>
      <w:r w:rsidR="005455A7" w:rsidRPr="0030364F">
        <w:rPr>
          <w:rFonts w:cs="Times New Roman"/>
        </w:rPr>
        <w:t>1 </w:t>
      </w:r>
      <w:r w:rsidRPr="0030364F">
        <w:rPr>
          <w:rFonts w:cs="Times New Roman"/>
        </w:rPr>
        <w:t>lietā</w:t>
      </w:r>
      <w:r>
        <w:rPr>
          <w:rFonts w:cs="Times New Roman"/>
        </w:rPr>
        <w:t xml:space="preserve"> ar Turciju</w:t>
      </w:r>
      <w:r w:rsidRPr="005046DA">
        <w:rPr>
          <w:rFonts w:cs="Times New Roman"/>
        </w:rPr>
        <w:t xml:space="preserve">, izmantojot </w:t>
      </w:r>
      <w:proofErr w:type="spellStart"/>
      <w:r>
        <w:rPr>
          <w:rFonts w:cs="Times New Roman"/>
        </w:rPr>
        <w:t>Eirojusta</w:t>
      </w:r>
      <w:proofErr w:type="spellEnd"/>
      <w:r>
        <w:rPr>
          <w:rFonts w:cs="Times New Roman"/>
        </w:rPr>
        <w:t xml:space="preserve"> </w:t>
      </w:r>
      <w:r w:rsidRPr="005046DA">
        <w:rPr>
          <w:rFonts w:cs="Times New Roman"/>
        </w:rPr>
        <w:t>kontaktpersonu tīkla sniegto atbalstu</w:t>
      </w:r>
      <w:r>
        <w:rPr>
          <w:rFonts w:cs="Times New Roman"/>
        </w:rPr>
        <w:t xml:space="preserve"> trešajās valstīs</w:t>
      </w:r>
      <w:r w:rsidRPr="005046DA">
        <w:rPr>
          <w:rFonts w:cs="Times New Roman"/>
        </w:rPr>
        <w:t>.</w:t>
      </w:r>
    </w:p>
    <w:p w14:paraId="56AA5D76" w14:textId="004E522A" w:rsidR="0055260F" w:rsidRDefault="0055260F" w:rsidP="007B6731">
      <w:pPr>
        <w:spacing w:after="0" w:line="240" w:lineRule="auto"/>
        <w:jc w:val="center"/>
        <w:rPr>
          <w:rFonts w:cs="Times New Roman"/>
        </w:rPr>
      </w:pPr>
      <w:r w:rsidRPr="00F81D76">
        <w:rPr>
          <w:noProof/>
          <w:lang w:eastAsia="en-GB"/>
        </w:rPr>
        <w:lastRenderedPageBreak/>
        <w:drawing>
          <wp:inline distT="0" distB="0" distL="0" distR="0" wp14:anchorId="0CCF9A59" wp14:editId="730E3BCB">
            <wp:extent cx="5547360" cy="3020695"/>
            <wp:effectExtent l="0" t="0" r="0" b="8255"/>
            <wp:docPr id="198" name="Picture 198" descr="C:\Users\dskudra\Work folders\Desktop\Statistics_2020_Latvia_jpg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skudra\Work folders\Desktop\Statistics_2020_Latvia_jpg_Page_07.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577371" cy="3037037"/>
                    </a:xfrm>
                    <a:prstGeom prst="rect">
                      <a:avLst/>
                    </a:prstGeom>
                    <a:noFill/>
                    <a:ln>
                      <a:noFill/>
                    </a:ln>
                  </pic:spPr>
                </pic:pic>
              </a:graphicData>
            </a:graphic>
          </wp:inline>
        </w:drawing>
      </w:r>
    </w:p>
    <w:p w14:paraId="11A2E1A6" w14:textId="77777777" w:rsidR="0055260F" w:rsidRDefault="0055260F" w:rsidP="00F36BD4">
      <w:pPr>
        <w:spacing w:after="0" w:line="240" w:lineRule="auto"/>
        <w:jc w:val="both"/>
      </w:pPr>
    </w:p>
    <w:p w14:paraId="27C1798D" w14:textId="0BCD17CA" w:rsidR="00F36BD4" w:rsidRDefault="00F36BD4" w:rsidP="00F36BD4">
      <w:pPr>
        <w:spacing w:after="0" w:line="240" w:lineRule="auto"/>
        <w:jc w:val="both"/>
      </w:pPr>
      <w:r w:rsidRPr="005046DA">
        <w:t xml:space="preserve">Tiek aktīvi strādāts arī pie </w:t>
      </w:r>
      <w:r w:rsidRPr="0055260F">
        <w:t>40</w:t>
      </w:r>
      <w:r w:rsidR="005455A7" w:rsidRPr="0055260F">
        <w:t> </w:t>
      </w:r>
      <w:r w:rsidRPr="005046DA">
        <w:t xml:space="preserve">iepriekšējos gados </w:t>
      </w:r>
      <w:r w:rsidR="000912A0">
        <w:t>reģistrētajām</w:t>
      </w:r>
      <w:r w:rsidRPr="005046DA">
        <w:t xml:space="preserve"> lietām, kur atbalsts sadarbības veicināšanai joprojām ir nepieciešams. </w:t>
      </w:r>
    </w:p>
    <w:p w14:paraId="4460E220" w14:textId="77777777" w:rsidR="00F36BD4" w:rsidRPr="005046DA" w:rsidRDefault="00F36BD4" w:rsidP="00F36BD4">
      <w:pPr>
        <w:spacing w:after="0" w:line="240" w:lineRule="auto"/>
        <w:jc w:val="both"/>
        <w:rPr>
          <w:rFonts w:cs="Times New Roman"/>
        </w:rPr>
      </w:pPr>
    </w:p>
    <w:p w14:paraId="53CFBF8A" w14:textId="71B2E190" w:rsidR="00F36BD4" w:rsidRDefault="00F36BD4" w:rsidP="005455A7">
      <w:pPr>
        <w:spacing w:after="0" w:line="240" w:lineRule="auto"/>
        <w:ind w:firstLine="360"/>
        <w:jc w:val="both"/>
        <w:rPr>
          <w:rFonts w:cs="Times New Roman"/>
        </w:rPr>
      </w:pPr>
      <w:r w:rsidRPr="00080D71">
        <w:rPr>
          <w:rFonts w:cs="Times New Roman"/>
        </w:rPr>
        <w:t xml:space="preserve">Atskaites periodā </w:t>
      </w:r>
      <w:proofErr w:type="spellStart"/>
      <w:r w:rsidRPr="00080D71">
        <w:rPr>
          <w:rFonts w:cs="Times New Roman"/>
        </w:rPr>
        <w:t>Eirojusta</w:t>
      </w:r>
      <w:proofErr w:type="spellEnd"/>
      <w:r w:rsidRPr="00080D71">
        <w:rPr>
          <w:rFonts w:cs="Times New Roman"/>
        </w:rPr>
        <w:t xml:space="preserve"> </w:t>
      </w:r>
      <w:r>
        <w:rPr>
          <w:rFonts w:cs="Times New Roman"/>
        </w:rPr>
        <w:t xml:space="preserve">palīdzību un atbalstu </w:t>
      </w:r>
      <w:r w:rsidRPr="00080D71">
        <w:rPr>
          <w:rFonts w:cs="Times New Roman"/>
        </w:rPr>
        <w:t xml:space="preserve">veicināt un koordinēt starptautisko </w:t>
      </w:r>
      <w:r>
        <w:rPr>
          <w:rFonts w:cs="Times New Roman"/>
        </w:rPr>
        <w:t xml:space="preserve">krimināltiesisko </w:t>
      </w:r>
      <w:r w:rsidRPr="00080D71">
        <w:rPr>
          <w:rFonts w:cs="Times New Roman"/>
        </w:rPr>
        <w:t>sadarbību izmantojušas</w:t>
      </w:r>
      <w:r w:rsidR="005455A7">
        <w:rPr>
          <w:rFonts w:cs="Times New Roman"/>
        </w:rPr>
        <w:t xml:space="preserve"> turpmāk minētās</w:t>
      </w:r>
      <w:r w:rsidRPr="00080D71">
        <w:rPr>
          <w:rFonts w:cs="Times New Roman"/>
        </w:rPr>
        <w:t xml:space="preserve"> iestādes: </w:t>
      </w:r>
    </w:p>
    <w:p w14:paraId="63F3E9C5" w14:textId="7537EF01" w:rsidR="00F36BD4" w:rsidRPr="0030364F" w:rsidRDefault="00F36BD4" w:rsidP="00E329FC">
      <w:pPr>
        <w:pStyle w:val="ListParagraph"/>
        <w:numPr>
          <w:ilvl w:val="0"/>
          <w:numId w:val="27"/>
        </w:numPr>
        <w:spacing w:after="0" w:line="240" w:lineRule="auto"/>
        <w:jc w:val="both"/>
        <w:rPr>
          <w:rFonts w:cs="Times New Roman"/>
        </w:rPr>
      </w:pPr>
      <w:r w:rsidRPr="007C1578">
        <w:rPr>
          <w:rFonts w:cs="Times New Roman"/>
        </w:rPr>
        <w:t xml:space="preserve">Valsts policija </w:t>
      </w:r>
      <w:r w:rsidR="005455A7" w:rsidRPr="0030364F">
        <w:rPr>
          <w:rFonts w:cs="Times New Roman"/>
        </w:rPr>
        <w:t>–</w:t>
      </w:r>
      <w:r w:rsidRPr="0030364F">
        <w:rPr>
          <w:rFonts w:cs="Times New Roman"/>
        </w:rPr>
        <w:t xml:space="preserve"> 33</w:t>
      </w:r>
      <w:r w:rsidR="005455A7" w:rsidRPr="0030364F">
        <w:rPr>
          <w:rFonts w:cs="Times New Roman"/>
        </w:rPr>
        <w:t> </w:t>
      </w:r>
      <w:r w:rsidRPr="0030364F">
        <w:rPr>
          <w:rFonts w:cs="Times New Roman"/>
        </w:rPr>
        <w:t>liet</w:t>
      </w:r>
      <w:r w:rsidR="005455A7" w:rsidRPr="0030364F">
        <w:rPr>
          <w:rFonts w:cs="Times New Roman"/>
        </w:rPr>
        <w:t>ās</w:t>
      </w:r>
      <w:r w:rsidR="00427731" w:rsidRPr="0030364F">
        <w:rPr>
          <w:rFonts w:cs="Times New Roman"/>
        </w:rPr>
        <w:t>;</w:t>
      </w:r>
    </w:p>
    <w:p w14:paraId="1F5C2633" w14:textId="402226DB" w:rsidR="00F36BD4" w:rsidRPr="0030364F" w:rsidRDefault="00F36BD4" w:rsidP="00E329FC">
      <w:pPr>
        <w:pStyle w:val="ListParagraph"/>
        <w:numPr>
          <w:ilvl w:val="0"/>
          <w:numId w:val="27"/>
        </w:numPr>
        <w:spacing w:after="0" w:line="240" w:lineRule="auto"/>
        <w:jc w:val="both"/>
        <w:rPr>
          <w:rFonts w:cs="Times New Roman"/>
        </w:rPr>
      </w:pPr>
      <w:r w:rsidRPr="0030364F">
        <w:rPr>
          <w:rFonts w:cs="Times New Roman"/>
        </w:rPr>
        <w:t xml:space="preserve">Valsts ieņēmumu dienests </w:t>
      </w:r>
      <w:r w:rsidR="005455A7" w:rsidRPr="0030364F">
        <w:rPr>
          <w:rFonts w:cs="Times New Roman"/>
        </w:rPr>
        <w:t>–</w:t>
      </w:r>
      <w:r w:rsidRPr="0030364F">
        <w:rPr>
          <w:rFonts w:cs="Times New Roman"/>
        </w:rPr>
        <w:t xml:space="preserve"> 11</w:t>
      </w:r>
      <w:r w:rsidR="005455A7" w:rsidRPr="0030364F">
        <w:rPr>
          <w:rFonts w:cs="Times New Roman"/>
        </w:rPr>
        <w:t> </w:t>
      </w:r>
      <w:r w:rsidRPr="0030364F">
        <w:rPr>
          <w:rFonts w:cs="Times New Roman"/>
        </w:rPr>
        <w:t>liet</w:t>
      </w:r>
      <w:r w:rsidR="005455A7" w:rsidRPr="0030364F">
        <w:rPr>
          <w:rFonts w:cs="Times New Roman"/>
        </w:rPr>
        <w:t>ā</w:t>
      </w:r>
      <w:r w:rsidRPr="0030364F">
        <w:rPr>
          <w:rFonts w:cs="Times New Roman"/>
        </w:rPr>
        <w:t>s</w:t>
      </w:r>
      <w:r w:rsidR="00427731" w:rsidRPr="0030364F">
        <w:rPr>
          <w:rFonts w:cs="Times New Roman"/>
        </w:rPr>
        <w:t>;</w:t>
      </w:r>
    </w:p>
    <w:p w14:paraId="2D324121" w14:textId="2A834BCB" w:rsidR="00F36BD4" w:rsidRPr="0030364F" w:rsidRDefault="00427731" w:rsidP="00E329FC">
      <w:pPr>
        <w:pStyle w:val="ListParagraph"/>
        <w:numPr>
          <w:ilvl w:val="0"/>
          <w:numId w:val="27"/>
        </w:numPr>
        <w:spacing w:after="0" w:line="240" w:lineRule="auto"/>
        <w:jc w:val="both"/>
        <w:rPr>
          <w:rFonts w:cs="Times New Roman"/>
        </w:rPr>
      </w:pPr>
      <w:r w:rsidRPr="0030364F">
        <w:rPr>
          <w:rFonts w:cs="Times New Roman"/>
        </w:rPr>
        <w:t>p</w:t>
      </w:r>
      <w:r w:rsidR="00F36BD4" w:rsidRPr="0030364F">
        <w:rPr>
          <w:rFonts w:cs="Times New Roman"/>
        </w:rPr>
        <w:t xml:space="preserve">rokuratūra </w:t>
      </w:r>
      <w:r w:rsidR="005455A7" w:rsidRPr="0030364F">
        <w:rPr>
          <w:rFonts w:cs="Times New Roman"/>
        </w:rPr>
        <w:t>–</w:t>
      </w:r>
      <w:r w:rsidR="00F36BD4" w:rsidRPr="0030364F">
        <w:rPr>
          <w:rFonts w:cs="Times New Roman"/>
        </w:rPr>
        <w:t xml:space="preserve"> 15</w:t>
      </w:r>
      <w:r w:rsidR="005455A7" w:rsidRPr="0030364F">
        <w:rPr>
          <w:rFonts w:cs="Times New Roman"/>
        </w:rPr>
        <w:t> </w:t>
      </w:r>
      <w:r w:rsidR="00F36BD4" w:rsidRPr="0030364F">
        <w:rPr>
          <w:rFonts w:cs="Times New Roman"/>
        </w:rPr>
        <w:t>liet</w:t>
      </w:r>
      <w:r w:rsidR="005455A7" w:rsidRPr="0030364F">
        <w:rPr>
          <w:rFonts w:cs="Times New Roman"/>
        </w:rPr>
        <w:t>ā</w:t>
      </w:r>
      <w:r w:rsidR="00F36BD4" w:rsidRPr="0030364F">
        <w:rPr>
          <w:rFonts w:cs="Times New Roman"/>
        </w:rPr>
        <w:t>s</w:t>
      </w:r>
      <w:r w:rsidRPr="0030364F">
        <w:rPr>
          <w:rFonts w:cs="Times New Roman"/>
        </w:rPr>
        <w:t>;</w:t>
      </w:r>
      <w:r w:rsidR="00F36BD4" w:rsidRPr="0030364F">
        <w:rPr>
          <w:rFonts w:cs="Times New Roman"/>
        </w:rPr>
        <w:t xml:space="preserve"> </w:t>
      </w:r>
    </w:p>
    <w:p w14:paraId="7BF95737" w14:textId="26892E77" w:rsidR="00F36BD4" w:rsidRPr="0030364F" w:rsidRDefault="00427731" w:rsidP="00E329FC">
      <w:pPr>
        <w:pStyle w:val="ListParagraph"/>
        <w:numPr>
          <w:ilvl w:val="0"/>
          <w:numId w:val="27"/>
        </w:numPr>
        <w:spacing w:after="0" w:line="240" w:lineRule="auto"/>
        <w:jc w:val="both"/>
        <w:rPr>
          <w:rFonts w:cs="Times New Roman"/>
        </w:rPr>
      </w:pPr>
      <w:r w:rsidRPr="0030364F">
        <w:rPr>
          <w:rFonts w:cs="Times New Roman"/>
        </w:rPr>
        <w:t>t</w:t>
      </w:r>
      <w:r w:rsidR="00F36BD4" w:rsidRPr="0030364F">
        <w:rPr>
          <w:rFonts w:cs="Times New Roman"/>
        </w:rPr>
        <w:t xml:space="preserve">iesas </w:t>
      </w:r>
      <w:r w:rsidR="005455A7" w:rsidRPr="0030364F">
        <w:rPr>
          <w:rFonts w:cs="Times New Roman"/>
        </w:rPr>
        <w:t>–</w:t>
      </w:r>
      <w:r w:rsidR="00F36BD4" w:rsidRPr="0030364F">
        <w:rPr>
          <w:rFonts w:cs="Times New Roman"/>
        </w:rPr>
        <w:t xml:space="preserve"> 7</w:t>
      </w:r>
      <w:r w:rsidR="005455A7" w:rsidRPr="0030364F">
        <w:rPr>
          <w:rFonts w:cs="Times New Roman"/>
        </w:rPr>
        <w:t> </w:t>
      </w:r>
      <w:r w:rsidR="00F36BD4" w:rsidRPr="0030364F">
        <w:rPr>
          <w:rFonts w:cs="Times New Roman"/>
        </w:rPr>
        <w:t>liet</w:t>
      </w:r>
      <w:r w:rsidRPr="0030364F">
        <w:rPr>
          <w:rFonts w:cs="Times New Roman"/>
        </w:rPr>
        <w:t>ā</w:t>
      </w:r>
      <w:r w:rsidR="00F36BD4" w:rsidRPr="0030364F">
        <w:rPr>
          <w:rFonts w:cs="Times New Roman"/>
        </w:rPr>
        <w:t>s</w:t>
      </w:r>
      <w:r w:rsidRPr="0030364F">
        <w:rPr>
          <w:rFonts w:cs="Times New Roman"/>
        </w:rPr>
        <w:t>;</w:t>
      </w:r>
      <w:r w:rsidR="00F36BD4" w:rsidRPr="0030364F">
        <w:rPr>
          <w:rFonts w:cs="Times New Roman"/>
        </w:rPr>
        <w:t xml:space="preserve"> </w:t>
      </w:r>
    </w:p>
    <w:p w14:paraId="2793DD15" w14:textId="5AA9D9F0" w:rsidR="00F36BD4" w:rsidRPr="0030364F" w:rsidRDefault="00F36BD4" w:rsidP="00E329FC">
      <w:pPr>
        <w:pStyle w:val="ListParagraph"/>
        <w:numPr>
          <w:ilvl w:val="0"/>
          <w:numId w:val="27"/>
        </w:numPr>
        <w:spacing w:after="0" w:line="240" w:lineRule="auto"/>
        <w:jc w:val="both"/>
        <w:rPr>
          <w:rFonts w:cs="Times New Roman"/>
        </w:rPr>
      </w:pPr>
      <w:r w:rsidRPr="0030364F">
        <w:rPr>
          <w:rFonts w:cs="Times New Roman"/>
        </w:rPr>
        <w:t xml:space="preserve">Valsts drošības dienests </w:t>
      </w:r>
      <w:r w:rsidR="00427731" w:rsidRPr="0030364F">
        <w:rPr>
          <w:rFonts w:cs="Times New Roman"/>
        </w:rPr>
        <w:t>–</w:t>
      </w:r>
      <w:r w:rsidRPr="0030364F">
        <w:rPr>
          <w:rFonts w:cs="Times New Roman"/>
        </w:rPr>
        <w:t xml:space="preserve"> 1</w:t>
      </w:r>
      <w:r w:rsidR="00427731" w:rsidRPr="0030364F">
        <w:rPr>
          <w:rFonts w:cs="Times New Roman"/>
        </w:rPr>
        <w:t> </w:t>
      </w:r>
      <w:r w:rsidRPr="0030364F">
        <w:rPr>
          <w:rFonts w:cs="Times New Roman"/>
        </w:rPr>
        <w:t>liet</w:t>
      </w:r>
      <w:r w:rsidR="00427731" w:rsidRPr="0030364F">
        <w:rPr>
          <w:rFonts w:cs="Times New Roman"/>
        </w:rPr>
        <w:t>ā;</w:t>
      </w:r>
    </w:p>
    <w:p w14:paraId="6E952B18" w14:textId="4DD3C02D" w:rsidR="00F36BD4" w:rsidRPr="0030364F" w:rsidRDefault="00F36BD4" w:rsidP="00E329FC">
      <w:pPr>
        <w:pStyle w:val="ListParagraph"/>
        <w:numPr>
          <w:ilvl w:val="0"/>
          <w:numId w:val="27"/>
        </w:numPr>
        <w:spacing w:after="0" w:line="240" w:lineRule="auto"/>
        <w:jc w:val="both"/>
        <w:rPr>
          <w:rFonts w:cs="Times New Roman"/>
        </w:rPr>
      </w:pPr>
      <w:r w:rsidRPr="0030364F">
        <w:rPr>
          <w:rFonts w:cs="Times New Roman"/>
        </w:rPr>
        <w:t>Korupcijas novēršanas un apkarošanas birojs – 1</w:t>
      </w:r>
      <w:r w:rsidR="00427731" w:rsidRPr="0030364F">
        <w:rPr>
          <w:rFonts w:cs="Times New Roman"/>
        </w:rPr>
        <w:t> </w:t>
      </w:r>
      <w:r w:rsidRPr="0030364F">
        <w:rPr>
          <w:rFonts w:cs="Times New Roman"/>
        </w:rPr>
        <w:t>liet</w:t>
      </w:r>
      <w:r w:rsidR="00427731" w:rsidRPr="0030364F">
        <w:rPr>
          <w:rFonts w:cs="Times New Roman"/>
        </w:rPr>
        <w:t>ā</w:t>
      </w:r>
      <w:r w:rsidRPr="0030364F">
        <w:rPr>
          <w:rFonts w:cs="Times New Roman"/>
        </w:rPr>
        <w:t>.</w:t>
      </w:r>
    </w:p>
    <w:p w14:paraId="6BA327F6" w14:textId="2188528E" w:rsidR="00F36BD4" w:rsidRPr="0030364F" w:rsidRDefault="00F36BD4" w:rsidP="00427731">
      <w:pPr>
        <w:spacing w:after="0" w:line="240" w:lineRule="auto"/>
        <w:ind w:firstLine="360"/>
        <w:jc w:val="both"/>
        <w:rPr>
          <w:rFonts w:cs="Times New Roman"/>
        </w:rPr>
      </w:pPr>
      <w:r w:rsidRPr="0030364F">
        <w:rPr>
          <w:rFonts w:cs="Times New Roman"/>
        </w:rPr>
        <w:t>Latvijas pārstāvniecības atvērtajās lietās izplatītākie n</w:t>
      </w:r>
      <w:r w:rsidR="00AF0E03" w:rsidRPr="0030364F">
        <w:rPr>
          <w:rFonts w:cs="Times New Roman"/>
        </w:rPr>
        <w:t>oziedzīgu nodarījumu</w:t>
      </w:r>
      <w:r w:rsidRPr="0030364F">
        <w:rPr>
          <w:rFonts w:cs="Times New Roman"/>
        </w:rPr>
        <w:t xml:space="preserve"> veidi atspoguļo valstī noteiktās prioritātes. Tā 2020.</w:t>
      </w:r>
      <w:r w:rsidR="00427731" w:rsidRPr="0030364F">
        <w:rPr>
          <w:rFonts w:cs="Times New Roman"/>
        </w:rPr>
        <w:t> </w:t>
      </w:r>
      <w:r w:rsidRPr="0030364F">
        <w:rPr>
          <w:rFonts w:cs="Times New Roman"/>
        </w:rPr>
        <w:t>gada tie ir bijuši:</w:t>
      </w:r>
    </w:p>
    <w:p w14:paraId="6D40E61A" w14:textId="22BE9D17" w:rsidR="00F36BD4" w:rsidRPr="0030364F" w:rsidRDefault="00F36BD4" w:rsidP="00E329FC">
      <w:pPr>
        <w:pStyle w:val="ListParagraph"/>
        <w:numPr>
          <w:ilvl w:val="0"/>
          <w:numId w:val="27"/>
        </w:numPr>
        <w:spacing w:after="0" w:line="240" w:lineRule="auto"/>
        <w:jc w:val="both"/>
        <w:rPr>
          <w:rFonts w:cs="Times New Roman"/>
        </w:rPr>
      </w:pPr>
      <w:r w:rsidRPr="0030364F">
        <w:rPr>
          <w:rFonts w:cs="Times New Roman"/>
        </w:rPr>
        <w:t>noziedzīgi iegūtu līdzekļu legalizēšana – 33</w:t>
      </w:r>
      <w:r w:rsidR="00427731" w:rsidRPr="0030364F">
        <w:rPr>
          <w:rFonts w:cs="Times New Roman"/>
        </w:rPr>
        <w:t> </w:t>
      </w:r>
      <w:r w:rsidRPr="0030364F">
        <w:rPr>
          <w:rFonts w:cs="Times New Roman"/>
        </w:rPr>
        <w:t>lietas;</w:t>
      </w:r>
    </w:p>
    <w:p w14:paraId="6DC85646" w14:textId="39400B1C" w:rsidR="00F36BD4" w:rsidRPr="0030364F" w:rsidRDefault="00F36BD4" w:rsidP="00E329FC">
      <w:pPr>
        <w:pStyle w:val="ListParagraph"/>
        <w:numPr>
          <w:ilvl w:val="0"/>
          <w:numId w:val="27"/>
        </w:numPr>
        <w:spacing w:after="0" w:line="240" w:lineRule="auto"/>
        <w:jc w:val="both"/>
        <w:rPr>
          <w:rFonts w:cs="Times New Roman"/>
        </w:rPr>
      </w:pPr>
      <w:r w:rsidRPr="0030364F">
        <w:rPr>
          <w:rFonts w:cs="Times New Roman"/>
        </w:rPr>
        <w:t>krāpšana – 23</w:t>
      </w:r>
      <w:r w:rsidR="00427731" w:rsidRPr="0030364F">
        <w:rPr>
          <w:rFonts w:cs="Times New Roman"/>
        </w:rPr>
        <w:t> </w:t>
      </w:r>
      <w:r w:rsidRPr="0030364F">
        <w:rPr>
          <w:rFonts w:cs="Times New Roman"/>
        </w:rPr>
        <w:t>lietas;</w:t>
      </w:r>
    </w:p>
    <w:p w14:paraId="39A2ABBF" w14:textId="09678EA6" w:rsidR="00F36BD4" w:rsidRPr="0030364F" w:rsidRDefault="00F36BD4" w:rsidP="00E329FC">
      <w:pPr>
        <w:pStyle w:val="ListParagraph"/>
        <w:numPr>
          <w:ilvl w:val="0"/>
          <w:numId w:val="27"/>
        </w:numPr>
        <w:spacing w:after="0" w:line="240" w:lineRule="auto"/>
        <w:jc w:val="both"/>
        <w:rPr>
          <w:rFonts w:cs="Times New Roman"/>
        </w:rPr>
      </w:pPr>
      <w:r w:rsidRPr="0030364F">
        <w:rPr>
          <w:rFonts w:cs="Times New Roman"/>
        </w:rPr>
        <w:t>nozie</w:t>
      </w:r>
      <w:r w:rsidR="00AF0E03" w:rsidRPr="0030364F">
        <w:rPr>
          <w:rFonts w:cs="Times New Roman"/>
        </w:rPr>
        <w:t>dzīgi nodarījumi</w:t>
      </w:r>
      <w:r w:rsidRPr="0030364F">
        <w:rPr>
          <w:rFonts w:cs="Times New Roman"/>
        </w:rPr>
        <w:t xml:space="preserve"> pret personas dzīvību un veselību – 4</w:t>
      </w:r>
      <w:r w:rsidR="00427731" w:rsidRPr="0030364F">
        <w:rPr>
          <w:rFonts w:cs="Times New Roman"/>
        </w:rPr>
        <w:t> </w:t>
      </w:r>
      <w:r w:rsidRPr="0030364F">
        <w:rPr>
          <w:rFonts w:cs="Times New Roman"/>
        </w:rPr>
        <w:t>lietas;</w:t>
      </w:r>
    </w:p>
    <w:p w14:paraId="30A3A304" w14:textId="3AF9B589" w:rsidR="00F36BD4" w:rsidRPr="0030364F" w:rsidRDefault="00F36BD4" w:rsidP="00E329FC">
      <w:pPr>
        <w:pStyle w:val="ListParagraph"/>
        <w:numPr>
          <w:ilvl w:val="0"/>
          <w:numId w:val="27"/>
        </w:numPr>
        <w:spacing w:after="0" w:line="240" w:lineRule="auto"/>
        <w:jc w:val="both"/>
        <w:rPr>
          <w:rFonts w:cs="Times New Roman"/>
        </w:rPr>
      </w:pPr>
      <w:r w:rsidRPr="0030364F">
        <w:rPr>
          <w:rFonts w:cs="Times New Roman"/>
        </w:rPr>
        <w:t>narkotiku nelikumīga aprite – 3</w:t>
      </w:r>
      <w:r w:rsidR="00427731" w:rsidRPr="0030364F">
        <w:rPr>
          <w:rFonts w:cs="Times New Roman"/>
        </w:rPr>
        <w:t> </w:t>
      </w:r>
      <w:r w:rsidRPr="0030364F">
        <w:rPr>
          <w:rFonts w:cs="Times New Roman"/>
        </w:rPr>
        <w:t>lietas;</w:t>
      </w:r>
    </w:p>
    <w:p w14:paraId="10B1A81F" w14:textId="0E636742" w:rsidR="00F36BD4" w:rsidRDefault="00F36BD4" w:rsidP="00E329FC">
      <w:pPr>
        <w:pStyle w:val="ListParagraph"/>
        <w:numPr>
          <w:ilvl w:val="0"/>
          <w:numId w:val="27"/>
        </w:numPr>
        <w:spacing w:after="0" w:line="240" w:lineRule="auto"/>
        <w:jc w:val="both"/>
        <w:rPr>
          <w:rFonts w:cs="Times New Roman"/>
        </w:rPr>
      </w:pPr>
      <w:r>
        <w:rPr>
          <w:rFonts w:cs="Times New Roman"/>
        </w:rPr>
        <w:t xml:space="preserve">korupcija – </w:t>
      </w:r>
      <w:r w:rsidRPr="00F67C42">
        <w:rPr>
          <w:rFonts w:cs="Times New Roman"/>
        </w:rPr>
        <w:t>2</w:t>
      </w:r>
      <w:r w:rsidR="00427731" w:rsidRPr="00F67C42">
        <w:rPr>
          <w:rFonts w:cs="Times New Roman"/>
        </w:rPr>
        <w:t> </w:t>
      </w:r>
      <w:r>
        <w:rPr>
          <w:rFonts w:cs="Times New Roman"/>
        </w:rPr>
        <w:t>lietas</w:t>
      </w:r>
      <w:r w:rsidR="00817B00">
        <w:rPr>
          <w:rFonts w:cs="Times New Roman"/>
        </w:rPr>
        <w:t>;</w:t>
      </w:r>
    </w:p>
    <w:p w14:paraId="0A8B74AC" w14:textId="3A50A748" w:rsidR="00F36BD4" w:rsidRPr="002960E0" w:rsidRDefault="00F36BD4" w:rsidP="00E329FC">
      <w:pPr>
        <w:pStyle w:val="ListParagraph"/>
        <w:numPr>
          <w:ilvl w:val="0"/>
          <w:numId w:val="27"/>
        </w:numPr>
        <w:spacing w:after="0" w:line="240" w:lineRule="auto"/>
        <w:jc w:val="both"/>
        <w:rPr>
          <w:rFonts w:cs="Times New Roman"/>
        </w:rPr>
      </w:pPr>
      <w:r>
        <w:rPr>
          <w:rFonts w:cs="Times New Roman"/>
        </w:rPr>
        <w:t>kā arī tādi nozi</w:t>
      </w:r>
      <w:r w:rsidR="00AF0E03">
        <w:rPr>
          <w:rFonts w:cs="Times New Roman"/>
        </w:rPr>
        <w:t>edzīgi nodarījumi</w:t>
      </w:r>
      <w:r>
        <w:rPr>
          <w:rFonts w:cs="Times New Roman"/>
        </w:rPr>
        <w:t xml:space="preserve"> kā </w:t>
      </w:r>
      <w:r w:rsidRPr="002960E0">
        <w:rPr>
          <w:rFonts w:cs="Times New Roman"/>
        </w:rPr>
        <w:t>izvairīšanās no nodokļu nomaksas,</w:t>
      </w:r>
      <w:r>
        <w:rPr>
          <w:rFonts w:cs="Times New Roman"/>
        </w:rPr>
        <w:t xml:space="preserve"> </w:t>
      </w:r>
      <w:r w:rsidRPr="002960E0">
        <w:rPr>
          <w:rFonts w:cs="Times New Roman"/>
        </w:rPr>
        <w:t>dokumentu viltošana</w:t>
      </w:r>
      <w:r>
        <w:rPr>
          <w:rFonts w:cs="Times New Roman"/>
        </w:rPr>
        <w:t>, cigarešu kontrabanda, kibernoziegumi</w:t>
      </w:r>
      <w:r w:rsidRPr="002960E0">
        <w:rPr>
          <w:rFonts w:cs="Times New Roman"/>
        </w:rPr>
        <w:t xml:space="preserve"> u.</w:t>
      </w:r>
      <w:r w:rsidR="00AF0E03">
        <w:rPr>
          <w:rFonts w:cs="Times New Roman"/>
        </w:rPr>
        <w:t> </w:t>
      </w:r>
      <w:r w:rsidRPr="002960E0">
        <w:rPr>
          <w:rFonts w:cs="Times New Roman"/>
        </w:rPr>
        <w:t xml:space="preserve">c. </w:t>
      </w:r>
    </w:p>
    <w:p w14:paraId="2307A1EF" w14:textId="77777777" w:rsidR="00F36BD4" w:rsidRDefault="00F36BD4" w:rsidP="00F36BD4">
      <w:pPr>
        <w:spacing w:after="0" w:line="240" w:lineRule="auto"/>
        <w:jc w:val="both"/>
        <w:rPr>
          <w:rFonts w:cs="Times New Roman"/>
        </w:rPr>
      </w:pPr>
    </w:p>
    <w:p w14:paraId="76DC112F" w14:textId="77777777" w:rsidR="00F36BD4" w:rsidRDefault="00F36BD4" w:rsidP="00AF0E03">
      <w:pPr>
        <w:spacing w:after="0" w:line="240" w:lineRule="auto"/>
        <w:ind w:firstLine="360"/>
        <w:jc w:val="both"/>
        <w:rPr>
          <w:rFonts w:cs="Times New Roman"/>
        </w:rPr>
      </w:pPr>
      <w:r>
        <w:rPr>
          <w:rFonts w:cs="Times New Roman"/>
        </w:rPr>
        <w:t>Analizējot Latvijas iestādēm sniegto atbalstu pēc krimināltiesiskās sadarbības lūgumu veida, pārliecinošā vairākumā gadījumu atbalsts sniegts Eiropas izmeklēšanas rīkojumu un tiesiskās palīdzības lūgumu izpildes veicināšanā un paātrināšanā. Tā atvērto lietu ietvaros palīdzība sniegta saistībā ar šādiem krimināltiesiskās sadarbības veidiem:</w:t>
      </w:r>
    </w:p>
    <w:p w14:paraId="738C1D39" w14:textId="240C7E56" w:rsidR="00F36BD4" w:rsidRPr="00F67C42" w:rsidRDefault="00F36BD4" w:rsidP="00E329FC">
      <w:pPr>
        <w:pStyle w:val="ListParagraph"/>
        <w:numPr>
          <w:ilvl w:val="0"/>
          <w:numId w:val="27"/>
        </w:numPr>
        <w:spacing w:after="0" w:line="240" w:lineRule="auto"/>
        <w:jc w:val="both"/>
        <w:rPr>
          <w:rFonts w:cs="Times New Roman"/>
        </w:rPr>
      </w:pPr>
      <w:r>
        <w:rPr>
          <w:rFonts w:cs="Times New Roman"/>
        </w:rPr>
        <w:t>Eiropas izmeklēšanas rīkojum</w:t>
      </w:r>
      <w:r w:rsidR="00817B00">
        <w:rPr>
          <w:rFonts w:cs="Times New Roman"/>
        </w:rPr>
        <w:t>s</w:t>
      </w:r>
      <w:r>
        <w:rPr>
          <w:rFonts w:cs="Times New Roman"/>
        </w:rPr>
        <w:t xml:space="preserve"> </w:t>
      </w:r>
      <w:r w:rsidR="00AF0E03">
        <w:rPr>
          <w:rFonts w:cs="Times New Roman"/>
        </w:rPr>
        <w:t>–</w:t>
      </w:r>
      <w:r>
        <w:rPr>
          <w:rFonts w:cs="Times New Roman"/>
        </w:rPr>
        <w:t xml:space="preserve"> </w:t>
      </w:r>
      <w:r w:rsidRPr="00F67C42">
        <w:rPr>
          <w:rFonts w:cs="Times New Roman"/>
        </w:rPr>
        <w:t>39</w:t>
      </w:r>
      <w:r w:rsidR="00AF0E03" w:rsidRPr="00F67C42">
        <w:rPr>
          <w:rFonts w:cs="Times New Roman"/>
        </w:rPr>
        <w:t> </w:t>
      </w:r>
      <w:r w:rsidRPr="00F67C42">
        <w:rPr>
          <w:rFonts w:cs="Times New Roman"/>
        </w:rPr>
        <w:t>liet</w:t>
      </w:r>
      <w:r w:rsidR="00AF0E03" w:rsidRPr="00F67C42">
        <w:rPr>
          <w:rFonts w:cs="Times New Roman"/>
        </w:rPr>
        <w:t>ā</w:t>
      </w:r>
      <w:r w:rsidRPr="00F67C42">
        <w:rPr>
          <w:rFonts w:cs="Times New Roman"/>
        </w:rPr>
        <w:t>s;</w:t>
      </w:r>
    </w:p>
    <w:p w14:paraId="614A1C4D" w14:textId="35D4FFDC"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tiesiskās palīdzības lūgum</w:t>
      </w:r>
      <w:r w:rsidR="00817B00" w:rsidRPr="00F67C42">
        <w:rPr>
          <w:rFonts w:cs="Times New Roman"/>
        </w:rPr>
        <w:t xml:space="preserve">s </w:t>
      </w:r>
      <w:r w:rsidR="00AF0E03" w:rsidRPr="00F67C42">
        <w:rPr>
          <w:rFonts w:cs="Times New Roman"/>
        </w:rPr>
        <w:t>–</w:t>
      </w:r>
      <w:r w:rsidRPr="00F67C42">
        <w:rPr>
          <w:rFonts w:cs="Times New Roman"/>
        </w:rPr>
        <w:t xml:space="preserve"> 19</w:t>
      </w:r>
      <w:r w:rsidR="00AF0E03" w:rsidRPr="00F67C42">
        <w:rPr>
          <w:rFonts w:cs="Times New Roman"/>
        </w:rPr>
        <w:t> </w:t>
      </w:r>
      <w:r w:rsidRPr="00F67C42">
        <w:rPr>
          <w:rFonts w:cs="Times New Roman"/>
        </w:rPr>
        <w:t>liet</w:t>
      </w:r>
      <w:r w:rsidR="00AF0E03" w:rsidRPr="00F67C42">
        <w:rPr>
          <w:rFonts w:cs="Times New Roman"/>
        </w:rPr>
        <w:t>ā</w:t>
      </w:r>
      <w:r w:rsidRPr="00F67C42">
        <w:rPr>
          <w:rFonts w:cs="Times New Roman"/>
        </w:rPr>
        <w:t>s;</w:t>
      </w:r>
    </w:p>
    <w:p w14:paraId="732C94E7" w14:textId="39CBC373"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kriminālprocesa nodošana – 3</w:t>
      </w:r>
      <w:r w:rsidR="00817B00" w:rsidRPr="00F67C42">
        <w:rPr>
          <w:rFonts w:cs="Times New Roman"/>
        </w:rPr>
        <w:t> </w:t>
      </w:r>
      <w:r w:rsidRPr="00F67C42">
        <w:rPr>
          <w:rFonts w:cs="Times New Roman"/>
        </w:rPr>
        <w:t>liet</w:t>
      </w:r>
      <w:r w:rsidR="00817B00" w:rsidRPr="00F67C42">
        <w:rPr>
          <w:rFonts w:cs="Times New Roman"/>
        </w:rPr>
        <w:t>ā</w:t>
      </w:r>
      <w:r w:rsidRPr="00F67C42">
        <w:rPr>
          <w:rFonts w:cs="Times New Roman"/>
        </w:rPr>
        <w:t>s;</w:t>
      </w:r>
    </w:p>
    <w:p w14:paraId="10596772" w14:textId="584FF47E"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Eiropas apcietināšanas orderis – 1</w:t>
      </w:r>
      <w:r w:rsidR="00817B00" w:rsidRPr="00F67C42">
        <w:rPr>
          <w:rFonts w:cs="Times New Roman"/>
        </w:rPr>
        <w:t> </w:t>
      </w:r>
      <w:r w:rsidRPr="00F67C42">
        <w:rPr>
          <w:rFonts w:cs="Times New Roman"/>
        </w:rPr>
        <w:t>liet</w:t>
      </w:r>
      <w:r w:rsidR="00817B00" w:rsidRPr="00F67C42">
        <w:rPr>
          <w:rFonts w:cs="Times New Roman"/>
        </w:rPr>
        <w:t>ā;</w:t>
      </w:r>
      <w:r w:rsidRPr="00F67C42">
        <w:rPr>
          <w:rFonts w:cs="Times New Roman"/>
        </w:rPr>
        <w:t xml:space="preserve"> </w:t>
      </w:r>
    </w:p>
    <w:p w14:paraId="50E227E7" w14:textId="79235882"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noziedzīgi iegūtu līdzekļu atgūšana – 1</w:t>
      </w:r>
      <w:r w:rsidR="00817B00" w:rsidRPr="00F67C42">
        <w:rPr>
          <w:rFonts w:cs="Times New Roman"/>
        </w:rPr>
        <w:t> </w:t>
      </w:r>
      <w:r w:rsidRPr="00F67C42">
        <w:rPr>
          <w:rFonts w:cs="Times New Roman"/>
        </w:rPr>
        <w:t>liet</w:t>
      </w:r>
      <w:r w:rsidR="00817B00" w:rsidRPr="00F67C42">
        <w:rPr>
          <w:rFonts w:cs="Times New Roman"/>
        </w:rPr>
        <w:t>ā</w:t>
      </w:r>
      <w:r w:rsidRPr="00F67C42">
        <w:rPr>
          <w:rFonts w:cs="Times New Roman"/>
        </w:rPr>
        <w:t>;</w:t>
      </w:r>
    </w:p>
    <w:p w14:paraId="0F219832" w14:textId="0F2019BC"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cita veida informācijas iegūšana, kas nepieciešama konkrētajā kriminālprocesā – 7</w:t>
      </w:r>
      <w:r w:rsidR="00817B00" w:rsidRPr="00F67C42">
        <w:rPr>
          <w:rFonts w:cs="Times New Roman"/>
        </w:rPr>
        <w:t> </w:t>
      </w:r>
      <w:r w:rsidRPr="00F67C42">
        <w:rPr>
          <w:rFonts w:cs="Times New Roman"/>
        </w:rPr>
        <w:t>liet</w:t>
      </w:r>
      <w:r w:rsidR="00817B00" w:rsidRPr="00F67C42">
        <w:rPr>
          <w:rFonts w:cs="Times New Roman"/>
        </w:rPr>
        <w:t>ā</w:t>
      </w:r>
      <w:r w:rsidRPr="00F67C42">
        <w:rPr>
          <w:rFonts w:cs="Times New Roman"/>
        </w:rPr>
        <w:t xml:space="preserve">s. </w:t>
      </w:r>
    </w:p>
    <w:p w14:paraId="16D87063" w14:textId="77777777" w:rsidR="00F36BD4" w:rsidRDefault="00F36BD4" w:rsidP="00F36BD4">
      <w:pPr>
        <w:spacing w:after="0" w:line="240" w:lineRule="auto"/>
        <w:jc w:val="both"/>
        <w:rPr>
          <w:rFonts w:cs="Times New Roman"/>
        </w:rPr>
      </w:pPr>
    </w:p>
    <w:p w14:paraId="085C3E9D" w14:textId="14EFD24E" w:rsidR="00F36BD4" w:rsidRDefault="00F36BD4" w:rsidP="00817B00">
      <w:pPr>
        <w:spacing w:after="0" w:line="240" w:lineRule="auto"/>
        <w:ind w:firstLine="360"/>
        <w:jc w:val="both"/>
        <w:rPr>
          <w:rFonts w:cs="Times New Roman"/>
        </w:rPr>
      </w:pPr>
      <w:r>
        <w:rPr>
          <w:rFonts w:cs="Times New Roman"/>
        </w:rPr>
        <w:lastRenderedPageBreak/>
        <w:t>Krimināltiesisko sadarbību 2020.</w:t>
      </w:r>
      <w:r w:rsidR="00817B00">
        <w:rPr>
          <w:rFonts w:cs="Times New Roman"/>
        </w:rPr>
        <w:t> </w:t>
      </w:r>
      <w:r>
        <w:rPr>
          <w:rFonts w:cs="Times New Roman"/>
        </w:rPr>
        <w:t>gadā būtiski ietekmējusi arī C</w:t>
      </w:r>
      <w:r w:rsidR="00817B00">
        <w:rPr>
          <w:rFonts w:cs="Times New Roman"/>
        </w:rPr>
        <w:t>ovid</w:t>
      </w:r>
      <w:r>
        <w:rPr>
          <w:rFonts w:cs="Times New Roman"/>
        </w:rPr>
        <w:t xml:space="preserve">-19 krīze un ar to saistītie drošības pasākumi un ierobežojumi. Minētā iemesla dēļ </w:t>
      </w:r>
      <w:proofErr w:type="spellStart"/>
      <w:r>
        <w:rPr>
          <w:rFonts w:cs="Times New Roman"/>
        </w:rPr>
        <w:t>Eirojusta</w:t>
      </w:r>
      <w:proofErr w:type="spellEnd"/>
      <w:r>
        <w:rPr>
          <w:rFonts w:cs="Times New Roman"/>
        </w:rPr>
        <w:t xml:space="preserve"> loma ir pieaugusi, jo visām valstīm ir bijis nepieciešams meklēt reizēm pat neordinārus risinājumus, lai nodrošinātu justīciju un kriminālprocesa mērķu sasniegšanu. </w:t>
      </w:r>
    </w:p>
    <w:p w14:paraId="6CAFC044" w14:textId="77777777" w:rsidR="000B08ED" w:rsidRDefault="00F36BD4" w:rsidP="000B08ED">
      <w:pPr>
        <w:spacing w:after="0" w:line="240" w:lineRule="auto"/>
        <w:ind w:firstLine="360"/>
        <w:jc w:val="both"/>
        <w:rPr>
          <w:rFonts w:cs="Times New Roman"/>
        </w:rPr>
      </w:pPr>
      <w:r>
        <w:rPr>
          <w:rFonts w:cs="Times New Roman"/>
        </w:rPr>
        <w:t>Kā pozitīvu piemēru var minēt atbalsta sniegšanu Zemgales rajona tiesai krimināllietas iztiesāšanā, apsūdzētajam atrodoties ārvalstīs</w:t>
      </w:r>
      <w:r w:rsidR="000B08ED">
        <w:rPr>
          <w:rFonts w:cs="Times New Roman"/>
        </w:rPr>
        <w:t xml:space="preserve">, </w:t>
      </w:r>
      <w:r>
        <w:rPr>
          <w:rFonts w:cs="Times New Roman"/>
        </w:rPr>
        <w:t xml:space="preserve">bez laikietilpīgā un dārgā </w:t>
      </w:r>
      <w:r w:rsidR="000B08ED">
        <w:rPr>
          <w:rFonts w:cs="Times New Roman"/>
        </w:rPr>
        <w:t xml:space="preserve">apsūdzētās personas </w:t>
      </w:r>
      <w:r>
        <w:rPr>
          <w:rFonts w:cs="Times New Roman"/>
        </w:rPr>
        <w:t>izdošanas mehānisma.</w:t>
      </w:r>
      <w:r w:rsidR="000B08ED">
        <w:rPr>
          <w:rFonts w:cs="Times New Roman"/>
        </w:rPr>
        <w:t xml:space="preserve"> </w:t>
      </w:r>
    </w:p>
    <w:p w14:paraId="45EF9E0D" w14:textId="3163166A" w:rsidR="00F36BD4" w:rsidRPr="004959AB" w:rsidRDefault="00AA4B55" w:rsidP="000B08ED">
      <w:pPr>
        <w:spacing w:after="0" w:line="240" w:lineRule="auto"/>
        <w:jc w:val="both"/>
        <w:rPr>
          <w:rFonts w:cs="Times New Roman"/>
        </w:rPr>
      </w:pPr>
      <w:hyperlink r:id="rId215" w:history="1">
        <w:r w:rsidR="000B08ED" w:rsidRPr="006E6794">
          <w:rPr>
            <w:rStyle w:val="Hyperlink"/>
            <w:rFonts w:cs="Times New Roman"/>
          </w:rPr>
          <w:t>https://www.tiesas.lv/aktualitates/pozitiva-pieredze-kriminallietas-iztiesasana-izmantojot-eurojust-parstavniecibu-9628</w:t>
        </w:r>
      </w:hyperlink>
      <w:r w:rsidR="00F36BD4">
        <w:rPr>
          <w:rFonts w:cs="Times New Roman"/>
        </w:rPr>
        <w:t xml:space="preserve"> </w:t>
      </w:r>
    </w:p>
    <w:p w14:paraId="148F40CD" w14:textId="77777777" w:rsidR="00F36BD4" w:rsidRPr="00CC2F55" w:rsidRDefault="00F36BD4" w:rsidP="00F36BD4">
      <w:pPr>
        <w:pStyle w:val="ListParagraph"/>
        <w:spacing w:after="0" w:line="240" w:lineRule="auto"/>
        <w:jc w:val="both"/>
        <w:rPr>
          <w:rFonts w:cs="Times New Roman"/>
        </w:rPr>
      </w:pPr>
    </w:p>
    <w:p w14:paraId="56B5B769" w14:textId="54CB21E9" w:rsidR="00F36BD4" w:rsidRPr="00F67C42" w:rsidRDefault="00F36BD4" w:rsidP="000B08ED">
      <w:pPr>
        <w:spacing w:after="0" w:line="240" w:lineRule="auto"/>
        <w:ind w:firstLine="720"/>
        <w:jc w:val="both"/>
        <w:rPr>
          <w:rFonts w:cs="Times New Roman"/>
        </w:rPr>
      </w:pPr>
      <w:r w:rsidRPr="00080D71">
        <w:rPr>
          <w:rFonts w:cs="Times New Roman"/>
        </w:rPr>
        <w:t xml:space="preserve">Citas valstis pie Latvijas pārstāvniecības šajā periodā ir vērsušās </w:t>
      </w:r>
      <w:r>
        <w:rPr>
          <w:rFonts w:cs="Times New Roman"/>
        </w:rPr>
        <w:t xml:space="preserve">kopumā </w:t>
      </w:r>
      <w:r w:rsidRPr="00F67C42">
        <w:rPr>
          <w:rFonts w:cs="Times New Roman"/>
        </w:rPr>
        <w:t>49</w:t>
      </w:r>
      <w:r w:rsidR="000B08ED" w:rsidRPr="00F67C42">
        <w:rPr>
          <w:rFonts w:cs="Times New Roman"/>
        </w:rPr>
        <w:t> </w:t>
      </w:r>
      <w:r w:rsidRPr="00F67C42">
        <w:rPr>
          <w:rFonts w:cs="Times New Roman"/>
        </w:rPr>
        <w:t>lietās</w:t>
      </w:r>
      <w:r w:rsidR="000B08ED" w:rsidRPr="00F67C42">
        <w:rPr>
          <w:rFonts w:cs="Times New Roman"/>
        </w:rPr>
        <w:t xml:space="preserve">, no tām </w:t>
      </w:r>
      <w:r w:rsidRPr="00F67C42">
        <w:rPr>
          <w:rFonts w:cs="Times New Roman"/>
        </w:rPr>
        <w:t>44</w:t>
      </w:r>
      <w:r w:rsidR="000B08ED" w:rsidRPr="00F67C42">
        <w:rPr>
          <w:rFonts w:cs="Times New Roman"/>
        </w:rPr>
        <w:t> </w:t>
      </w:r>
      <w:r w:rsidRPr="00F67C42">
        <w:rPr>
          <w:rFonts w:cs="Times New Roman"/>
        </w:rPr>
        <w:t>lietas atvērtas konkrētu krimināllietu ietvaros  un 5</w:t>
      </w:r>
      <w:r w:rsidR="000B08ED" w:rsidRPr="00F67C42">
        <w:rPr>
          <w:rFonts w:cs="Times New Roman"/>
        </w:rPr>
        <w:t> </w:t>
      </w:r>
      <w:r w:rsidRPr="00F67C42">
        <w:rPr>
          <w:rFonts w:cs="Times New Roman"/>
        </w:rPr>
        <w:t>lietas</w:t>
      </w:r>
      <w:r w:rsidR="000B08ED" w:rsidRPr="00F67C42">
        <w:rPr>
          <w:rFonts w:cs="Times New Roman"/>
        </w:rPr>
        <w:t xml:space="preserve"> – </w:t>
      </w:r>
      <w:r w:rsidRPr="00F67C42">
        <w:rPr>
          <w:rFonts w:cs="Times New Roman"/>
        </w:rPr>
        <w:t xml:space="preserve">par nacionālo regulējumu konkrētā juridiskā situācijā. </w:t>
      </w:r>
    </w:p>
    <w:p w14:paraId="144A272A" w14:textId="77777777" w:rsidR="00F36BD4" w:rsidRPr="00F67C42" w:rsidRDefault="00F36BD4" w:rsidP="0087191D">
      <w:pPr>
        <w:spacing w:after="0" w:line="240" w:lineRule="auto"/>
        <w:ind w:firstLine="360"/>
        <w:jc w:val="both"/>
        <w:rPr>
          <w:rFonts w:cs="Times New Roman"/>
        </w:rPr>
      </w:pPr>
      <w:r w:rsidRPr="00F67C42">
        <w:rPr>
          <w:rFonts w:cs="Times New Roman"/>
          <w:u w:val="single"/>
        </w:rPr>
        <w:t>Latvijas pārstāvniecība minēto 49 lietu ietvaros atbalstu un palīdzību sniegusi šādām valstīm</w:t>
      </w:r>
      <w:r w:rsidRPr="00F67C42">
        <w:rPr>
          <w:rFonts w:cs="Times New Roman"/>
        </w:rPr>
        <w:t>:</w:t>
      </w:r>
    </w:p>
    <w:p w14:paraId="7BCD3EEF" w14:textId="2CDA51AD"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Francija</w:t>
      </w:r>
      <w:r w:rsidR="0087191D" w:rsidRPr="00F67C42">
        <w:rPr>
          <w:rFonts w:cs="Times New Roman"/>
        </w:rPr>
        <w:t>i</w:t>
      </w:r>
      <w:r w:rsidRPr="00F67C42">
        <w:rPr>
          <w:rFonts w:cs="Times New Roman"/>
        </w:rPr>
        <w:t>, Zviedrija</w:t>
      </w:r>
      <w:r w:rsidR="0087191D" w:rsidRPr="00F67C42">
        <w:rPr>
          <w:rFonts w:cs="Times New Roman"/>
        </w:rPr>
        <w:t>i</w:t>
      </w:r>
      <w:r w:rsidRPr="00F67C42">
        <w:rPr>
          <w:rFonts w:cs="Times New Roman"/>
        </w:rPr>
        <w:t xml:space="preserve"> – katrai 5</w:t>
      </w:r>
      <w:r w:rsidR="0087191D" w:rsidRPr="00F67C42">
        <w:rPr>
          <w:rFonts w:cs="Times New Roman"/>
        </w:rPr>
        <w:t> </w:t>
      </w:r>
      <w:r w:rsidRPr="00F67C42">
        <w:rPr>
          <w:rFonts w:cs="Times New Roman"/>
        </w:rPr>
        <w:t>lietās;</w:t>
      </w:r>
    </w:p>
    <w:p w14:paraId="0BF45E5F" w14:textId="475A97DD"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Igaunija</w:t>
      </w:r>
      <w:r w:rsidR="0087191D" w:rsidRPr="00F67C42">
        <w:rPr>
          <w:rFonts w:cs="Times New Roman"/>
        </w:rPr>
        <w:t>i</w:t>
      </w:r>
      <w:r w:rsidRPr="00F67C42">
        <w:rPr>
          <w:rFonts w:cs="Times New Roman"/>
        </w:rPr>
        <w:t>, Austrija</w:t>
      </w:r>
      <w:r w:rsidR="0087191D" w:rsidRPr="00F67C42">
        <w:rPr>
          <w:rFonts w:cs="Times New Roman"/>
        </w:rPr>
        <w:t>i</w:t>
      </w:r>
      <w:r w:rsidRPr="00F67C42">
        <w:rPr>
          <w:rFonts w:cs="Times New Roman"/>
        </w:rPr>
        <w:t xml:space="preserve"> – katrai 4</w:t>
      </w:r>
      <w:r w:rsidR="0087191D" w:rsidRPr="00F67C42">
        <w:rPr>
          <w:rFonts w:cs="Times New Roman"/>
        </w:rPr>
        <w:t> </w:t>
      </w:r>
      <w:r w:rsidRPr="00F67C42">
        <w:rPr>
          <w:rFonts w:cs="Times New Roman"/>
        </w:rPr>
        <w:t>lietās;</w:t>
      </w:r>
    </w:p>
    <w:p w14:paraId="38D52C9E" w14:textId="6769EBC4"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Vācija</w:t>
      </w:r>
      <w:r w:rsidR="0087191D" w:rsidRPr="00F67C42">
        <w:rPr>
          <w:rFonts w:cs="Times New Roman"/>
        </w:rPr>
        <w:t>i</w:t>
      </w:r>
      <w:r w:rsidRPr="00F67C42">
        <w:rPr>
          <w:rFonts w:cs="Times New Roman"/>
        </w:rPr>
        <w:t>, Portugāle</w:t>
      </w:r>
      <w:r w:rsidR="0087191D" w:rsidRPr="00F67C42">
        <w:rPr>
          <w:rFonts w:cs="Times New Roman"/>
        </w:rPr>
        <w:t>i</w:t>
      </w:r>
      <w:r w:rsidRPr="00F67C42">
        <w:rPr>
          <w:rFonts w:cs="Times New Roman"/>
        </w:rPr>
        <w:t>, Somija</w:t>
      </w:r>
      <w:r w:rsidR="0087191D" w:rsidRPr="00F67C42">
        <w:rPr>
          <w:rFonts w:cs="Times New Roman"/>
        </w:rPr>
        <w:t>i</w:t>
      </w:r>
      <w:r w:rsidRPr="00F67C42">
        <w:rPr>
          <w:rFonts w:cs="Times New Roman"/>
        </w:rPr>
        <w:t>, Šveice</w:t>
      </w:r>
      <w:r w:rsidR="0087191D" w:rsidRPr="00F67C42">
        <w:rPr>
          <w:rFonts w:cs="Times New Roman"/>
        </w:rPr>
        <w:t>i</w:t>
      </w:r>
      <w:r w:rsidRPr="00F67C42">
        <w:rPr>
          <w:rFonts w:cs="Times New Roman"/>
        </w:rPr>
        <w:t xml:space="preserve"> – katrai 3</w:t>
      </w:r>
      <w:r w:rsidR="0087191D" w:rsidRPr="00F67C42">
        <w:rPr>
          <w:rFonts w:cs="Times New Roman"/>
        </w:rPr>
        <w:t> </w:t>
      </w:r>
      <w:r w:rsidRPr="00F67C42">
        <w:rPr>
          <w:rFonts w:cs="Times New Roman"/>
        </w:rPr>
        <w:t>lietās;</w:t>
      </w:r>
    </w:p>
    <w:p w14:paraId="651D7586" w14:textId="37137558"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Beļģija</w:t>
      </w:r>
      <w:r w:rsidR="0087191D" w:rsidRPr="00F67C42">
        <w:rPr>
          <w:rFonts w:cs="Times New Roman"/>
        </w:rPr>
        <w:t>i</w:t>
      </w:r>
      <w:r w:rsidRPr="00F67C42">
        <w:rPr>
          <w:rFonts w:cs="Times New Roman"/>
        </w:rPr>
        <w:t>, Spānija</w:t>
      </w:r>
      <w:r w:rsidR="0087191D" w:rsidRPr="00F67C42">
        <w:rPr>
          <w:rFonts w:cs="Times New Roman"/>
        </w:rPr>
        <w:t>i</w:t>
      </w:r>
      <w:r w:rsidRPr="00F67C42">
        <w:rPr>
          <w:rFonts w:cs="Times New Roman"/>
        </w:rPr>
        <w:t>, Itālija</w:t>
      </w:r>
      <w:r w:rsidR="0087191D" w:rsidRPr="00F67C42">
        <w:rPr>
          <w:rFonts w:cs="Times New Roman"/>
        </w:rPr>
        <w:t>i</w:t>
      </w:r>
      <w:r w:rsidRPr="00F67C42">
        <w:rPr>
          <w:rFonts w:cs="Times New Roman"/>
        </w:rPr>
        <w:t>, Lietuva</w:t>
      </w:r>
      <w:r w:rsidR="0087191D" w:rsidRPr="00F67C42">
        <w:rPr>
          <w:rFonts w:cs="Times New Roman"/>
        </w:rPr>
        <w:t>i</w:t>
      </w:r>
      <w:r w:rsidRPr="00F67C42">
        <w:rPr>
          <w:rFonts w:cs="Times New Roman"/>
        </w:rPr>
        <w:t>, Norvēģija</w:t>
      </w:r>
      <w:r w:rsidR="0087191D" w:rsidRPr="00F67C42">
        <w:rPr>
          <w:rFonts w:cs="Times New Roman"/>
        </w:rPr>
        <w:t>i</w:t>
      </w:r>
      <w:r w:rsidRPr="00F67C42">
        <w:rPr>
          <w:rFonts w:cs="Times New Roman"/>
        </w:rPr>
        <w:t xml:space="preserve"> – katrai 2</w:t>
      </w:r>
      <w:r w:rsidR="0087191D" w:rsidRPr="00F67C42">
        <w:rPr>
          <w:rFonts w:cs="Times New Roman"/>
        </w:rPr>
        <w:t> </w:t>
      </w:r>
      <w:r w:rsidRPr="00F67C42">
        <w:rPr>
          <w:rFonts w:cs="Times New Roman"/>
        </w:rPr>
        <w:t>lietās;</w:t>
      </w:r>
    </w:p>
    <w:p w14:paraId="36328480" w14:textId="1C1D0553" w:rsidR="00F36BD4" w:rsidRPr="00F67C42" w:rsidRDefault="00F36BD4" w:rsidP="00E329FC">
      <w:pPr>
        <w:pStyle w:val="ListParagraph"/>
        <w:numPr>
          <w:ilvl w:val="0"/>
          <w:numId w:val="27"/>
        </w:numPr>
        <w:spacing w:after="0" w:line="240" w:lineRule="auto"/>
        <w:jc w:val="both"/>
        <w:rPr>
          <w:rFonts w:cs="Times New Roman"/>
        </w:rPr>
      </w:pPr>
      <w:r w:rsidRPr="00F67C42">
        <w:rPr>
          <w:rFonts w:cs="Times New Roman"/>
        </w:rPr>
        <w:t>Bulgārija</w:t>
      </w:r>
      <w:r w:rsidR="0087191D" w:rsidRPr="00F67C42">
        <w:rPr>
          <w:rFonts w:cs="Times New Roman"/>
        </w:rPr>
        <w:t>i</w:t>
      </w:r>
      <w:r w:rsidRPr="00F67C42">
        <w:rPr>
          <w:rFonts w:cs="Times New Roman"/>
        </w:rPr>
        <w:t>, Ungārija</w:t>
      </w:r>
      <w:r w:rsidR="0087191D" w:rsidRPr="00F67C42">
        <w:rPr>
          <w:rFonts w:cs="Times New Roman"/>
        </w:rPr>
        <w:t>i</w:t>
      </w:r>
      <w:r w:rsidRPr="00F67C42">
        <w:rPr>
          <w:rFonts w:cs="Times New Roman"/>
        </w:rPr>
        <w:t>, Nīderlande</w:t>
      </w:r>
      <w:r w:rsidR="0087191D" w:rsidRPr="00F67C42">
        <w:rPr>
          <w:rFonts w:cs="Times New Roman"/>
        </w:rPr>
        <w:t>i</w:t>
      </w:r>
      <w:r w:rsidRPr="00F67C42">
        <w:rPr>
          <w:rFonts w:cs="Times New Roman"/>
        </w:rPr>
        <w:t>, Polija</w:t>
      </w:r>
      <w:r w:rsidR="0087191D" w:rsidRPr="00F67C42">
        <w:rPr>
          <w:rFonts w:cs="Times New Roman"/>
        </w:rPr>
        <w:t>i</w:t>
      </w:r>
      <w:r w:rsidRPr="00F67C42">
        <w:rPr>
          <w:rFonts w:cs="Times New Roman"/>
        </w:rPr>
        <w:t>, Rumānija</w:t>
      </w:r>
      <w:r w:rsidR="0087191D" w:rsidRPr="00F67C42">
        <w:rPr>
          <w:rFonts w:cs="Times New Roman"/>
        </w:rPr>
        <w:t>i</w:t>
      </w:r>
      <w:r w:rsidRPr="00F67C42">
        <w:rPr>
          <w:rFonts w:cs="Times New Roman"/>
        </w:rPr>
        <w:t>, Slovākija</w:t>
      </w:r>
      <w:r w:rsidR="0087191D" w:rsidRPr="00F67C42">
        <w:rPr>
          <w:rFonts w:cs="Times New Roman"/>
        </w:rPr>
        <w:t>i</w:t>
      </w:r>
      <w:r w:rsidRPr="00F67C42">
        <w:rPr>
          <w:rFonts w:cs="Times New Roman"/>
        </w:rPr>
        <w:t>, Gruzija</w:t>
      </w:r>
      <w:r w:rsidR="0087191D" w:rsidRPr="00F67C42">
        <w:rPr>
          <w:rFonts w:cs="Times New Roman"/>
        </w:rPr>
        <w:t>i</w:t>
      </w:r>
      <w:r w:rsidRPr="00F67C42">
        <w:rPr>
          <w:rFonts w:cs="Times New Roman"/>
        </w:rPr>
        <w:t>, Melnkalne</w:t>
      </w:r>
      <w:r w:rsidR="0087191D" w:rsidRPr="00F67C42">
        <w:rPr>
          <w:rFonts w:cs="Times New Roman"/>
        </w:rPr>
        <w:t>i</w:t>
      </w:r>
      <w:r w:rsidRPr="00F67C42">
        <w:rPr>
          <w:rFonts w:cs="Times New Roman"/>
        </w:rPr>
        <w:t>, ASV</w:t>
      </w:r>
      <w:r w:rsidR="0087191D" w:rsidRPr="00F67C42">
        <w:rPr>
          <w:rFonts w:cs="Times New Roman"/>
        </w:rPr>
        <w:t xml:space="preserve"> – </w:t>
      </w:r>
      <w:r w:rsidRPr="00F67C42">
        <w:rPr>
          <w:rFonts w:cs="Times New Roman"/>
        </w:rPr>
        <w:t>katrai 1</w:t>
      </w:r>
      <w:r w:rsidR="0087191D" w:rsidRPr="00F67C42">
        <w:rPr>
          <w:rFonts w:cs="Times New Roman"/>
        </w:rPr>
        <w:t> </w:t>
      </w:r>
      <w:r w:rsidRPr="00F67C42">
        <w:rPr>
          <w:rFonts w:cs="Times New Roman"/>
        </w:rPr>
        <w:t>lietā.</w:t>
      </w:r>
    </w:p>
    <w:p w14:paraId="4B11EEC7" w14:textId="6862DCA0" w:rsidR="00F36BD4" w:rsidRPr="006477DC" w:rsidRDefault="00F36BD4" w:rsidP="007B6731">
      <w:pPr>
        <w:spacing w:after="120" w:line="240" w:lineRule="auto"/>
        <w:ind w:hanging="11"/>
        <w:jc w:val="both"/>
        <w:rPr>
          <w:rFonts w:cs="Times New Roman"/>
        </w:rPr>
      </w:pPr>
      <w:r w:rsidRPr="00F67C42">
        <w:t>Darbs notiek arī pie 137</w:t>
      </w:r>
      <w:r w:rsidR="0087191D" w:rsidRPr="00F67C42">
        <w:t> </w:t>
      </w:r>
      <w:r w:rsidRPr="00F67C42">
        <w:t>iepriekšējos gados atvērtajām lietām, kur atbalsts sadarbības</w:t>
      </w:r>
      <w:r w:rsidRPr="006477DC">
        <w:t xml:space="preserve"> veicināšanai joprojām var būt nepieciešams.</w:t>
      </w:r>
    </w:p>
    <w:p w14:paraId="0A021EB0" w14:textId="3F5DAA16" w:rsidR="00F36BD4" w:rsidRDefault="00DC2ED6" w:rsidP="007B6731">
      <w:pPr>
        <w:spacing w:after="0" w:line="240" w:lineRule="auto"/>
        <w:jc w:val="center"/>
        <w:rPr>
          <w:rFonts w:cs="Times New Roman"/>
        </w:rPr>
      </w:pPr>
      <w:r w:rsidRPr="00F81D76">
        <w:rPr>
          <w:noProof/>
          <w:lang w:eastAsia="en-GB"/>
        </w:rPr>
        <w:drawing>
          <wp:inline distT="0" distB="0" distL="0" distR="0" wp14:anchorId="3F67EA74" wp14:editId="6B608795">
            <wp:extent cx="5554980" cy="3341370"/>
            <wp:effectExtent l="0" t="0" r="7620" b="0"/>
            <wp:docPr id="199" name="Picture 199" descr="C:\Users\dskudra\Work folders\Desktop\Statistics_2020_Latvia_jpg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skudra\Work folders\Desktop\Statistics_2020_Latvia_jpg_Page_0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554980" cy="3341370"/>
                    </a:xfrm>
                    <a:prstGeom prst="rect">
                      <a:avLst/>
                    </a:prstGeom>
                    <a:noFill/>
                    <a:ln>
                      <a:noFill/>
                    </a:ln>
                  </pic:spPr>
                </pic:pic>
              </a:graphicData>
            </a:graphic>
          </wp:inline>
        </w:drawing>
      </w:r>
    </w:p>
    <w:p w14:paraId="0752DA46" w14:textId="77777777" w:rsidR="00630244" w:rsidRDefault="00630244" w:rsidP="007B6731">
      <w:pPr>
        <w:spacing w:after="0" w:line="240" w:lineRule="auto"/>
        <w:jc w:val="center"/>
        <w:rPr>
          <w:rFonts w:cs="Times New Roman"/>
        </w:rPr>
      </w:pPr>
    </w:p>
    <w:p w14:paraId="0E6009FA" w14:textId="77ACE531" w:rsidR="00F36BD4" w:rsidRDefault="00F36BD4" w:rsidP="00800EF2">
      <w:pPr>
        <w:spacing w:after="0" w:line="240" w:lineRule="auto"/>
        <w:ind w:firstLine="720"/>
        <w:jc w:val="both"/>
        <w:rPr>
          <w:rFonts w:cs="Times New Roman"/>
        </w:rPr>
      </w:pPr>
      <w:r>
        <w:rPr>
          <w:rFonts w:cs="Times New Roman"/>
        </w:rPr>
        <w:t>Salīdzinot ar 2019.</w:t>
      </w:r>
      <w:r w:rsidR="00800EF2">
        <w:rPr>
          <w:rFonts w:cs="Times New Roman"/>
        </w:rPr>
        <w:t> </w:t>
      </w:r>
      <w:r>
        <w:rPr>
          <w:rFonts w:cs="Times New Roman"/>
        </w:rPr>
        <w:t>gadu, kopējais atbalstāmo gan ārvalstu, gan Latvijas lietu skaits ir audzis par 13</w:t>
      </w:r>
      <w:r w:rsidR="00800EF2">
        <w:rPr>
          <w:rFonts w:cs="Times New Roman"/>
        </w:rPr>
        <w:t> </w:t>
      </w:r>
      <w:r>
        <w:rPr>
          <w:rFonts w:cs="Times New Roman"/>
        </w:rPr>
        <w:t xml:space="preserve">%. </w:t>
      </w:r>
    </w:p>
    <w:p w14:paraId="156B6C9A" w14:textId="6B397B37" w:rsidR="00F36BD4" w:rsidRDefault="00DC2ED6" w:rsidP="007B6731">
      <w:pPr>
        <w:spacing w:after="0" w:line="240" w:lineRule="auto"/>
        <w:jc w:val="center"/>
        <w:rPr>
          <w:rFonts w:cs="Times New Roman"/>
        </w:rPr>
      </w:pPr>
      <w:r w:rsidRPr="00660BD1">
        <w:rPr>
          <w:rFonts w:cs="Times New Roman"/>
          <w:noProof/>
          <w:lang w:eastAsia="en-GB"/>
        </w:rPr>
        <w:lastRenderedPageBreak/>
        <w:drawing>
          <wp:inline distT="0" distB="0" distL="0" distR="0" wp14:anchorId="324BD5A2" wp14:editId="7763F5BA">
            <wp:extent cx="5539740" cy="3341370"/>
            <wp:effectExtent l="0" t="0" r="3810" b="0"/>
            <wp:docPr id="200" name="Picture 200" descr="C:\Users\dskudra\Work folders\Desktop\Statistics_2020_Latvia_jpg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skudra\Work folders\Desktop\Statistics_2020_Latvia_jpg_Page_02.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539740" cy="3341370"/>
                    </a:xfrm>
                    <a:prstGeom prst="rect">
                      <a:avLst/>
                    </a:prstGeom>
                    <a:noFill/>
                    <a:ln>
                      <a:noFill/>
                    </a:ln>
                  </pic:spPr>
                </pic:pic>
              </a:graphicData>
            </a:graphic>
          </wp:inline>
        </w:drawing>
      </w:r>
    </w:p>
    <w:p w14:paraId="1738ECA9" w14:textId="77777777" w:rsidR="007B6731" w:rsidRDefault="007B6731" w:rsidP="007B6731">
      <w:pPr>
        <w:spacing w:after="0" w:line="240" w:lineRule="auto"/>
        <w:jc w:val="center"/>
        <w:rPr>
          <w:rFonts w:cs="Times New Roman"/>
        </w:rPr>
      </w:pPr>
    </w:p>
    <w:p w14:paraId="5A205F4F" w14:textId="7436F5E6" w:rsidR="009D612D" w:rsidRDefault="00F36BD4" w:rsidP="00800EF2">
      <w:pPr>
        <w:spacing w:after="0" w:line="240" w:lineRule="auto"/>
        <w:ind w:firstLine="720"/>
        <w:jc w:val="both"/>
        <w:rPr>
          <w:rFonts w:cs="Times New Roman"/>
        </w:rPr>
      </w:pPr>
      <w:r w:rsidRPr="00080D71">
        <w:rPr>
          <w:rFonts w:cs="Times New Roman"/>
        </w:rPr>
        <w:t xml:space="preserve">Latvijas pārstāvniecība </w:t>
      </w:r>
      <w:r>
        <w:rPr>
          <w:rFonts w:cs="Times New Roman"/>
        </w:rPr>
        <w:t>pārskata periodā kopumā ir organizējusi</w:t>
      </w:r>
      <w:r w:rsidRPr="00080D71">
        <w:rPr>
          <w:rFonts w:cs="Times New Roman"/>
        </w:rPr>
        <w:t xml:space="preserve"> un atbalstījusi </w:t>
      </w:r>
      <w:r w:rsidRPr="00F67C42">
        <w:rPr>
          <w:rFonts w:cs="Times New Roman"/>
        </w:rPr>
        <w:t>14</w:t>
      </w:r>
      <w:r w:rsidR="00800EF2" w:rsidRPr="00F67C42">
        <w:rPr>
          <w:rFonts w:cs="Times New Roman"/>
        </w:rPr>
        <w:t> </w:t>
      </w:r>
      <w:r w:rsidRPr="00F67C42">
        <w:rPr>
          <w:rFonts w:cs="Times New Roman"/>
        </w:rPr>
        <w:t>koordinācijas sanāksmes, kas tika organizētas pēc Latvijas un citu dalībvalstu pieprasījuma – 6</w:t>
      </w:r>
      <w:r w:rsidR="00800EF2" w:rsidRPr="00F67C42">
        <w:rPr>
          <w:rFonts w:cs="Times New Roman"/>
        </w:rPr>
        <w:t> s</w:t>
      </w:r>
      <w:r w:rsidRPr="00F67C42">
        <w:rPr>
          <w:rFonts w:cs="Times New Roman"/>
        </w:rPr>
        <w:t xml:space="preserve">anāksmes pēc Latvijas un 8 </w:t>
      </w:r>
      <w:r w:rsidR="00800EF2" w:rsidRPr="00F67C42">
        <w:rPr>
          <w:rFonts w:cs="Times New Roman"/>
        </w:rPr>
        <w:t xml:space="preserve">sanāksmes </w:t>
      </w:r>
      <w:r w:rsidRPr="00F67C42">
        <w:rPr>
          <w:rFonts w:cs="Times New Roman"/>
        </w:rPr>
        <w:t>pēc citu valstu iniciatīvas. 4</w:t>
      </w:r>
      <w:r w:rsidR="00800EF2" w:rsidRPr="00F67C42">
        <w:rPr>
          <w:rFonts w:cs="Times New Roman"/>
        </w:rPr>
        <w:t> </w:t>
      </w:r>
      <w:r w:rsidRPr="00F67C42">
        <w:rPr>
          <w:rFonts w:cs="Times New Roman"/>
        </w:rPr>
        <w:t xml:space="preserve">sanāksmes tika organizētas </w:t>
      </w:r>
      <w:proofErr w:type="spellStart"/>
      <w:r w:rsidRPr="00F67C42">
        <w:rPr>
          <w:rFonts w:cs="Times New Roman"/>
        </w:rPr>
        <w:t>Eirojusta</w:t>
      </w:r>
      <w:proofErr w:type="spellEnd"/>
      <w:r w:rsidRPr="00F67C42">
        <w:rPr>
          <w:rFonts w:cs="Times New Roman"/>
        </w:rPr>
        <w:t xml:space="preserve"> telpās Hāgā, bet 10</w:t>
      </w:r>
      <w:r w:rsidR="00800EF2" w:rsidRPr="00F67C42">
        <w:rPr>
          <w:rFonts w:cs="Times New Roman"/>
        </w:rPr>
        <w:t> sanāksmes</w:t>
      </w:r>
      <w:r w:rsidR="00800EF2">
        <w:rPr>
          <w:rFonts w:cs="Times New Roman"/>
        </w:rPr>
        <w:t xml:space="preserve"> – </w:t>
      </w:r>
      <w:r>
        <w:rPr>
          <w:rFonts w:cs="Times New Roman"/>
        </w:rPr>
        <w:t>videokonferences režīmā, pielāgojoties jaunajai situācijai  saistībā ar C</w:t>
      </w:r>
      <w:r w:rsidR="00800EF2">
        <w:rPr>
          <w:rFonts w:cs="Times New Roman"/>
        </w:rPr>
        <w:t>ovid</w:t>
      </w:r>
      <w:r>
        <w:rPr>
          <w:rFonts w:cs="Times New Roman"/>
        </w:rPr>
        <w:t>-19 krīzi.</w:t>
      </w:r>
    </w:p>
    <w:p w14:paraId="7B84760E" w14:textId="77777777" w:rsidR="00630244" w:rsidRDefault="00630244" w:rsidP="00800EF2">
      <w:pPr>
        <w:spacing w:after="0" w:line="240" w:lineRule="auto"/>
        <w:ind w:firstLine="720"/>
        <w:jc w:val="both"/>
        <w:rPr>
          <w:rFonts w:cs="Times New Roman"/>
        </w:rPr>
      </w:pPr>
    </w:p>
    <w:p w14:paraId="55320CF0" w14:textId="108C5F76" w:rsidR="00F36BD4" w:rsidRDefault="009D612D" w:rsidP="00630244">
      <w:pPr>
        <w:spacing w:after="0" w:line="240" w:lineRule="auto"/>
        <w:jc w:val="center"/>
        <w:rPr>
          <w:rFonts w:cs="Times New Roman"/>
        </w:rPr>
      </w:pPr>
      <w:r w:rsidRPr="00660BD1">
        <w:rPr>
          <w:rFonts w:cs="Times New Roman"/>
          <w:noProof/>
          <w:lang w:eastAsia="en-GB"/>
        </w:rPr>
        <w:drawing>
          <wp:inline distT="0" distB="0" distL="0" distR="0" wp14:anchorId="27D97DA2" wp14:editId="5DDD5AD1">
            <wp:extent cx="5605780" cy="3367308"/>
            <wp:effectExtent l="0" t="0" r="0" b="5080"/>
            <wp:docPr id="201" name="Picture 201" descr="C:\Users\dskudra\Work folders\Desktop\Statistics_2020_Latvia_jpg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skudra\Work folders\Desktop\Statistics_2020_Latvia_jpg_Page_16.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613869" cy="3372167"/>
                    </a:xfrm>
                    <a:prstGeom prst="rect">
                      <a:avLst/>
                    </a:prstGeom>
                    <a:noFill/>
                    <a:ln>
                      <a:noFill/>
                    </a:ln>
                  </pic:spPr>
                </pic:pic>
              </a:graphicData>
            </a:graphic>
          </wp:inline>
        </w:drawing>
      </w:r>
    </w:p>
    <w:p w14:paraId="52EC049B" w14:textId="77777777" w:rsidR="009D612D" w:rsidRDefault="009D612D" w:rsidP="00800EF2">
      <w:pPr>
        <w:spacing w:after="0" w:line="240" w:lineRule="auto"/>
        <w:ind w:firstLine="720"/>
        <w:jc w:val="both"/>
        <w:rPr>
          <w:rFonts w:cs="Times New Roman"/>
        </w:rPr>
      </w:pPr>
    </w:p>
    <w:p w14:paraId="7C27277A" w14:textId="670D88FC" w:rsidR="00F36BD4" w:rsidRDefault="00F36BD4" w:rsidP="00E84E9B">
      <w:pPr>
        <w:spacing w:after="0" w:line="240" w:lineRule="auto"/>
        <w:ind w:firstLine="720"/>
        <w:jc w:val="both"/>
        <w:rPr>
          <w:rFonts w:cs="Times New Roman"/>
        </w:rPr>
      </w:pPr>
      <w:r>
        <w:rPr>
          <w:rFonts w:cs="Times New Roman"/>
        </w:rPr>
        <w:t xml:space="preserve">Vairāk </w:t>
      </w:r>
      <w:r w:rsidR="00E84E9B">
        <w:rPr>
          <w:rFonts w:cs="Times New Roman"/>
        </w:rPr>
        <w:t>ne</w:t>
      </w:r>
      <w:r>
        <w:rPr>
          <w:rFonts w:cs="Times New Roman"/>
        </w:rPr>
        <w:t>kā pus</w:t>
      </w:r>
      <w:r w:rsidR="00E84E9B">
        <w:rPr>
          <w:rFonts w:cs="Times New Roman"/>
        </w:rPr>
        <w:t>ē</w:t>
      </w:r>
      <w:r>
        <w:rPr>
          <w:rFonts w:cs="Times New Roman"/>
        </w:rPr>
        <w:t xml:space="preserve"> gadījumos, koordinācijas sanāksmes ir tikušas organizētas kriminālprocesos, kuros izmeklēšana tiek veikta t.sk. par noziedzīgi iegūtu līdzekļu legalizēšanu.</w:t>
      </w:r>
    </w:p>
    <w:p w14:paraId="7E6A4AFB" w14:textId="558F29DA" w:rsidR="009D612D" w:rsidRDefault="00F36BD4" w:rsidP="00F36BD4">
      <w:pPr>
        <w:spacing w:after="0" w:line="240" w:lineRule="auto"/>
        <w:jc w:val="both"/>
        <w:rPr>
          <w:rFonts w:cs="Times New Roman"/>
        </w:rPr>
      </w:pPr>
      <w:proofErr w:type="spellStart"/>
      <w:r>
        <w:rPr>
          <w:rFonts w:cs="Times New Roman"/>
        </w:rPr>
        <w:t>Eirojusts</w:t>
      </w:r>
      <w:proofErr w:type="spellEnd"/>
      <w:r>
        <w:rPr>
          <w:rFonts w:cs="Times New Roman"/>
        </w:rPr>
        <w:t xml:space="preserve"> ir spējis pielāgoties jaunajai situācijai un izaicinājumiem, lai arī koordinācijas sanāksmēs videokonferences režīmā varētu nodrošināt drošu un konfidenciālu datu apmaiņu un tulkojuma iespējas.</w:t>
      </w:r>
    </w:p>
    <w:p w14:paraId="7045640A" w14:textId="77777777" w:rsidR="00630244" w:rsidRDefault="00630244" w:rsidP="00F36BD4">
      <w:pPr>
        <w:spacing w:after="0" w:line="240" w:lineRule="auto"/>
        <w:jc w:val="both"/>
        <w:rPr>
          <w:rFonts w:cs="Times New Roman"/>
        </w:rPr>
      </w:pPr>
    </w:p>
    <w:p w14:paraId="052280CA" w14:textId="311BB74A" w:rsidR="00F36BD4" w:rsidRDefault="009D612D" w:rsidP="00630244">
      <w:pPr>
        <w:spacing w:after="0" w:line="240" w:lineRule="auto"/>
        <w:jc w:val="center"/>
        <w:rPr>
          <w:rFonts w:cs="Times New Roman"/>
        </w:rPr>
      </w:pPr>
      <w:r w:rsidRPr="00C046A7">
        <w:rPr>
          <w:rFonts w:cs="Times New Roman"/>
          <w:noProof/>
          <w:lang w:eastAsia="en-GB"/>
        </w:rPr>
        <w:lastRenderedPageBreak/>
        <w:drawing>
          <wp:inline distT="0" distB="0" distL="0" distR="0" wp14:anchorId="471E5DD5" wp14:editId="3ACC6CF1">
            <wp:extent cx="5593080" cy="2834640"/>
            <wp:effectExtent l="0" t="0" r="7620" b="3810"/>
            <wp:docPr id="202" name="Picture 202" descr="C:\Users\dskudra\Work folders\Desktop\New folder\Eurojust Statistics 2020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skudra\Work folders\Desktop\New folder\Eurojust Statistics 2020_Page_4.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593080" cy="2834640"/>
                    </a:xfrm>
                    <a:prstGeom prst="rect">
                      <a:avLst/>
                    </a:prstGeom>
                    <a:noFill/>
                    <a:ln>
                      <a:noFill/>
                    </a:ln>
                  </pic:spPr>
                </pic:pic>
              </a:graphicData>
            </a:graphic>
          </wp:inline>
        </w:drawing>
      </w:r>
    </w:p>
    <w:p w14:paraId="17B37677" w14:textId="77777777" w:rsidR="00F36BD4" w:rsidRDefault="00F36BD4" w:rsidP="00F36BD4">
      <w:pPr>
        <w:spacing w:after="0" w:line="240" w:lineRule="auto"/>
        <w:jc w:val="both"/>
        <w:rPr>
          <w:rFonts w:cs="Times New Roman"/>
        </w:rPr>
      </w:pPr>
    </w:p>
    <w:p w14:paraId="5AD465BB" w14:textId="0D4D156D" w:rsidR="00F36BD4" w:rsidRDefault="00F36BD4" w:rsidP="00E84E9B">
      <w:pPr>
        <w:spacing w:after="0" w:line="240" w:lineRule="auto"/>
        <w:ind w:firstLine="720"/>
        <w:jc w:val="both"/>
        <w:rPr>
          <w:rFonts w:cs="Times New Roman"/>
        </w:rPr>
      </w:pPr>
      <w:r>
        <w:rPr>
          <w:rFonts w:cs="Times New Roman"/>
        </w:rPr>
        <w:t>2020.</w:t>
      </w:r>
      <w:r w:rsidR="00E84E9B">
        <w:rPr>
          <w:rFonts w:cs="Times New Roman"/>
        </w:rPr>
        <w:t> </w:t>
      </w:r>
      <w:r>
        <w:rPr>
          <w:rFonts w:cs="Times New Roman"/>
        </w:rPr>
        <w:t xml:space="preserve">gadā Latvijas pārstāvniecība </w:t>
      </w:r>
      <w:proofErr w:type="spellStart"/>
      <w:r>
        <w:rPr>
          <w:rFonts w:cs="Times New Roman"/>
        </w:rPr>
        <w:t>Eirojustā</w:t>
      </w:r>
      <w:proofErr w:type="spellEnd"/>
      <w:r>
        <w:rPr>
          <w:rFonts w:cs="Times New Roman"/>
        </w:rPr>
        <w:t xml:space="preserve"> ir piedalījusies arī divos koordinācijas centros, atbalstot kopīgās rīcības dienas aktivitātes un sniedzot aktuālo informāciju ārvalstu kolēģiem par Latvijas tiesībaizsardzības iestāžu paveikto.</w:t>
      </w:r>
    </w:p>
    <w:p w14:paraId="214FA11C" w14:textId="7D318B6C" w:rsidR="00F36BD4" w:rsidRDefault="00F36BD4" w:rsidP="00E84E9B">
      <w:pPr>
        <w:spacing w:after="0" w:line="240" w:lineRule="auto"/>
        <w:ind w:firstLine="720"/>
        <w:jc w:val="both"/>
        <w:rPr>
          <w:rFonts w:cs="Times New Roman"/>
        </w:rPr>
      </w:pPr>
      <w:r w:rsidRPr="00ED620A">
        <w:rPr>
          <w:rFonts w:cs="Times New Roman"/>
        </w:rPr>
        <w:t xml:space="preserve">Īpaši </w:t>
      </w:r>
      <w:r w:rsidR="007E2C37">
        <w:rPr>
          <w:rFonts w:cs="Times New Roman"/>
        </w:rPr>
        <w:t>atzīmējama ir</w:t>
      </w:r>
      <w:r>
        <w:rPr>
          <w:rFonts w:cs="Times New Roman"/>
        </w:rPr>
        <w:t xml:space="preserve"> operācij</w:t>
      </w:r>
      <w:r w:rsidR="007E2C37">
        <w:rPr>
          <w:rFonts w:cs="Times New Roman"/>
        </w:rPr>
        <w:t>a</w:t>
      </w:r>
      <w:r w:rsidRPr="00ED620A">
        <w:rPr>
          <w:rFonts w:cs="Times New Roman"/>
        </w:rPr>
        <w:t xml:space="preserve"> “</w:t>
      </w:r>
      <w:proofErr w:type="spellStart"/>
      <w:r w:rsidRPr="00ED620A">
        <w:rPr>
          <w:rFonts w:cs="Times New Roman"/>
        </w:rPr>
        <w:t>Sundance</w:t>
      </w:r>
      <w:proofErr w:type="spellEnd"/>
      <w:r w:rsidRPr="00ED620A">
        <w:rPr>
          <w:rFonts w:cs="Times New Roman"/>
        </w:rPr>
        <w:t>”, kuras ietvaros saskaņotas rīcības rezultātā starp ASV tiesībaizsardzības un tiesu varas iestādēm un viņu kolēģiem 18</w:t>
      </w:r>
      <w:r w:rsidR="00E84E9B">
        <w:rPr>
          <w:rFonts w:cs="Times New Roman"/>
        </w:rPr>
        <w:t> </w:t>
      </w:r>
      <w:r w:rsidRPr="00ED620A">
        <w:rPr>
          <w:rFonts w:cs="Times New Roman"/>
        </w:rPr>
        <w:t xml:space="preserve">citās valstīs, ieskaitot Latviju, ar </w:t>
      </w:r>
      <w:proofErr w:type="spellStart"/>
      <w:r w:rsidRPr="00ED620A">
        <w:rPr>
          <w:rFonts w:cs="Times New Roman"/>
        </w:rPr>
        <w:t>Eirojusta</w:t>
      </w:r>
      <w:proofErr w:type="spellEnd"/>
      <w:r w:rsidRPr="00ED620A">
        <w:rPr>
          <w:rFonts w:cs="Times New Roman"/>
        </w:rPr>
        <w:t xml:space="preserve"> un Eiropola atbalstu tika likvidēta noziedzīga organizācija, kas pārkāpa autortiesības un internetā ieguva un izplatīja ar autortiesībām aizsargātus DVD un </w:t>
      </w:r>
      <w:proofErr w:type="spellStart"/>
      <w:r w:rsidRPr="00ED620A">
        <w:rPr>
          <w:rFonts w:cs="Times New Roman"/>
        </w:rPr>
        <w:t>Blu-Ray</w:t>
      </w:r>
      <w:proofErr w:type="spellEnd"/>
      <w:r w:rsidRPr="00ED620A">
        <w:rPr>
          <w:rFonts w:cs="Times New Roman"/>
        </w:rPr>
        <w:t xml:space="preserve"> diskus. Operācijas “</w:t>
      </w:r>
      <w:proofErr w:type="spellStart"/>
      <w:r w:rsidRPr="00ED620A">
        <w:rPr>
          <w:rFonts w:cs="Times New Roman"/>
        </w:rPr>
        <w:t>Sundance</w:t>
      </w:r>
      <w:proofErr w:type="spellEnd"/>
      <w:r w:rsidRPr="00ED620A">
        <w:rPr>
          <w:rFonts w:cs="Times New Roman"/>
        </w:rPr>
        <w:t xml:space="preserve">” rezultātā vienas dienas laikā Ziemeļamerikā, Eiropā un Āzijā tika slēgti vairāk </w:t>
      </w:r>
      <w:r w:rsidR="00E84E9B">
        <w:rPr>
          <w:rFonts w:cs="Times New Roman"/>
        </w:rPr>
        <w:t>ne</w:t>
      </w:r>
      <w:r w:rsidRPr="00ED620A">
        <w:rPr>
          <w:rFonts w:cs="Times New Roman"/>
        </w:rPr>
        <w:t xml:space="preserve">kā </w:t>
      </w:r>
      <w:r w:rsidRPr="00F67C42">
        <w:rPr>
          <w:rFonts w:cs="Times New Roman"/>
        </w:rPr>
        <w:t>60</w:t>
      </w:r>
      <w:r w:rsidR="00E84E9B">
        <w:rPr>
          <w:rFonts w:cs="Times New Roman"/>
        </w:rPr>
        <w:t> </w:t>
      </w:r>
      <w:r w:rsidRPr="00ED620A">
        <w:rPr>
          <w:rFonts w:cs="Times New Roman"/>
        </w:rPr>
        <w:t>serveri un arestētas vairākas galvenās aizdomās turētās personas. Iespējamā nelikumīgā darbība katru gadu radīja desmitiem miljonu ASV USD zaudējumus, galvenokārt, ASV filmu, televīzijas un ar to saistītajām nozarēm.</w:t>
      </w:r>
      <w:r>
        <w:rPr>
          <w:rFonts w:cs="Times New Roman"/>
        </w:rPr>
        <w:t xml:space="preserve">  </w:t>
      </w:r>
    </w:p>
    <w:p w14:paraId="06E4716A" w14:textId="77777777" w:rsidR="00F36BD4" w:rsidRDefault="00AA4B55" w:rsidP="00F36BD4">
      <w:pPr>
        <w:spacing w:after="0" w:line="240" w:lineRule="auto"/>
        <w:jc w:val="both"/>
        <w:rPr>
          <w:rFonts w:cs="Times New Roman"/>
        </w:rPr>
      </w:pPr>
      <w:hyperlink r:id="rId220" w:history="1">
        <w:r w:rsidR="00F36BD4" w:rsidRPr="003817B9">
          <w:rPr>
            <w:rStyle w:val="Hyperlink"/>
            <w:rFonts w:cs="Times New Roman"/>
          </w:rPr>
          <w:t>https://www.eurojust.europa.eu/new-major-crackdown-one-biggest-online-piracy-groups-world-international-coordination-led-eurojust</w:t>
        </w:r>
      </w:hyperlink>
      <w:r w:rsidR="00F36BD4">
        <w:rPr>
          <w:rFonts w:cs="Times New Roman"/>
        </w:rPr>
        <w:t xml:space="preserve"> </w:t>
      </w:r>
    </w:p>
    <w:p w14:paraId="10040BAC" w14:textId="77777777" w:rsidR="00F36BD4" w:rsidRDefault="00F36BD4" w:rsidP="00F36BD4">
      <w:pPr>
        <w:spacing w:after="0" w:line="240" w:lineRule="auto"/>
        <w:jc w:val="both"/>
        <w:rPr>
          <w:rFonts w:cs="Times New Roman"/>
        </w:rPr>
      </w:pPr>
    </w:p>
    <w:p w14:paraId="6F375764" w14:textId="47216BCB" w:rsidR="003A2701" w:rsidRDefault="00F36BD4" w:rsidP="00FC7ECD">
      <w:pPr>
        <w:spacing w:after="0" w:line="240" w:lineRule="auto"/>
        <w:ind w:firstLine="720"/>
        <w:jc w:val="both"/>
        <w:rPr>
          <w:rFonts w:cs="Times New Roman"/>
        </w:rPr>
      </w:pPr>
      <w:r>
        <w:rPr>
          <w:rFonts w:cs="Times New Roman"/>
        </w:rPr>
        <w:t xml:space="preserve">Pārskata periodā Latvijas pārstāvniecība ir sniegusi aktīvu atbalstu </w:t>
      </w:r>
      <w:r w:rsidRPr="00F67C42">
        <w:rPr>
          <w:rFonts w:cs="Times New Roman"/>
        </w:rPr>
        <w:t>4</w:t>
      </w:r>
      <w:r w:rsidR="00FC7ECD" w:rsidRPr="00F67C42">
        <w:rPr>
          <w:rFonts w:cs="Times New Roman"/>
        </w:rPr>
        <w:t> </w:t>
      </w:r>
      <w:r w:rsidRPr="00F67C42">
        <w:rPr>
          <w:rFonts w:cs="Times New Roman"/>
        </w:rPr>
        <w:t>jaunu apvienoto izmeklēšanas grupu (JIT) izveidē, sekmējot starpvalstu sarunas, kā arī JIT līgumu sastādīšanu un parakstīšanu. Atbalsts tiek sniegts arī 5</w:t>
      </w:r>
      <w:r w:rsidR="00FC7ECD" w:rsidRPr="00F67C42">
        <w:rPr>
          <w:rFonts w:cs="Times New Roman"/>
        </w:rPr>
        <w:t> </w:t>
      </w:r>
      <w:r w:rsidRPr="00F67C42">
        <w:rPr>
          <w:rFonts w:cs="Times New Roman"/>
        </w:rPr>
        <w:t>JIT, kur līgums tika noslēgts iepriekšējos gados, bet sadarbība joprojām turpinās.</w:t>
      </w:r>
    </w:p>
    <w:p w14:paraId="683137C4" w14:textId="77777777" w:rsidR="00630244" w:rsidRDefault="00630244" w:rsidP="00FC7ECD">
      <w:pPr>
        <w:spacing w:after="0" w:line="240" w:lineRule="auto"/>
        <w:ind w:firstLine="720"/>
        <w:jc w:val="both"/>
        <w:rPr>
          <w:rFonts w:cs="Times New Roman"/>
        </w:rPr>
      </w:pPr>
    </w:p>
    <w:p w14:paraId="064090CB" w14:textId="43353F0F" w:rsidR="00F36BD4" w:rsidRDefault="007E2C37" w:rsidP="00630244">
      <w:pPr>
        <w:spacing w:after="0" w:line="240" w:lineRule="auto"/>
        <w:jc w:val="center"/>
        <w:rPr>
          <w:rFonts w:cs="Times New Roman"/>
        </w:rPr>
      </w:pPr>
      <w:r w:rsidRPr="00C046A7">
        <w:rPr>
          <w:rFonts w:cs="Times New Roman"/>
          <w:noProof/>
          <w:lang w:eastAsia="en-GB"/>
        </w:rPr>
        <w:drawing>
          <wp:inline distT="0" distB="0" distL="0" distR="0" wp14:anchorId="4425387F" wp14:editId="2D967DAB">
            <wp:extent cx="5570220" cy="2813050"/>
            <wp:effectExtent l="0" t="0" r="0" b="6350"/>
            <wp:docPr id="203" name="Picture 203" descr="C:\Users\dskudra\Work folders\Desktop\New folder\Eurojust Statistics 2020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skudra\Work folders\Desktop\New folder\Eurojust Statistics 2020_Page_5.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570220" cy="2813050"/>
                    </a:xfrm>
                    <a:prstGeom prst="rect">
                      <a:avLst/>
                    </a:prstGeom>
                    <a:noFill/>
                    <a:ln>
                      <a:noFill/>
                    </a:ln>
                  </pic:spPr>
                </pic:pic>
              </a:graphicData>
            </a:graphic>
          </wp:inline>
        </w:drawing>
      </w:r>
    </w:p>
    <w:p w14:paraId="6CC0E8A8" w14:textId="77777777" w:rsidR="00630244" w:rsidRPr="00F67C42" w:rsidRDefault="00630244" w:rsidP="00630244">
      <w:pPr>
        <w:spacing w:after="0" w:line="240" w:lineRule="auto"/>
        <w:jc w:val="center"/>
        <w:rPr>
          <w:rFonts w:cs="Times New Roman"/>
        </w:rPr>
      </w:pPr>
    </w:p>
    <w:p w14:paraId="75FF5DE9" w14:textId="15452E39" w:rsidR="00F36BD4" w:rsidRPr="00F67C42" w:rsidRDefault="00F36BD4" w:rsidP="00FC7ECD">
      <w:pPr>
        <w:spacing w:after="0" w:line="240" w:lineRule="auto"/>
        <w:ind w:firstLine="720"/>
        <w:jc w:val="both"/>
        <w:rPr>
          <w:rFonts w:cs="Times New Roman"/>
        </w:rPr>
      </w:pPr>
      <w:r w:rsidRPr="00F67C42">
        <w:rPr>
          <w:rFonts w:cs="Times New Roman"/>
        </w:rPr>
        <w:t xml:space="preserve">Latvijas pārstāvniecība </w:t>
      </w:r>
      <w:proofErr w:type="spellStart"/>
      <w:r w:rsidRPr="00F67C42">
        <w:rPr>
          <w:rFonts w:cs="Times New Roman"/>
        </w:rPr>
        <w:t>Eirojustā</w:t>
      </w:r>
      <w:proofErr w:type="spellEnd"/>
      <w:r w:rsidRPr="00F67C42">
        <w:rPr>
          <w:rFonts w:cs="Times New Roman"/>
        </w:rPr>
        <w:t xml:space="preserve"> ir aktīvi informējusi Latvijas iestādes par iespējām pieteikties JIT darbībai nepieciešamā finansējuma iegūšanai no </w:t>
      </w:r>
      <w:proofErr w:type="spellStart"/>
      <w:r w:rsidRPr="00F67C42">
        <w:rPr>
          <w:rFonts w:cs="Times New Roman"/>
        </w:rPr>
        <w:t>Eirojusta</w:t>
      </w:r>
      <w:proofErr w:type="spellEnd"/>
      <w:r w:rsidRPr="00F67C42">
        <w:rPr>
          <w:rFonts w:cs="Times New Roman"/>
        </w:rPr>
        <w:t>, kā arī sniegusi teorētisku un praktisku atbalstu attiecīgu pieteikumu iesniegšanai finansējuma saņemšanai. Tā 2020.</w:t>
      </w:r>
      <w:r w:rsidR="00FC7ECD" w:rsidRPr="00F67C42">
        <w:rPr>
          <w:rFonts w:cs="Times New Roman"/>
        </w:rPr>
        <w:t> </w:t>
      </w:r>
      <w:r w:rsidRPr="00F67C42">
        <w:rPr>
          <w:rFonts w:cs="Times New Roman"/>
        </w:rPr>
        <w:t>gada JIT sekretariātā tika apmierināti 3</w:t>
      </w:r>
      <w:r w:rsidR="00FC7ECD" w:rsidRPr="00F67C42">
        <w:rPr>
          <w:rFonts w:cs="Times New Roman"/>
        </w:rPr>
        <w:t> </w:t>
      </w:r>
      <w:r w:rsidRPr="00F67C42">
        <w:rPr>
          <w:rFonts w:cs="Times New Roman"/>
        </w:rPr>
        <w:t>Latvijas pieteikumi, piešķirot Latvijas iestādēm finansējumu 3</w:t>
      </w:r>
      <w:r w:rsidR="00FC7ECD" w:rsidRPr="00F67C42">
        <w:rPr>
          <w:rFonts w:cs="Times New Roman"/>
        </w:rPr>
        <w:t> </w:t>
      </w:r>
      <w:r w:rsidRPr="00F67C42">
        <w:rPr>
          <w:rFonts w:cs="Times New Roman"/>
        </w:rPr>
        <w:t>JIT darbībai par kopējo summu 41</w:t>
      </w:r>
      <w:r w:rsidR="00FC7ECD" w:rsidRPr="00F67C42">
        <w:rPr>
          <w:rFonts w:cs="Times New Roman"/>
        </w:rPr>
        <w:t> </w:t>
      </w:r>
      <w:r w:rsidRPr="00F67C42">
        <w:rPr>
          <w:rFonts w:cs="Times New Roman"/>
        </w:rPr>
        <w:t>737</w:t>
      </w:r>
      <w:r w:rsidR="00FC7ECD" w:rsidRPr="00F67C42">
        <w:rPr>
          <w:rFonts w:cs="Times New Roman"/>
        </w:rPr>
        <w:t> </w:t>
      </w:r>
      <w:r w:rsidRPr="00F67C42">
        <w:rPr>
          <w:rFonts w:cs="Times New Roman"/>
        </w:rPr>
        <w:t xml:space="preserve">EUR. </w:t>
      </w:r>
    </w:p>
    <w:p w14:paraId="60C2AD40" w14:textId="77777777" w:rsidR="00F36BD4" w:rsidRPr="00F67C42" w:rsidRDefault="00F36BD4" w:rsidP="00F36BD4">
      <w:pPr>
        <w:spacing w:after="0" w:line="240" w:lineRule="auto"/>
        <w:jc w:val="both"/>
        <w:rPr>
          <w:rFonts w:cs="Times New Roman"/>
        </w:rPr>
      </w:pPr>
    </w:p>
    <w:p w14:paraId="277D68F6" w14:textId="1C9B69BF" w:rsidR="00F36BD4" w:rsidRDefault="00F36BD4" w:rsidP="003A2701">
      <w:pPr>
        <w:spacing w:after="0" w:line="240" w:lineRule="auto"/>
        <w:ind w:firstLine="720"/>
        <w:jc w:val="both"/>
        <w:rPr>
          <w:rFonts w:cs="Times New Roman"/>
        </w:rPr>
      </w:pPr>
      <w:r w:rsidRPr="00F67C42">
        <w:rPr>
          <w:rFonts w:cs="Times New Roman"/>
        </w:rPr>
        <w:t xml:space="preserve">Latvijas pārstāve </w:t>
      </w:r>
      <w:proofErr w:type="spellStart"/>
      <w:r w:rsidRPr="00F67C42">
        <w:rPr>
          <w:rFonts w:cs="Times New Roman"/>
        </w:rPr>
        <w:t>Eirojustā</w:t>
      </w:r>
      <w:proofErr w:type="spellEnd"/>
      <w:r w:rsidR="00FC7ECD" w:rsidRPr="00F67C42">
        <w:rPr>
          <w:rFonts w:cs="Times New Roman"/>
        </w:rPr>
        <w:t xml:space="preserve"> 2020. gadā ir</w:t>
      </w:r>
      <w:r w:rsidRPr="00F67C42">
        <w:rPr>
          <w:rFonts w:cs="Times New Roman"/>
        </w:rPr>
        <w:t xml:space="preserve"> bijusi 4</w:t>
      </w:r>
      <w:r w:rsidR="00FC7ECD" w:rsidRPr="00F67C42">
        <w:rPr>
          <w:rFonts w:cs="Times New Roman"/>
        </w:rPr>
        <w:t> </w:t>
      </w:r>
      <w:r w:rsidRPr="00F67C42">
        <w:rPr>
          <w:rFonts w:cs="Times New Roman"/>
        </w:rPr>
        <w:t>komandējumos uz Latviju, kuru laikā tik</w:t>
      </w:r>
      <w:r w:rsidR="00FC7ECD" w:rsidRPr="00F67C42">
        <w:rPr>
          <w:rFonts w:cs="Times New Roman"/>
        </w:rPr>
        <w:t>usies</w:t>
      </w:r>
      <w:r w:rsidRPr="00F67C42">
        <w:rPr>
          <w:rFonts w:cs="Times New Roman"/>
        </w:rPr>
        <w:t xml:space="preserve"> ar Latvijas tiesīb</w:t>
      </w:r>
      <w:r w:rsidR="00FC7ECD" w:rsidRPr="00F67C42">
        <w:rPr>
          <w:rFonts w:cs="Times New Roman"/>
        </w:rPr>
        <w:t>aizsardzības</w:t>
      </w:r>
      <w:r w:rsidRPr="00F67C42">
        <w:rPr>
          <w:rFonts w:cs="Times New Roman"/>
        </w:rPr>
        <w:t xml:space="preserve"> iestāžu vadību un pārstāvjiem, lai pārrunātu vispārējos krimināltiesiskās sadarbības jautājumus, apspriestu vēlamos turpmākās sadarbības</w:t>
      </w:r>
      <w:r w:rsidRPr="00853054">
        <w:rPr>
          <w:rFonts w:cs="Times New Roman"/>
        </w:rPr>
        <w:t xml:space="preserve"> modeļus un </w:t>
      </w:r>
      <w:r>
        <w:rPr>
          <w:rFonts w:cs="Times New Roman"/>
        </w:rPr>
        <w:t>rastu labāko</w:t>
      </w:r>
      <w:r w:rsidRPr="00853054">
        <w:rPr>
          <w:rFonts w:cs="Times New Roman"/>
        </w:rPr>
        <w:t xml:space="preserve">s </w:t>
      </w:r>
      <w:r>
        <w:rPr>
          <w:rFonts w:cs="Times New Roman"/>
        </w:rPr>
        <w:t xml:space="preserve">risinājumus </w:t>
      </w:r>
      <w:proofErr w:type="spellStart"/>
      <w:r>
        <w:rPr>
          <w:rFonts w:cs="Times New Roman"/>
        </w:rPr>
        <w:t>E</w:t>
      </w:r>
      <w:r w:rsidRPr="00853054">
        <w:rPr>
          <w:rFonts w:cs="Times New Roman"/>
        </w:rPr>
        <w:t>irojusta</w:t>
      </w:r>
      <w:proofErr w:type="spellEnd"/>
      <w:r w:rsidRPr="00853054">
        <w:rPr>
          <w:rFonts w:cs="Times New Roman"/>
        </w:rPr>
        <w:t xml:space="preserve"> </w:t>
      </w:r>
      <w:r>
        <w:rPr>
          <w:rFonts w:cs="Times New Roman"/>
        </w:rPr>
        <w:t xml:space="preserve">piedāvāto iespēju izmantošanai, kā arī </w:t>
      </w:r>
      <w:r w:rsidRPr="00853054">
        <w:rPr>
          <w:rFonts w:cs="Times New Roman"/>
        </w:rPr>
        <w:t>veicinātu sadarbību konkrētās krimināllietās</w:t>
      </w:r>
      <w:r>
        <w:rPr>
          <w:rFonts w:cs="Times New Roman"/>
        </w:rPr>
        <w:t>. C</w:t>
      </w:r>
      <w:r w:rsidR="00FC7ECD">
        <w:rPr>
          <w:rFonts w:cs="Times New Roman"/>
        </w:rPr>
        <w:t>ovid</w:t>
      </w:r>
      <w:r>
        <w:rPr>
          <w:rFonts w:cs="Times New Roman"/>
        </w:rPr>
        <w:t xml:space="preserve">-19 krīzes dēļ ieviesto ierobežojumu dēļ komandējumu skaits ir bijis krietni </w:t>
      </w:r>
      <w:r w:rsidR="00CB584F">
        <w:rPr>
          <w:rFonts w:cs="Times New Roman"/>
        </w:rPr>
        <w:t>mazāks</w:t>
      </w:r>
      <w:r>
        <w:rPr>
          <w:rFonts w:cs="Times New Roman"/>
        </w:rPr>
        <w:t xml:space="preserve"> nekā sākotnēji </w:t>
      </w:r>
      <w:r w:rsidR="00CB584F">
        <w:rPr>
          <w:rFonts w:cs="Times New Roman"/>
        </w:rPr>
        <w:t xml:space="preserve">tika </w:t>
      </w:r>
      <w:r>
        <w:rPr>
          <w:rFonts w:cs="Times New Roman"/>
        </w:rPr>
        <w:t xml:space="preserve">plānots, jo optimālai sadarbības uzturēšanai un mārketingam būtu vēlams vismaz viens komandējums mēnesī. </w:t>
      </w:r>
    </w:p>
    <w:p w14:paraId="113070C0" w14:textId="77777777" w:rsidR="00F36BD4" w:rsidRDefault="00F36BD4" w:rsidP="00CB584F">
      <w:pPr>
        <w:spacing w:after="0" w:line="240" w:lineRule="auto"/>
        <w:ind w:firstLine="720"/>
        <w:jc w:val="both"/>
        <w:rPr>
          <w:rFonts w:cs="Times New Roman"/>
        </w:rPr>
      </w:pPr>
      <w:r w:rsidRPr="00853054">
        <w:rPr>
          <w:rFonts w:cs="Times New Roman"/>
        </w:rPr>
        <w:t xml:space="preserve">Aktīva sadarbība </w:t>
      </w:r>
      <w:r>
        <w:rPr>
          <w:rFonts w:cs="Times New Roman"/>
        </w:rPr>
        <w:t>notiek</w:t>
      </w:r>
      <w:r w:rsidRPr="00853054">
        <w:rPr>
          <w:rFonts w:cs="Times New Roman"/>
        </w:rPr>
        <w:t xml:space="preserve"> arī ar Latvijas sakaru virsniekiem Eiropolā, sniedzot atbalstu konkrētās lietās savas kompetences ietvaros.</w:t>
      </w:r>
      <w:r>
        <w:rPr>
          <w:rFonts w:cs="Times New Roman"/>
        </w:rPr>
        <w:t xml:space="preserve"> Latvijai Eiropolā šobrīd ir četri sakaru virsnieki – divi no Valsts policijas un pa vienam no Valsts ieņēmumu dienesta un Valsts drošības dienesta.</w:t>
      </w:r>
    </w:p>
    <w:p w14:paraId="5015F8A8" w14:textId="77777777" w:rsidR="00CB584F" w:rsidRDefault="00CB584F" w:rsidP="00CB584F">
      <w:pPr>
        <w:spacing w:after="0" w:line="240" w:lineRule="auto"/>
        <w:jc w:val="both"/>
        <w:rPr>
          <w:b/>
        </w:rPr>
      </w:pPr>
    </w:p>
    <w:p w14:paraId="7147B996" w14:textId="3E47B5B5" w:rsidR="00F36BD4" w:rsidRPr="00080D71" w:rsidRDefault="00CB584F" w:rsidP="00F36BD4">
      <w:pPr>
        <w:spacing w:after="0" w:line="360" w:lineRule="auto"/>
        <w:jc w:val="both"/>
        <w:rPr>
          <w:b/>
        </w:rPr>
      </w:pPr>
      <w:r>
        <w:rPr>
          <w:b/>
        </w:rPr>
        <w:t xml:space="preserve">[3] </w:t>
      </w:r>
      <w:r w:rsidR="00F36BD4" w:rsidRPr="00080D71">
        <w:rPr>
          <w:b/>
        </w:rPr>
        <w:t>Starptautiskā juridiskā sadarbība</w:t>
      </w:r>
    </w:p>
    <w:p w14:paraId="67A7A880" w14:textId="708B61ED" w:rsidR="00F36BD4" w:rsidRPr="00F67C42" w:rsidRDefault="00F36BD4" w:rsidP="00CB584F">
      <w:pPr>
        <w:spacing w:after="0" w:line="240" w:lineRule="auto"/>
        <w:ind w:firstLine="720"/>
        <w:jc w:val="both"/>
        <w:rPr>
          <w:rFonts w:cs="Times New Roman"/>
        </w:rPr>
      </w:pPr>
      <w:r w:rsidRPr="00080D71">
        <w:rPr>
          <w:rFonts w:cs="Times New Roman"/>
        </w:rPr>
        <w:t>Pārskata periodā Lat</w:t>
      </w:r>
      <w:r>
        <w:rPr>
          <w:rFonts w:cs="Times New Roman"/>
        </w:rPr>
        <w:t xml:space="preserve">vijas pārstāvniecība </w:t>
      </w:r>
      <w:proofErr w:type="spellStart"/>
      <w:r>
        <w:rPr>
          <w:rFonts w:cs="Times New Roman"/>
        </w:rPr>
        <w:t>Eirojustā</w:t>
      </w:r>
      <w:proofErr w:type="spellEnd"/>
      <w:r>
        <w:rPr>
          <w:rFonts w:cs="Times New Roman"/>
        </w:rPr>
        <w:t xml:space="preserve"> </w:t>
      </w:r>
      <w:r w:rsidRPr="00F67C42">
        <w:rPr>
          <w:rFonts w:cs="Times New Roman"/>
        </w:rPr>
        <w:t>24</w:t>
      </w:r>
      <w:r w:rsidR="00CB584F" w:rsidRPr="00F67C42">
        <w:rPr>
          <w:rFonts w:cs="Times New Roman"/>
        </w:rPr>
        <w:t> </w:t>
      </w:r>
      <w:r w:rsidRPr="00F67C42">
        <w:rPr>
          <w:rFonts w:cs="Times New Roman"/>
        </w:rPr>
        <w:t xml:space="preserve">reizes ir sniegusi konsultācijas par vispārējiem juridiskiem jautājumiem, ko uzdevušas citas nacionālās pārstāvniecības vai </w:t>
      </w:r>
      <w:r w:rsidR="00CB584F" w:rsidRPr="00F67C42">
        <w:rPr>
          <w:rFonts w:cs="Times New Roman"/>
        </w:rPr>
        <w:t>Kolēģija</w:t>
      </w:r>
      <w:r w:rsidRPr="00F67C42">
        <w:rPr>
          <w:rFonts w:cs="Times New Roman"/>
        </w:rPr>
        <w:t>, kā arī 5</w:t>
      </w:r>
      <w:r w:rsidR="00CB584F" w:rsidRPr="00F67C42">
        <w:rPr>
          <w:rFonts w:cs="Times New Roman"/>
        </w:rPr>
        <w:t> </w:t>
      </w:r>
      <w:r w:rsidRPr="00F67C42">
        <w:rPr>
          <w:rFonts w:cs="Times New Roman"/>
        </w:rPr>
        <w:t>reizes izmantoja iespēju noskaidrot pārējo E</w:t>
      </w:r>
      <w:r w:rsidR="00CB584F" w:rsidRPr="00F67C42">
        <w:rPr>
          <w:rFonts w:cs="Times New Roman"/>
        </w:rPr>
        <w:t>iropas Savienības</w:t>
      </w:r>
      <w:r w:rsidRPr="00F67C42">
        <w:rPr>
          <w:rFonts w:cs="Times New Roman"/>
        </w:rPr>
        <w:t xml:space="preserve"> dalībvalstu kārtību un pieredzi Latvijai aktuālu jautājumu risināšanā. Kā pēdējo var minēt pēc Tieslietu ministrijas lūguma veikto citu valstu aptauju par procesuālo darbību veikšanu ar videokonferences starpniecību, procesā iesaistītajai personai atrodoties ārvalstī. </w:t>
      </w:r>
    </w:p>
    <w:p w14:paraId="25F81DD4" w14:textId="77777777" w:rsidR="00F36BD4" w:rsidRPr="00F67C42" w:rsidRDefault="00F36BD4" w:rsidP="00F36BD4">
      <w:pPr>
        <w:spacing w:after="0" w:line="240" w:lineRule="auto"/>
        <w:jc w:val="both"/>
        <w:rPr>
          <w:rFonts w:cs="Times New Roman"/>
        </w:rPr>
      </w:pPr>
    </w:p>
    <w:p w14:paraId="3A9D1400" w14:textId="11FCB514" w:rsidR="00F36BD4" w:rsidRDefault="00F36BD4" w:rsidP="002A6631">
      <w:pPr>
        <w:spacing w:after="0" w:line="240" w:lineRule="auto"/>
        <w:ind w:firstLine="720"/>
        <w:jc w:val="both"/>
        <w:rPr>
          <w:rFonts w:cs="Times New Roman"/>
        </w:rPr>
      </w:pPr>
      <w:r w:rsidRPr="00F67C42">
        <w:rPr>
          <w:rFonts w:cs="Times New Roman"/>
        </w:rPr>
        <w:t>Pārskata periodā Latvijas pārstāvniecība ir piedalījusies, kā arī aicinājusi Latvijas pārstāvjus piedalīties 12</w:t>
      </w:r>
      <w:r w:rsidR="002A6631" w:rsidRPr="00F67C42">
        <w:rPr>
          <w:rFonts w:cs="Times New Roman"/>
        </w:rPr>
        <w:t> </w:t>
      </w:r>
      <w:r w:rsidRPr="00F67C42">
        <w:rPr>
          <w:rFonts w:cs="Times New Roman"/>
        </w:rPr>
        <w:t>tematiskajos semināros un konferencēs</w:t>
      </w:r>
      <w:r>
        <w:rPr>
          <w:rFonts w:cs="Times New Roman"/>
        </w:rPr>
        <w:t xml:space="preserve"> –</w:t>
      </w:r>
      <w:r w:rsidRPr="00080D71">
        <w:rPr>
          <w:rFonts w:cs="Times New Roman"/>
        </w:rPr>
        <w:t xml:space="preserve"> </w:t>
      </w:r>
      <w:r>
        <w:rPr>
          <w:rFonts w:cs="Times New Roman"/>
        </w:rPr>
        <w:t xml:space="preserve">tai skaitā par </w:t>
      </w:r>
      <w:r w:rsidRPr="00080D71">
        <w:rPr>
          <w:rFonts w:cs="Times New Roman"/>
        </w:rPr>
        <w:t xml:space="preserve"> kibernozie</w:t>
      </w:r>
      <w:r>
        <w:rPr>
          <w:rFonts w:cs="Times New Roman"/>
        </w:rPr>
        <w:t xml:space="preserve">gumiem, </w:t>
      </w:r>
      <w:r w:rsidRPr="00080D71">
        <w:rPr>
          <w:rFonts w:cs="Times New Roman"/>
        </w:rPr>
        <w:t>intelektuālā ī</w:t>
      </w:r>
      <w:r>
        <w:rPr>
          <w:rFonts w:cs="Times New Roman"/>
        </w:rPr>
        <w:t>pašuma aizsardzības jautājumiem, terorismu, genocīda noziegumiem, migrantu kontrabandu u.</w:t>
      </w:r>
      <w:r w:rsidR="002A6631">
        <w:rPr>
          <w:rFonts w:cs="Times New Roman"/>
        </w:rPr>
        <w:t> </w:t>
      </w:r>
      <w:r>
        <w:rPr>
          <w:rFonts w:cs="Times New Roman"/>
        </w:rPr>
        <w:t xml:space="preserve">c. </w:t>
      </w:r>
    </w:p>
    <w:p w14:paraId="37151081" w14:textId="1405C776" w:rsidR="00F36BD4" w:rsidRDefault="00F36BD4" w:rsidP="00CE399D">
      <w:pPr>
        <w:spacing w:after="0" w:line="240" w:lineRule="auto"/>
        <w:ind w:firstLine="720"/>
        <w:jc w:val="both"/>
        <w:rPr>
          <w:rFonts w:cs="Times New Roman"/>
        </w:rPr>
      </w:pPr>
      <w:r>
        <w:rPr>
          <w:rFonts w:cs="Times New Roman"/>
        </w:rPr>
        <w:t>Ņemot vērā C</w:t>
      </w:r>
      <w:r w:rsidR="00CE399D">
        <w:rPr>
          <w:rFonts w:cs="Times New Roman"/>
        </w:rPr>
        <w:t>ovid</w:t>
      </w:r>
      <w:r>
        <w:rPr>
          <w:rFonts w:cs="Times New Roman"/>
        </w:rPr>
        <w:t>-19 krīzes ieviestās izmaiņas ceļošanas iespēj</w:t>
      </w:r>
      <w:r w:rsidR="00CE399D">
        <w:rPr>
          <w:rFonts w:cs="Times New Roman"/>
        </w:rPr>
        <w:t>ā</w:t>
      </w:r>
      <w:r>
        <w:rPr>
          <w:rFonts w:cs="Times New Roman"/>
        </w:rPr>
        <w:t>s, šie semināri tika organizēti videokonferences režīmā. Jāatzīmē arī, ka vairāki semināri tika atcelti, ja tika secināts, ka videokonferences režīms nespētu nodrošināt semināra mērķu sasniegšanu, t.sk. E</w:t>
      </w:r>
      <w:r w:rsidR="00CE399D">
        <w:rPr>
          <w:rFonts w:cs="Times New Roman"/>
        </w:rPr>
        <w:t>iropas Savienības</w:t>
      </w:r>
      <w:r>
        <w:rPr>
          <w:rFonts w:cs="Times New Roman"/>
        </w:rPr>
        <w:t xml:space="preserve"> Ģenerālprokuroru Konsultatīvais forums.</w:t>
      </w:r>
    </w:p>
    <w:p w14:paraId="3E26E9CC" w14:textId="77777777" w:rsidR="00F36BD4" w:rsidRPr="00080D71" w:rsidRDefault="00F36BD4" w:rsidP="00F36BD4">
      <w:pPr>
        <w:spacing w:after="0" w:line="240" w:lineRule="auto"/>
        <w:jc w:val="both"/>
        <w:rPr>
          <w:rFonts w:cs="Times New Roman"/>
        </w:rPr>
      </w:pPr>
    </w:p>
    <w:p w14:paraId="4A0C04B5" w14:textId="7CD1E295" w:rsidR="00F36BD4" w:rsidRDefault="00F36BD4" w:rsidP="00CE399D">
      <w:pPr>
        <w:spacing w:after="0" w:line="240" w:lineRule="auto"/>
        <w:ind w:firstLine="720"/>
        <w:jc w:val="both"/>
        <w:rPr>
          <w:rFonts w:cs="Times New Roman"/>
        </w:rPr>
      </w:pPr>
      <w:r>
        <w:rPr>
          <w:rFonts w:cs="Times New Roman"/>
        </w:rPr>
        <w:t>Arī 2020</w:t>
      </w:r>
      <w:r w:rsidRPr="00080D71">
        <w:rPr>
          <w:rFonts w:cs="Times New Roman"/>
        </w:rPr>
        <w:t>.</w:t>
      </w:r>
      <w:r w:rsidR="00CE399D">
        <w:rPr>
          <w:rFonts w:cs="Times New Roman"/>
        </w:rPr>
        <w:t> </w:t>
      </w:r>
      <w:r w:rsidRPr="00080D71">
        <w:rPr>
          <w:rFonts w:cs="Times New Roman"/>
        </w:rPr>
        <w:t xml:space="preserve">gadā </w:t>
      </w:r>
      <w:proofErr w:type="spellStart"/>
      <w:r w:rsidRPr="00080D71">
        <w:rPr>
          <w:rFonts w:cs="Times New Roman"/>
        </w:rPr>
        <w:t>Eirojusta</w:t>
      </w:r>
      <w:proofErr w:type="spellEnd"/>
      <w:r w:rsidRPr="00080D71">
        <w:rPr>
          <w:rFonts w:cs="Times New Roman"/>
        </w:rPr>
        <w:t xml:space="preserve"> Latvijas pārstāvniecības darbu </w:t>
      </w:r>
      <w:r>
        <w:rPr>
          <w:rFonts w:cs="Times New Roman"/>
        </w:rPr>
        <w:t xml:space="preserve">turpināja </w:t>
      </w:r>
      <w:r w:rsidRPr="00080D71">
        <w:rPr>
          <w:rFonts w:cs="Times New Roman"/>
        </w:rPr>
        <w:t>atbalstī</w:t>
      </w:r>
      <w:r>
        <w:rPr>
          <w:rFonts w:cs="Times New Roman"/>
        </w:rPr>
        <w:t>t</w:t>
      </w:r>
      <w:r w:rsidRPr="00080D71">
        <w:rPr>
          <w:rFonts w:cs="Times New Roman"/>
        </w:rPr>
        <w:t xml:space="preserve"> Ģenerālprokuratūras </w:t>
      </w:r>
      <w:r>
        <w:rPr>
          <w:rFonts w:cs="Times New Roman"/>
        </w:rPr>
        <w:t>norīkotais</w:t>
      </w:r>
      <w:r w:rsidRPr="00080D71">
        <w:rPr>
          <w:rFonts w:cs="Times New Roman"/>
        </w:rPr>
        <w:t xml:space="preserve"> nacionālais eksperts (SNE)</w:t>
      </w:r>
      <w:r w:rsidR="0083660E">
        <w:rPr>
          <w:rFonts w:cs="Times New Roman"/>
        </w:rPr>
        <w:t xml:space="preserve"> – Ģenerālprokuratūras Darbības analīzes un vadības departamenta </w:t>
      </w:r>
      <w:r w:rsidRPr="00080D71">
        <w:rPr>
          <w:rFonts w:cs="Times New Roman"/>
        </w:rPr>
        <w:t>Starptautiskās sadarbības nodaļas prokuror</w:t>
      </w:r>
      <w:r w:rsidR="0083660E">
        <w:rPr>
          <w:rFonts w:cs="Times New Roman"/>
        </w:rPr>
        <w:t>s</w:t>
      </w:r>
      <w:r w:rsidRPr="00080D71">
        <w:rPr>
          <w:rFonts w:cs="Times New Roman"/>
        </w:rPr>
        <w:t xml:space="preserve">. </w:t>
      </w:r>
      <w:r>
        <w:rPr>
          <w:rFonts w:cs="Times New Roman"/>
        </w:rPr>
        <w:t>Šī pozīcija ir nozīmīga sekmīgai Latvijas pārstāvniecības darba nodrošināšanai, jo izskatāmo lietu apjoms un sarežģītība pieaug un nacionālā eksperta atbalsts ir būtisks pārstāvniecības funkciju un uzdevumu kvalitatīvai un savlaicīgai izpildei.</w:t>
      </w:r>
    </w:p>
    <w:p w14:paraId="2E3A7F6B" w14:textId="77777777" w:rsidR="003A2701" w:rsidRPr="00080D71" w:rsidRDefault="003A2701" w:rsidP="00CE399D">
      <w:pPr>
        <w:spacing w:after="0" w:line="240" w:lineRule="auto"/>
        <w:ind w:firstLine="720"/>
        <w:jc w:val="both"/>
        <w:rPr>
          <w:rFonts w:cs="Times New Roman"/>
        </w:rPr>
      </w:pPr>
    </w:p>
    <w:p w14:paraId="4A1D6CB2" w14:textId="06C43DA6" w:rsidR="00F36BD4" w:rsidRDefault="00CE399D" w:rsidP="00F36BD4">
      <w:pPr>
        <w:spacing w:after="0" w:line="360" w:lineRule="auto"/>
        <w:jc w:val="both"/>
        <w:rPr>
          <w:b/>
        </w:rPr>
      </w:pPr>
      <w:r>
        <w:rPr>
          <w:b/>
        </w:rPr>
        <w:t xml:space="preserve">[4] </w:t>
      </w:r>
      <w:r w:rsidR="00F36BD4" w:rsidRPr="00B8341D">
        <w:rPr>
          <w:b/>
        </w:rPr>
        <w:t>Aktualitātes</w:t>
      </w:r>
    </w:p>
    <w:p w14:paraId="65DFB371" w14:textId="10D12F98" w:rsidR="00F36BD4" w:rsidRDefault="00F36BD4" w:rsidP="00CE399D">
      <w:pPr>
        <w:spacing w:after="0" w:line="240" w:lineRule="auto"/>
        <w:ind w:firstLine="720"/>
        <w:jc w:val="both"/>
      </w:pPr>
      <w:r>
        <w:t xml:space="preserve">Atbilstoši </w:t>
      </w:r>
      <w:r w:rsidR="00CE399D">
        <w:t>2019. ga</w:t>
      </w:r>
      <w:r>
        <w:t xml:space="preserve">dā parakstītajiem sadarbības līgumiem ar Serbiju un Gruziju un abu valstu interesei pēc pastāvīga pārstāvja </w:t>
      </w:r>
      <w:proofErr w:type="spellStart"/>
      <w:r>
        <w:t>Eirojustā</w:t>
      </w:r>
      <w:proofErr w:type="spellEnd"/>
      <w:r>
        <w:t xml:space="preserve"> </w:t>
      </w:r>
      <w:r w:rsidR="00CE399D">
        <w:t>2020.</w:t>
      </w:r>
      <w:r w:rsidR="003F1970">
        <w:t> </w:t>
      </w:r>
      <w:r>
        <w:t xml:space="preserve">gada martā darbu </w:t>
      </w:r>
      <w:proofErr w:type="spellStart"/>
      <w:r>
        <w:t>Eirojusta</w:t>
      </w:r>
      <w:proofErr w:type="spellEnd"/>
      <w:r>
        <w:t xml:space="preserve"> telpās uzsāka pirmā Serbijas sakaru prokurore un jūnijā darbu uzsāka pirmais Gruzijas sakaru prokurors </w:t>
      </w:r>
      <w:proofErr w:type="spellStart"/>
      <w:r>
        <w:t>Eirojustā</w:t>
      </w:r>
      <w:proofErr w:type="spellEnd"/>
      <w:r>
        <w:t xml:space="preserve">. Tādējādi tika paplašināts to trešo valstu loks, kuru sakaru prokurori ir norīkoti darbam </w:t>
      </w:r>
      <w:proofErr w:type="spellStart"/>
      <w:r>
        <w:t>Eirojustā</w:t>
      </w:r>
      <w:proofErr w:type="spellEnd"/>
      <w:r>
        <w:t>, būtiski uzlabojot nepieciešamo krimināltiesisko sadarbību arī ar šīm valstīm.</w:t>
      </w:r>
    </w:p>
    <w:p w14:paraId="51F3DA87" w14:textId="77777777" w:rsidR="00F36BD4" w:rsidRDefault="00F36BD4" w:rsidP="00F36BD4">
      <w:pPr>
        <w:spacing w:after="0" w:line="240" w:lineRule="auto"/>
        <w:jc w:val="both"/>
      </w:pPr>
    </w:p>
    <w:p w14:paraId="7836C791" w14:textId="77777777" w:rsidR="003A2701" w:rsidRDefault="00F36BD4" w:rsidP="003F1970">
      <w:pPr>
        <w:spacing w:after="0" w:line="240" w:lineRule="auto"/>
        <w:ind w:firstLine="720"/>
        <w:jc w:val="both"/>
      </w:pPr>
      <w:r>
        <w:t>Šobrīd</w:t>
      </w:r>
      <w:r w:rsidRPr="00BE16C1">
        <w:t xml:space="preserve"> </w:t>
      </w:r>
      <w:proofErr w:type="spellStart"/>
      <w:r w:rsidRPr="00BE16C1">
        <w:t>Eirojusts</w:t>
      </w:r>
      <w:proofErr w:type="spellEnd"/>
      <w:r w:rsidRPr="00BE16C1">
        <w:t xml:space="preserve"> var nodrošināt atbalstu starptautiskajā sadarbībā arī ar </w:t>
      </w:r>
      <w:r w:rsidRPr="00F67C42">
        <w:t>56</w:t>
      </w:r>
      <w:r w:rsidR="003F1970">
        <w:t> </w:t>
      </w:r>
      <w:r w:rsidRPr="00BE16C1">
        <w:t xml:space="preserve">trešajām valstīm (ieskaitot tās, ar kurām ir noslēgti sadarbības līgumi), kurās ir norīkoti kontaktpunkti sadarbībai ar </w:t>
      </w:r>
      <w:proofErr w:type="spellStart"/>
      <w:r w:rsidRPr="00BE16C1">
        <w:lastRenderedPageBreak/>
        <w:t>Eirojustu</w:t>
      </w:r>
      <w:proofErr w:type="spellEnd"/>
      <w:r w:rsidRPr="00BE16C1">
        <w:t xml:space="preserve">. Neskaitot trešo valstu sakaru prokurorus, kuri nosūtīti darbam </w:t>
      </w:r>
      <w:proofErr w:type="spellStart"/>
      <w:r w:rsidRPr="00BE16C1">
        <w:t>Eirojustā</w:t>
      </w:r>
      <w:proofErr w:type="spellEnd"/>
      <w:r w:rsidRPr="00BE16C1">
        <w:t>, atskaites periodā Latvija ir izmantojusi kontaktpunktu atbalstu Baltkrievijā un Turcijā, sekmējot nosūtīto tiesiskās palīdzības lūgumu savlaicīgu izpildi. Ko</w:t>
      </w:r>
      <w:r w:rsidR="003F1970">
        <w:t>ntaktpunktu</w:t>
      </w:r>
      <w:r w:rsidRPr="00BE16C1">
        <w:t xml:space="preserve"> sarakst</w:t>
      </w:r>
      <w:r w:rsidR="00E041B7">
        <w:t xml:space="preserve">u papildinājušas </w:t>
      </w:r>
      <w:r w:rsidRPr="00BE16C1">
        <w:t>Meksika, Kosova, Šrilanka, Lielbritāni</w:t>
      </w:r>
      <w:r>
        <w:t>ja, Uzbekistāna, savukārt kontaktpunkt</w:t>
      </w:r>
      <w:r w:rsidR="00E041B7">
        <w:t>a</w:t>
      </w:r>
      <w:r>
        <w:t xml:space="preserve"> vair</w:t>
      </w:r>
      <w:r w:rsidR="00E041B7">
        <w:t>s</w:t>
      </w:r>
      <w:r>
        <w:t xml:space="preserve"> nav</w:t>
      </w:r>
      <w:r w:rsidRPr="00BE16C1">
        <w:t xml:space="preserve"> Indijā. </w:t>
      </w:r>
    </w:p>
    <w:p w14:paraId="68C5F7F8" w14:textId="77777777" w:rsidR="003A2701" w:rsidRDefault="003A2701" w:rsidP="003F1970">
      <w:pPr>
        <w:spacing w:after="0" w:line="240" w:lineRule="auto"/>
        <w:ind w:firstLine="720"/>
        <w:jc w:val="both"/>
      </w:pPr>
    </w:p>
    <w:p w14:paraId="13135D24" w14:textId="3FAA5670" w:rsidR="00F36BD4" w:rsidRDefault="0033665E" w:rsidP="00630244">
      <w:pPr>
        <w:spacing w:after="0" w:line="240" w:lineRule="auto"/>
        <w:jc w:val="center"/>
      </w:pPr>
      <w:r>
        <w:rPr>
          <w:noProof/>
          <w:lang w:eastAsia="en-GB"/>
        </w:rPr>
        <w:drawing>
          <wp:inline distT="0" distB="0" distL="0" distR="0" wp14:anchorId="1F2B845C" wp14:editId="23285644">
            <wp:extent cx="5548191" cy="3540125"/>
            <wp:effectExtent l="0" t="0" r="0" b="3175"/>
            <wp:docPr id="204" name="Picture 204" descr="https://www.eurojust.europa.eu/sites/default/files/2021-01/2021_01_04_cooperation_with_third_count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urojust.europa.eu/sites/default/files/2021-01/2021_01_04_cooperation_with_third_countries.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573451" cy="3556243"/>
                    </a:xfrm>
                    <a:prstGeom prst="rect">
                      <a:avLst/>
                    </a:prstGeom>
                    <a:noFill/>
                    <a:ln>
                      <a:noFill/>
                    </a:ln>
                  </pic:spPr>
                </pic:pic>
              </a:graphicData>
            </a:graphic>
          </wp:inline>
        </w:drawing>
      </w:r>
    </w:p>
    <w:p w14:paraId="68E8D75D" w14:textId="77777777" w:rsidR="00F36BD4" w:rsidRDefault="00F36BD4" w:rsidP="00F36BD4">
      <w:pPr>
        <w:spacing w:after="0" w:line="240" w:lineRule="auto"/>
        <w:jc w:val="both"/>
      </w:pPr>
    </w:p>
    <w:p w14:paraId="479AE7D9" w14:textId="77777777" w:rsidR="00F36BD4" w:rsidRDefault="00F36BD4" w:rsidP="00E041B7">
      <w:pPr>
        <w:spacing w:after="0" w:line="240" w:lineRule="auto"/>
        <w:ind w:firstLine="720"/>
        <w:jc w:val="both"/>
      </w:pPr>
      <w:r>
        <w:t>Ar mērķi uzlabot Eiropas un Vidusjūras reģiona valstu partnerattiecības krimināltiesiskās sadarbības jomā (</w:t>
      </w:r>
      <w:proofErr w:type="spellStart"/>
      <w:r w:rsidRPr="006852A8">
        <w:rPr>
          <w:i/>
        </w:rPr>
        <w:t>EuroMed</w:t>
      </w:r>
      <w:proofErr w:type="spellEnd"/>
      <w:r w:rsidRPr="006852A8">
        <w:rPr>
          <w:i/>
        </w:rPr>
        <w:t xml:space="preserve"> </w:t>
      </w:r>
      <w:proofErr w:type="spellStart"/>
      <w:r w:rsidRPr="006852A8">
        <w:rPr>
          <w:i/>
        </w:rPr>
        <w:t>Justice</w:t>
      </w:r>
      <w:proofErr w:type="spellEnd"/>
      <w:r>
        <w:t xml:space="preserve"> projekts), </w:t>
      </w:r>
      <w:proofErr w:type="spellStart"/>
      <w:r>
        <w:t>Eirojusts</w:t>
      </w:r>
      <w:proofErr w:type="spellEnd"/>
      <w:r>
        <w:t xml:space="preserve"> ir saņēmis nepieciešamo finansējumu, lai savās telpās uzņemtu </w:t>
      </w:r>
      <w:proofErr w:type="spellStart"/>
      <w:r w:rsidRPr="006852A8">
        <w:rPr>
          <w:i/>
        </w:rPr>
        <w:t>EuroMed</w:t>
      </w:r>
      <w:proofErr w:type="spellEnd"/>
      <w:r w:rsidRPr="006852A8">
        <w:rPr>
          <w:i/>
        </w:rPr>
        <w:t xml:space="preserve"> </w:t>
      </w:r>
      <w:proofErr w:type="spellStart"/>
      <w:r w:rsidRPr="006852A8">
        <w:rPr>
          <w:i/>
        </w:rPr>
        <w:t>Justice</w:t>
      </w:r>
      <w:proofErr w:type="spellEnd"/>
      <w:r>
        <w:t xml:space="preserve"> projekta realizēšanai nepieciešamos cilvēkresursus un pārējo nodrošinājumu. </w:t>
      </w:r>
    </w:p>
    <w:p w14:paraId="1CBD3A3D" w14:textId="77777777" w:rsidR="00F36BD4" w:rsidRDefault="00F36BD4" w:rsidP="00F36BD4">
      <w:pPr>
        <w:spacing w:after="0" w:line="240" w:lineRule="auto"/>
        <w:jc w:val="both"/>
      </w:pPr>
    </w:p>
    <w:p w14:paraId="226FF7CD" w14:textId="6A2D051F" w:rsidR="00F36BD4" w:rsidRDefault="00F36BD4" w:rsidP="00E041B7">
      <w:pPr>
        <w:spacing w:after="0" w:line="240" w:lineRule="auto"/>
        <w:ind w:firstLine="720"/>
        <w:jc w:val="both"/>
      </w:pPr>
      <w:r>
        <w:t xml:space="preserve">Būtisku progresu var manīt </w:t>
      </w:r>
      <w:proofErr w:type="spellStart"/>
      <w:r w:rsidRPr="00D62C5F">
        <w:rPr>
          <w:i/>
        </w:rPr>
        <w:t>Digital</w:t>
      </w:r>
      <w:proofErr w:type="spellEnd"/>
      <w:r w:rsidRPr="00D62C5F">
        <w:rPr>
          <w:i/>
        </w:rPr>
        <w:t xml:space="preserve"> </w:t>
      </w:r>
      <w:proofErr w:type="spellStart"/>
      <w:r w:rsidRPr="00D62C5F">
        <w:rPr>
          <w:i/>
        </w:rPr>
        <w:t>Criminal</w:t>
      </w:r>
      <w:proofErr w:type="spellEnd"/>
      <w:r w:rsidRPr="00D62C5F">
        <w:rPr>
          <w:i/>
        </w:rPr>
        <w:t xml:space="preserve"> </w:t>
      </w:r>
      <w:proofErr w:type="spellStart"/>
      <w:r w:rsidRPr="00D62C5F">
        <w:rPr>
          <w:i/>
        </w:rPr>
        <w:t>Justice</w:t>
      </w:r>
      <w:proofErr w:type="spellEnd"/>
      <w:r>
        <w:t xml:space="preserve"> projektā, kuru </w:t>
      </w:r>
      <w:proofErr w:type="spellStart"/>
      <w:r>
        <w:t>Eirojusts</w:t>
      </w:r>
      <w:proofErr w:type="spellEnd"/>
      <w:r>
        <w:t xml:space="preserve"> uzsāka pirms</w:t>
      </w:r>
      <w:r w:rsidR="00E041B7">
        <w:t xml:space="preserve"> diviem </w:t>
      </w:r>
      <w:r>
        <w:t>gadiem ar mērķi efektivizēt un veicināt digitālas starptautiskās tiesiskās sadarbības organizēšanu Eiropas mērogā. Līdz ar C</w:t>
      </w:r>
      <w:r w:rsidR="00E041B7">
        <w:t>ovid</w:t>
      </w:r>
      <w:r>
        <w:t xml:space="preserve">-19 izaicinājumiem dažādu digitālo resursu izmantošana ir ļoti aktualizējusies un Eiropas Komisija ir atzinusi savā ziņojumā </w:t>
      </w:r>
      <w:r w:rsidRPr="00BD677B">
        <w:rPr>
          <w:i/>
        </w:rPr>
        <w:t>“</w:t>
      </w:r>
      <w:proofErr w:type="spellStart"/>
      <w:r w:rsidRPr="00BD677B">
        <w:rPr>
          <w:i/>
        </w:rPr>
        <w:t>Communication</w:t>
      </w:r>
      <w:proofErr w:type="spellEnd"/>
      <w:r w:rsidRPr="00BD677B">
        <w:rPr>
          <w:i/>
        </w:rPr>
        <w:t xml:space="preserve"> </w:t>
      </w:r>
      <w:proofErr w:type="spellStart"/>
      <w:r w:rsidRPr="00BD677B">
        <w:rPr>
          <w:i/>
        </w:rPr>
        <w:t>on</w:t>
      </w:r>
      <w:proofErr w:type="spellEnd"/>
      <w:r w:rsidRPr="00BD677B">
        <w:rPr>
          <w:i/>
        </w:rPr>
        <w:t xml:space="preserve"> </w:t>
      </w:r>
      <w:proofErr w:type="spellStart"/>
      <w:r w:rsidRPr="00BD677B">
        <w:rPr>
          <w:i/>
        </w:rPr>
        <w:t>the</w:t>
      </w:r>
      <w:proofErr w:type="spellEnd"/>
      <w:r w:rsidRPr="00BD677B">
        <w:rPr>
          <w:i/>
        </w:rPr>
        <w:t xml:space="preserve"> </w:t>
      </w:r>
      <w:proofErr w:type="spellStart"/>
      <w:r w:rsidRPr="00BD677B">
        <w:rPr>
          <w:i/>
        </w:rPr>
        <w:t>Digitalisation</w:t>
      </w:r>
      <w:proofErr w:type="spellEnd"/>
      <w:r w:rsidRPr="00BD677B">
        <w:rPr>
          <w:i/>
        </w:rPr>
        <w:t xml:space="preserve"> </w:t>
      </w:r>
      <w:proofErr w:type="spellStart"/>
      <w:r w:rsidRPr="00BD677B">
        <w:rPr>
          <w:i/>
        </w:rPr>
        <w:t>of</w:t>
      </w:r>
      <w:proofErr w:type="spellEnd"/>
      <w:r w:rsidRPr="00BD677B">
        <w:rPr>
          <w:i/>
        </w:rPr>
        <w:t xml:space="preserve"> </w:t>
      </w:r>
      <w:proofErr w:type="spellStart"/>
      <w:r w:rsidRPr="00BD677B">
        <w:rPr>
          <w:i/>
        </w:rPr>
        <w:t>Justice</w:t>
      </w:r>
      <w:proofErr w:type="spellEnd"/>
      <w:r w:rsidRPr="00BD677B">
        <w:rPr>
          <w:i/>
        </w:rPr>
        <w:t xml:space="preserve"> </w:t>
      </w:r>
      <w:proofErr w:type="spellStart"/>
      <w:r w:rsidRPr="00BD677B">
        <w:rPr>
          <w:i/>
        </w:rPr>
        <w:t>in</w:t>
      </w:r>
      <w:proofErr w:type="spellEnd"/>
      <w:r w:rsidRPr="00BD677B">
        <w:rPr>
          <w:i/>
        </w:rPr>
        <w:t xml:space="preserve"> </w:t>
      </w:r>
      <w:proofErr w:type="spellStart"/>
      <w:r w:rsidRPr="00BD677B">
        <w:rPr>
          <w:i/>
        </w:rPr>
        <w:t>the</w:t>
      </w:r>
      <w:proofErr w:type="spellEnd"/>
      <w:r w:rsidRPr="00BD677B">
        <w:rPr>
          <w:i/>
        </w:rPr>
        <w:t xml:space="preserve"> EU”</w:t>
      </w:r>
      <w:r>
        <w:t xml:space="preserve"> </w:t>
      </w:r>
      <w:proofErr w:type="spellStart"/>
      <w:r>
        <w:t>Eirojusta</w:t>
      </w:r>
      <w:proofErr w:type="spellEnd"/>
      <w:r>
        <w:t xml:space="preserve"> būtisko lomu Eiropas krimināltiesiskās sadarbības digitalizēšanā. Līdz ar to var sagaidīt, ka tuvākajā nākotnē gan dalībvalstis, gan pārējās Eiropas iekšlietu un tieslietu aģentūras (Eiropols, OLAF, </w:t>
      </w:r>
      <w:proofErr w:type="spellStart"/>
      <w:r>
        <w:t>Frontex</w:t>
      </w:r>
      <w:proofErr w:type="spellEnd"/>
      <w:r>
        <w:t xml:space="preserve">, EPPO) tiks aktīvi iesaistītas projektos, kas veicinātu datu un informācijas apmaiņu vienotās platformās. </w:t>
      </w:r>
    </w:p>
    <w:p w14:paraId="11D45A3A" w14:textId="77777777" w:rsidR="00F36BD4" w:rsidRDefault="00F36BD4" w:rsidP="00F36BD4">
      <w:pPr>
        <w:spacing w:after="0" w:line="240" w:lineRule="auto"/>
        <w:jc w:val="both"/>
      </w:pPr>
    </w:p>
    <w:p w14:paraId="4F2F728A" w14:textId="5DAEEF1C" w:rsidR="00A46445" w:rsidRDefault="00F36BD4" w:rsidP="00A46445">
      <w:pPr>
        <w:spacing w:after="0" w:line="240" w:lineRule="auto"/>
        <w:jc w:val="both"/>
        <w:rPr>
          <w:b/>
          <w:bCs/>
        </w:rPr>
      </w:pPr>
      <w:r w:rsidRPr="00A46445">
        <w:rPr>
          <w:b/>
          <w:bCs/>
        </w:rPr>
        <w:t xml:space="preserve">Latvijas pārstāve </w:t>
      </w:r>
      <w:proofErr w:type="spellStart"/>
      <w:r w:rsidRPr="00A46445">
        <w:rPr>
          <w:b/>
          <w:bCs/>
        </w:rPr>
        <w:t>Eirojustā</w:t>
      </w:r>
      <w:proofErr w:type="spellEnd"/>
      <w:r w:rsidR="00A46445" w:rsidRPr="00A46445">
        <w:rPr>
          <w:b/>
          <w:bCs/>
        </w:rPr>
        <w:t xml:space="preserve"> D</w:t>
      </w:r>
      <w:r w:rsidR="0072497D">
        <w:rPr>
          <w:b/>
          <w:bCs/>
        </w:rPr>
        <w:t>. </w:t>
      </w:r>
      <w:r w:rsidR="00A46445" w:rsidRPr="00A46445">
        <w:rPr>
          <w:b/>
          <w:bCs/>
        </w:rPr>
        <w:t>Skudra</w:t>
      </w:r>
    </w:p>
    <w:p w14:paraId="63943AAB" w14:textId="6507A26F" w:rsidR="00630244" w:rsidRDefault="00B16CA1" w:rsidP="00A46445">
      <w:pPr>
        <w:spacing w:after="0" w:line="240" w:lineRule="auto"/>
        <w:jc w:val="both"/>
        <w:rPr>
          <w:b/>
          <w:bCs/>
        </w:rPr>
      </w:pPr>
      <w:r>
        <w:rPr>
          <w:b/>
          <w:bCs/>
        </w:rPr>
        <w:t>Hāgā, Nīderlandes Karalist</w:t>
      </w:r>
      <w:r w:rsidR="00741412">
        <w:rPr>
          <w:b/>
          <w:bCs/>
        </w:rPr>
        <w:t>ē</w:t>
      </w:r>
      <w:r>
        <w:rPr>
          <w:b/>
          <w:bCs/>
        </w:rPr>
        <w:t>, 2021. gada 21. janvārī</w:t>
      </w:r>
    </w:p>
    <w:p w14:paraId="70EF6406" w14:textId="77777777" w:rsidR="00630244" w:rsidRDefault="00630244">
      <w:pPr>
        <w:rPr>
          <w:b/>
          <w:bCs/>
        </w:rPr>
      </w:pPr>
      <w:r>
        <w:rPr>
          <w:b/>
          <w:bCs/>
        </w:rPr>
        <w:br w:type="page"/>
      </w:r>
    </w:p>
    <w:bookmarkEnd w:id="88"/>
    <w:p w14:paraId="27C675C6" w14:textId="77777777" w:rsidR="006B1A68" w:rsidRDefault="006B1A68" w:rsidP="006B1A68">
      <w:pPr>
        <w:keepNext/>
        <w:spacing w:after="0" w:line="240" w:lineRule="auto"/>
        <w:jc w:val="center"/>
        <w:rPr>
          <w:rFonts w:eastAsia="Calibri" w:cs="Times New Roman"/>
          <w:b/>
          <w:bCs/>
          <w:caps/>
          <w:color w:val="000000"/>
          <w:sz w:val="28"/>
          <w:szCs w:val="28"/>
        </w:rPr>
      </w:pPr>
      <w:r w:rsidRPr="002B1FE1">
        <w:rPr>
          <w:rFonts w:eastAsia="Calibri" w:cs="Times New Roman"/>
          <w:b/>
          <w:bCs/>
          <w:caps/>
          <w:color w:val="000000"/>
          <w:sz w:val="28"/>
          <w:szCs w:val="28"/>
        </w:rPr>
        <w:lastRenderedPageBreak/>
        <w:t>Prokuratūras valsts budžeta ieņēmumi un izdevumi 2020.</w:t>
      </w:r>
      <w:r>
        <w:rPr>
          <w:rFonts w:eastAsia="Calibri" w:cs="Times New Roman"/>
          <w:b/>
          <w:bCs/>
          <w:caps/>
          <w:color w:val="000000"/>
          <w:sz w:val="28"/>
          <w:szCs w:val="28"/>
        </w:rPr>
        <w:t> </w:t>
      </w:r>
      <w:r w:rsidRPr="002B1FE1">
        <w:rPr>
          <w:rFonts w:eastAsia="Calibri" w:cs="Times New Roman"/>
          <w:b/>
          <w:bCs/>
          <w:caps/>
          <w:color w:val="000000"/>
          <w:sz w:val="28"/>
          <w:szCs w:val="28"/>
        </w:rPr>
        <w:t>gadā</w:t>
      </w:r>
    </w:p>
    <w:p w14:paraId="03A10786" w14:textId="77777777" w:rsidR="006B1A68" w:rsidRPr="002B1FE1" w:rsidRDefault="006B1A68" w:rsidP="006B1A68">
      <w:pPr>
        <w:keepNext/>
        <w:spacing w:after="0" w:line="240" w:lineRule="auto"/>
        <w:jc w:val="both"/>
        <w:rPr>
          <w:rFonts w:eastAsia="Calibri" w:cs="Times New Roman"/>
          <w:b/>
          <w:bCs/>
          <w:caps/>
          <w:color w:val="000000"/>
          <w:szCs w:val="24"/>
        </w:rPr>
      </w:pPr>
    </w:p>
    <w:p w14:paraId="53AA43F2" w14:textId="77777777" w:rsidR="006B1A68" w:rsidRPr="00A73554" w:rsidRDefault="006B1A68" w:rsidP="006B1A68">
      <w:pPr>
        <w:pStyle w:val="ListParagraph"/>
        <w:numPr>
          <w:ilvl w:val="0"/>
          <w:numId w:val="42"/>
        </w:numPr>
        <w:spacing w:after="0" w:line="240" w:lineRule="auto"/>
        <w:rPr>
          <w:rFonts w:eastAsia="Times New Roman" w:cs="Times New Roman"/>
          <w:b/>
          <w:bCs/>
          <w:color w:val="000000"/>
          <w:szCs w:val="24"/>
          <w:lang w:eastAsia="lv-LV"/>
        </w:rPr>
      </w:pPr>
      <w:r w:rsidRPr="00A73554">
        <w:rPr>
          <w:rFonts w:eastAsia="Times New Roman" w:cs="Times New Roman"/>
          <w:b/>
          <w:bCs/>
          <w:color w:val="000000"/>
          <w:szCs w:val="24"/>
          <w:lang w:eastAsia="lv-LV"/>
        </w:rPr>
        <w:t>Valsts budžeta programmu ieņēmumi 2020.</w:t>
      </w:r>
      <w:r>
        <w:rPr>
          <w:rFonts w:eastAsia="Times New Roman" w:cs="Times New Roman"/>
          <w:b/>
          <w:bCs/>
          <w:color w:val="000000"/>
          <w:szCs w:val="24"/>
          <w:lang w:eastAsia="lv-LV"/>
        </w:rPr>
        <w:t> </w:t>
      </w:r>
      <w:r w:rsidRPr="00A73554">
        <w:rPr>
          <w:rFonts w:eastAsia="Times New Roman" w:cs="Times New Roman"/>
          <w:b/>
          <w:bCs/>
          <w:color w:val="000000"/>
          <w:szCs w:val="24"/>
          <w:lang w:eastAsia="lv-LV"/>
        </w:rPr>
        <w:t>gadā</w:t>
      </w:r>
    </w:p>
    <w:p w14:paraId="45FD7175" w14:textId="77777777" w:rsidR="006B1A68" w:rsidRPr="00B12B88" w:rsidRDefault="006B1A68" w:rsidP="006B1A68">
      <w:pPr>
        <w:spacing w:after="0"/>
        <w:ind w:firstLine="720"/>
        <w:jc w:val="both"/>
        <w:rPr>
          <w:rFonts w:eastAsia="Calibri" w:cs="Times New Roman"/>
          <w:color w:val="000000"/>
          <w:szCs w:val="24"/>
          <w:highlight w:val="yellow"/>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2673"/>
        <w:gridCol w:w="2436"/>
        <w:gridCol w:w="1684"/>
      </w:tblGrid>
      <w:tr w:rsidR="006B1A68" w:rsidRPr="00B12B88" w14:paraId="4317A15D" w14:textId="77777777" w:rsidTr="006B1A68">
        <w:trPr>
          <w:trHeight w:val="1044"/>
        </w:trPr>
        <w:tc>
          <w:tcPr>
            <w:tcW w:w="2048" w:type="dxa"/>
            <w:shd w:val="clear" w:color="auto" w:fill="auto"/>
            <w:vAlign w:val="center"/>
            <w:hideMark/>
          </w:tcPr>
          <w:p w14:paraId="26F6677A"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 xml:space="preserve">Programmas / </w:t>
            </w:r>
            <w:r>
              <w:rPr>
                <w:rFonts w:eastAsia="Times New Roman" w:cs="Times New Roman"/>
                <w:b/>
                <w:bCs/>
                <w:color w:val="000000"/>
                <w:szCs w:val="24"/>
                <w:lang w:eastAsia="lv-LV"/>
              </w:rPr>
              <w:t>a</w:t>
            </w:r>
            <w:r w:rsidRPr="00B12B88">
              <w:rPr>
                <w:rFonts w:eastAsia="Times New Roman" w:cs="Times New Roman"/>
                <w:b/>
                <w:bCs/>
                <w:color w:val="000000"/>
                <w:szCs w:val="24"/>
                <w:lang w:eastAsia="lv-LV"/>
              </w:rPr>
              <w:t>pakšprogrammas</w:t>
            </w:r>
          </w:p>
          <w:p w14:paraId="55EC8238"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kods</w:t>
            </w:r>
          </w:p>
        </w:tc>
        <w:tc>
          <w:tcPr>
            <w:tcW w:w="3764" w:type="dxa"/>
            <w:shd w:val="clear" w:color="auto" w:fill="auto"/>
            <w:vAlign w:val="center"/>
            <w:hideMark/>
          </w:tcPr>
          <w:p w14:paraId="6D4C8272"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Programmas nosaukums</w:t>
            </w:r>
          </w:p>
        </w:tc>
        <w:tc>
          <w:tcPr>
            <w:tcW w:w="1701" w:type="dxa"/>
          </w:tcPr>
          <w:p w14:paraId="2B354308" w14:textId="77777777" w:rsidR="006B1A68" w:rsidRPr="00B12B88" w:rsidRDefault="006B1A68" w:rsidP="006B1A68">
            <w:pPr>
              <w:spacing w:after="0" w:line="240" w:lineRule="auto"/>
              <w:jc w:val="center"/>
              <w:rPr>
                <w:rFonts w:eastAsia="Times New Roman" w:cs="Times New Roman"/>
                <w:b/>
                <w:bCs/>
                <w:color w:val="000000"/>
                <w:szCs w:val="24"/>
                <w:lang w:eastAsia="lv-LV"/>
              </w:rPr>
            </w:pPr>
          </w:p>
          <w:p w14:paraId="355947DF"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Ieņēmumi plānotie</w:t>
            </w:r>
          </w:p>
          <w:p w14:paraId="3D27182B"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(EUR)</w:t>
            </w:r>
          </w:p>
        </w:tc>
        <w:tc>
          <w:tcPr>
            <w:tcW w:w="1417" w:type="dxa"/>
            <w:shd w:val="clear" w:color="auto" w:fill="auto"/>
            <w:vAlign w:val="center"/>
            <w:hideMark/>
          </w:tcPr>
          <w:p w14:paraId="1FD70184" w14:textId="77777777" w:rsidR="006B1A68" w:rsidRPr="00B12B88" w:rsidRDefault="006B1A68" w:rsidP="006B1A68">
            <w:pPr>
              <w:spacing w:after="0" w:line="240" w:lineRule="auto"/>
              <w:jc w:val="center"/>
              <w:rPr>
                <w:rFonts w:eastAsia="Times New Roman" w:cs="Times New Roman"/>
                <w:b/>
                <w:bCs/>
                <w:color w:val="000000"/>
                <w:szCs w:val="24"/>
                <w:lang w:eastAsia="lv-LV"/>
              </w:rPr>
            </w:pPr>
          </w:p>
          <w:p w14:paraId="1661DAE8"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Ieņēmumi faktiski (EUR)</w:t>
            </w:r>
          </w:p>
        </w:tc>
      </w:tr>
      <w:tr w:rsidR="006B1A68" w:rsidRPr="00B12B88" w14:paraId="67127B18" w14:textId="77777777" w:rsidTr="006B1A68">
        <w:trPr>
          <w:trHeight w:val="348"/>
        </w:trPr>
        <w:tc>
          <w:tcPr>
            <w:tcW w:w="2048" w:type="dxa"/>
            <w:shd w:val="clear" w:color="auto" w:fill="auto"/>
            <w:noWrap/>
            <w:vAlign w:val="center"/>
            <w:hideMark/>
          </w:tcPr>
          <w:p w14:paraId="7C9657A1"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01.00.00</w:t>
            </w:r>
          </w:p>
        </w:tc>
        <w:tc>
          <w:tcPr>
            <w:tcW w:w="3764" w:type="dxa"/>
            <w:shd w:val="clear" w:color="auto" w:fill="auto"/>
            <w:vAlign w:val="center"/>
            <w:hideMark/>
          </w:tcPr>
          <w:p w14:paraId="2EACBC71"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Prokuratūras iestāžu uzturēšana</w:t>
            </w:r>
          </w:p>
          <w:p w14:paraId="33C605C1" w14:textId="77777777" w:rsidR="006B1A68" w:rsidRPr="00B12B88" w:rsidRDefault="006B1A68" w:rsidP="006B1A68">
            <w:pPr>
              <w:spacing w:after="0" w:line="240" w:lineRule="auto"/>
              <w:rPr>
                <w:rFonts w:eastAsia="Times New Roman" w:cs="Times New Roman"/>
                <w:color w:val="000000"/>
                <w:szCs w:val="24"/>
                <w:highlight w:val="yellow"/>
                <w:lang w:eastAsia="lv-LV"/>
              </w:rPr>
            </w:pPr>
          </w:p>
        </w:tc>
        <w:tc>
          <w:tcPr>
            <w:tcW w:w="1701" w:type="dxa"/>
            <w:vAlign w:val="center"/>
          </w:tcPr>
          <w:p w14:paraId="4ED79AA0" w14:textId="51F0006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35</w:t>
            </w:r>
            <w:r>
              <w:rPr>
                <w:rFonts w:eastAsia="Times New Roman" w:cs="Times New Roman"/>
                <w:color w:val="000000"/>
                <w:szCs w:val="24"/>
                <w:lang w:eastAsia="lv-LV"/>
              </w:rPr>
              <w:t> </w:t>
            </w:r>
            <w:r w:rsidRPr="00B12B88">
              <w:rPr>
                <w:rFonts w:eastAsia="Times New Roman" w:cs="Times New Roman"/>
                <w:color w:val="000000"/>
                <w:szCs w:val="24"/>
                <w:lang w:eastAsia="lv-LV"/>
              </w:rPr>
              <w:t>883</w:t>
            </w:r>
            <w:r>
              <w:rPr>
                <w:rFonts w:eastAsia="Times New Roman" w:cs="Times New Roman"/>
                <w:color w:val="000000"/>
                <w:szCs w:val="24"/>
                <w:lang w:eastAsia="lv-LV"/>
              </w:rPr>
              <w:t> </w:t>
            </w:r>
            <w:r w:rsidRPr="00B12B88">
              <w:rPr>
                <w:rFonts w:eastAsia="Times New Roman" w:cs="Times New Roman"/>
                <w:color w:val="000000"/>
                <w:szCs w:val="24"/>
                <w:lang w:eastAsia="lv-LV"/>
              </w:rPr>
              <w:t>273</w:t>
            </w:r>
          </w:p>
        </w:tc>
        <w:tc>
          <w:tcPr>
            <w:tcW w:w="1417" w:type="dxa"/>
            <w:shd w:val="clear" w:color="auto" w:fill="auto"/>
            <w:noWrap/>
            <w:vAlign w:val="center"/>
          </w:tcPr>
          <w:p w14:paraId="4053B9FA" w14:textId="22C6ED3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35</w:t>
            </w:r>
            <w:r>
              <w:rPr>
                <w:rFonts w:eastAsia="Times New Roman" w:cs="Times New Roman"/>
                <w:color w:val="000000"/>
                <w:szCs w:val="24"/>
                <w:lang w:eastAsia="lv-LV"/>
              </w:rPr>
              <w:t> </w:t>
            </w:r>
            <w:r w:rsidRPr="00B12B88">
              <w:rPr>
                <w:rFonts w:eastAsia="Times New Roman" w:cs="Times New Roman"/>
                <w:color w:val="000000"/>
                <w:szCs w:val="24"/>
                <w:lang w:eastAsia="lv-LV"/>
              </w:rPr>
              <w:t>666</w:t>
            </w:r>
            <w:r>
              <w:rPr>
                <w:rFonts w:eastAsia="Times New Roman" w:cs="Times New Roman"/>
                <w:color w:val="000000"/>
                <w:szCs w:val="24"/>
                <w:lang w:eastAsia="lv-LV"/>
              </w:rPr>
              <w:t> </w:t>
            </w:r>
            <w:r w:rsidRPr="00B12B88">
              <w:rPr>
                <w:rFonts w:eastAsia="Times New Roman" w:cs="Times New Roman"/>
                <w:color w:val="000000"/>
                <w:szCs w:val="24"/>
                <w:lang w:eastAsia="lv-LV"/>
              </w:rPr>
              <w:t>137</w:t>
            </w:r>
          </w:p>
        </w:tc>
      </w:tr>
      <w:tr w:rsidR="006B1A68" w:rsidRPr="00B12B88" w14:paraId="049858F4" w14:textId="77777777" w:rsidTr="006B1A68">
        <w:trPr>
          <w:trHeight w:val="348"/>
        </w:trPr>
        <w:tc>
          <w:tcPr>
            <w:tcW w:w="2048" w:type="dxa"/>
            <w:shd w:val="clear" w:color="auto" w:fill="auto"/>
            <w:noWrap/>
            <w:vAlign w:val="center"/>
          </w:tcPr>
          <w:p w14:paraId="4B09284D"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70.06.00</w:t>
            </w:r>
          </w:p>
        </w:tc>
        <w:tc>
          <w:tcPr>
            <w:tcW w:w="3764" w:type="dxa"/>
            <w:shd w:val="clear" w:color="auto" w:fill="auto"/>
            <w:vAlign w:val="center"/>
          </w:tcPr>
          <w:p w14:paraId="395BF0FC"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 xml:space="preserve">Latvijas pārstāvju ceļa izdevumu kompensācija, dodoties uz Eiropas Savienības Padomes darba grupu sanāksmēm un Padomes sanāksmēm </w:t>
            </w:r>
          </w:p>
        </w:tc>
        <w:tc>
          <w:tcPr>
            <w:tcW w:w="1701" w:type="dxa"/>
            <w:vAlign w:val="center"/>
          </w:tcPr>
          <w:p w14:paraId="1738B350"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7543CDA4"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4534F4A7"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1B9A900C"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2 776</w:t>
            </w:r>
          </w:p>
        </w:tc>
        <w:tc>
          <w:tcPr>
            <w:tcW w:w="1417" w:type="dxa"/>
            <w:shd w:val="clear" w:color="auto" w:fill="auto"/>
            <w:noWrap/>
            <w:vAlign w:val="center"/>
          </w:tcPr>
          <w:p w14:paraId="1394ECFC"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5354441B"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62C5A15D"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52CC59A8" w14:textId="2B5B8965"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2</w:t>
            </w:r>
            <w:r>
              <w:rPr>
                <w:rFonts w:eastAsia="Times New Roman" w:cs="Times New Roman"/>
                <w:color w:val="000000"/>
                <w:szCs w:val="24"/>
                <w:lang w:eastAsia="lv-LV"/>
              </w:rPr>
              <w:t> </w:t>
            </w:r>
            <w:r w:rsidRPr="00B12B88">
              <w:rPr>
                <w:rFonts w:eastAsia="Times New Roman" w:cs="Times New Roman"/>
                <w:color w:val="000000"/>
                <w:szCs w:val="24"/>
                <w:lang w:eastAsia="lv-LV"/>
              </w:rPr>
              <w:t>776</w:t>
            </w:r>
          </w:p>
        </w:tc>
      </w:tr>
      <w:tr w:rsidR="006B1A68" w:rsidRPr="00B12B88" w14:paraId="75E90F91" w14:textId="77777777" w:rsidTr="006B1A68">
        <w:trPr>
          <w:trHeight w:val="383"/>
        </w:trPr>
        <w:tc>
          <w:tcPr>
            <w:tcW w:w="2048" w:type="dxa"/>
            <w:shd w:val="clear" w:color="auto" w:fill="auto"/>
            <w:noWrap/>
            <w:vAlign w:val="center"/>
            <w:hideMark/>
          </w:tcPr>
          <w:p w14:paraId="639930BA" w14:textId="77777777" w:rsidR="006B1A68" w:rsidRPr="00B12B88" w:rsidRDefault="006B1A68" w:rsidP="006B1A68">
            <w:pPr>
              <w:spacing w:after="200" w:line="240" w:lineRule="auto"/>
              <w:jc w:val="center"/>
              <w:rPr>
                <w:rFonts w:eastAsia="Times New Roman" w:cs="Times New Roman"/>
                <w:color w:val="000000"/>
                <w:szCs w:val="24"/>
                <w:highlight w:val="yellow"/>
                <w:lang w:eastAsia="lv-LV"/>
              </w:rPr>
            </w:pPr>
            <w:r w:rsidRPr="00B12B88">
              <w:rPr>
                <w:rFonts w:eastAsia="Times New Roman" w:cs="Times New Roman"/>
                <w:color w:val="000000"/>
                <w:szCs w:val="24"/>
                <w:lang w:eastAsia="lv-LV"/>
              </w:rPr>
              <w:t>62.07.00</w:t>
            </w:r>
          </w:p>
        </w:tc>
        <w:tc>
          <w:tcPr>
            <w:tcW w:w="3764" w:type="dxa"/>
            <w:shd w:val="clear" w:color="auto" w:fill="auto"/>
            <w:vAlign w:val="center"/>
            <w:hideMark/>
          </w:tcPr>
          <w:p w14:paraId="06EF303B" w14:textId="77777777" w:rsidR="006B1A68" w:rsidRPr="00B12B88" w:rsidRDefault="006B1A68" w:rsidP="006B1A68">
            <w:pPr>
              <w:spacing w:after="200" w:line="240" w:lineRule="auto"/>
              <w:rPr>
                <w:rFonts w:eastAsia="Times New Roman" w:cs="Times New Roman"/>
                <w:color w:val="000000"/>
                <w:szCs w:val="24"/>
                <w:highlight w:val="yellow"/>
                <w:lang w:eastAsia="lv-LV"/>
              </w:rPr>
            </w:pPr>
            <w:r w:rsidRPr="00B12B88">
              <w:rPr>
                <w:rFonts w:eastAsia="Times New Roman" w:cs="Times New Roman"/>
                <w:color w:val="000000"/>
                <w:szCs w:val="24"/>
                <w:lang w:eastAsia="lv-LV"/>
              </w:rPr>
              <w:t>Eiropas Reģionālās attīstības fonda (ERAF) projektu un pasākumu īstenošana (2014-2020)</w:t>
            </w:r>
          </w:p>
        </w:tc>
        <w:tc>
          <w:tcPr>
            <w:tcW w:w="1701" w:type="dxa"/>
            <w:vAlign w:val="center"/>
          </w:tcPr>
          <w:p w14:paraId="211A070D" w14:textId="77777777" w:rsidR="006B1A68" w:rsidRPr="00B12B88" w:rsidRDefault="006B1A68" w:rsidP="006B1A68">
            <w:pPr>
              <w:spacing w:after="200" w:line="240" w:lineRule="auto"/>
              <w:jc w:val="center"/>
              <w:rPr>
                <w:rFonts w:eastAsia="Times New Roman" w:cs="Times New Roman"/>
                <w:color w:val="000000"/>
                <w:szCs w:val="24"/>
                <w:lang w:eastAsia="lv-LV"/>
              </w:rPr>
            </w:pPr>
          </w:p>
          <w:p w14:paraId="7E8D395D" w14:textId="77777777" w:rsidR="006B1A68" w:rsidRPr="00B12B88" w:rsidRDefault="006B1A68" w:rsidP="006B1A68">
            <w:pPr>
              <w:spacing w:after="20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446 731</w:t>
            </w:r>
          </w:p>
        </w:tc>
        <w:tc>
          <w:tcPr>
            <w:tcW w:w="1417" w:type="dxa"/>
            <w:shd w:val="clear" w:color="auto" w:fill="auto"/>
            <w:noWrap/>
            <w:vAlign w:val="center"/>
          </w:tcPr>
          <w:p w14:paraId="0ADE951B" w14:textId="77777777" w:rsidR="006B1A68" w:rsidRPr="00B12B88" w:rsidRDefault="006B1A68" w:rsidP="006B1A68">
            <w:pPr>
              <w:spacing w:after="200" w:line="240" w:lineRule="auto"/>
              <w:jc w:val="center"/>
              <w:rPr>
                <w:rFonts w:eastAsia="Times New Roman" w:cs="Times New Roman"/>
                <w:color w:val="000000"/>
                <w:szCs w:val="24"/>
                <w:lang w:eastAsia="lv-LV"/>
              </w:rPr>
            </w:pPr>
          </w:p>
          <w:p w14:paraId="180AEB14" w14:textId="6D5082C5" w:rsidR="006B1A68" w:rsidRPr="00B12B88" w:rsidRDefault="006B1A68" w:rsidP="006B1A68">
            <w:pPr>
              <w:spacing w:after="20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446</w:t>
            </w:r>
            <w:r>
              <w:rPr>
                <w:rFonts w:eastAsia="Times New Roman" w:cs="Times New Roman"/>
                <w:color w:val="000000"/>
                <w:szCs w:val="24"/>
                <w:lang w:eastAsia="lv-LV"/>
              </w:rPr>
              <w:t> </w:t>
            </w:r>
            <w:r w:rsidRPr="00B12B88">
              <w:rPr>
                <w:rFonts w:eastAsia="Times New Roman" w:cs="Times New Roman"/>
                <w:color w:val="000000"/>
                <w:szCs w:val="24"/>
                <w:lang w:eastAsia="lv-LV"/>
              </w:rPr>
              <w:t>731</w:t>
            </w:r>
          </w:p>
        </w:tc>
      </w:tr>
      <w:tr w:rsidR="006B1A68" w:rsidRPr="00B12B88" w14:paraId="0727F022" w14:textId="77777777" w:rsidTr="006B1A68">
        <w:trPr>
          <w:trHeight w:val="383"/>
        </w:trPr>
        <w:tc>
          <w:tcPr>
            <w:tcW w:w="2048" w:type="dxa"/>
            <w:shd w:val="clear" w:color="auto" w:fill="auto"/>
            <w:noWrap/>
            <w:vAlign w:val="center"/>
          </w:tcPr>
          <w:p w14:paraId="09071B73"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70.10.00</w:t>
            </w:r>
          </w:p>
        </w:tc>
        <w:tc>
          <w:tcPr>
            <w:tcW w:w="3764" w:type="dxa"/>
            <w:shd w:val="clear" w:color="auto" w:fill="auto"/>
            <w:vAlign w:val="center"/>
          </w:tcPr>
          <w:p w14:paraId="70B4C24C"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Citu ES politiku instrumentu projektu un pasākumu īstenošana (2014-2020)</w:t>
            </w:r>
          </w:p>
        </w:tc>
        <w:tc>
          <w:tcPr>
            <w:tcW w:w="1701" w:type="dxa"/>
            <w:vAlign w:val="center"/>
          </w:tcPr>
          <w:p w14:paraId="618ECE4D"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3E8D4101"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133 586</w:t>
            </w:r>
          </w:p>
        </w:tc>
        <w:tc>
          <w:tcPr>
            <w:tcW w:w="1417" w:type="dxa"/>
            <w:shd w:val="clear" w:color="auto" w:fill="auto"/>
            <w:noWrap/>
            <w:vAlign w:val="center"/>
          </w:tcPr>
          <w:p w14:paraId="4C03A5D2" w14:textId="77777777" w:rsidR="006B1A68" w:rsidRPr="00B12B88" w:rsidRDefault="006B1A68" w:rsidP="006B1A68">
            <w:pPr>
              <w:spacing w:after="0" w:line="240" w:lineRule="auto"/>
              <w:jc w:val="center"/>
              <w:rPr>
                <w:rFonts w:eastAsia="Times New Roman" w:cs="Times New Roman"/>
                <w:color w:val="000000"/>
                <w:szCs w:val="24"/>
                <w:lang w:eastAsia="lv-LV"/>
              </w:rPr>
            </w:pPr>
          </w:p>
          <w:p w14:paraId="42FD36B1"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0</w:t>
            </w:r>
          </w:p>
        </w:tc>
      </w:tr>
      <w:tr w:rsidR="006B1A68" w:rsidRPr="00B12B88" w14:paraId="2DC3BCF4" w14:textId="77777777" w:rsidTr="006B1A68">
        <w:trPr>
          <w:trHeight w:val="348"/>
        </w:trPr>
        <w:tc>
          <w:tcPr>
            <w:tcW w:w="2048" w:type="dxa"/>
            <w:shd w:val="clear" w:color="auto" w:fill="auto"/>
            <w:noWrap/>
            <w:vAlign w:val="bottom"/>
            <w:hideMark/>
          </w:tcPr>
          <w:p w14:paraId="2233F4F0" w14:textId="77777777" w:rsidR="006B1A68" w:rsidRPr="00B12B88" w:rsidRDefault="006B1A68" w:rsidP="006B1A68">
            <w:pPr>
              <w:spacing w:after="0" w:line="240" w:lineRule="auto"/>
              <w:jc w:val="center"/>
              <w:rPr>
                <w:rFonts w:eastAsia="Times New Roman" w:cs="Times New Roman"/>
                <w:color w:val="000000"/>
                <w:szCs w:val="24"/>
                <w:highlight w:val="yellow"/>
                <w:lang w:eastAsia="lv-LV"/>
              </w:rPr>
            </w:pPr>
          </w:p>
        </w:tc>
        <w:tc>
          <w:tcPr>
            <w:tcW w:w="3764" w:type="dxa"/>
            <w:shd w:val="clear" w:color="auto" w:fill="auto"/>
            <w:vAlign w:val="center"/>
            <w:hideMark/>
          </w:tcPr>
          <w:p w14:paraId="3E485196"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Pavisam kopā</w:t>
            </w:r>
          </w:p>
          <w:p w14:paraId="776EBC62" w14:textId="77777777" w:rsidR="006B1A68" w:rsidRPr="00B12B88" w:rsidRDefault="006B1A68" w:rsidP="006B1A68">
            <w:pPr>
              <w:spacing w:after="0" w:line="240" w:lineRule="auto"/>
              <w:jc w:val="right"/>
              <w:rPr>
                <w:rFonts w:eastAsia="Times New Roman" w:cs="Times New Roman"/>
                <w:color w:val="000000"/>
                <w:szCs w:val="24"/>
                <w:lang w:eastAsia="lv-LV"/>
              </w:rPr>
            </w:pPr>
          </w:p>
        </w:tc>
        <w:tc>
          <w:tcPr>
            <w:tcW w:w="1701" w:type="dxa"/>
            <w:vAlign w:val="center"/>
          </w:tcPr>
          <w:p w14:paraId="6E3DF415" w14:textId="202C1072" w:rsidR="006B1A68" w:rsidRPr="006B1A68" w:rsidRDefault="006B1A68" w:rsidP="006B1A68">
            <w:pPr>
              <w:pStyle w:val="ListParagraph"/>
              <w:numPr>
                <w:ilvl w:val="0"/>
                <w:numId w:val="66"/>
              </w:numPr>
              <w:spacing w:after="0" w:line="240" w:lineRule="auto"/>
              <w:rPr>
                <w:rFonts w:eastAsia="Times New Roman" w:cs="Times New Roman"/>
                <w:color w:val="000000"/>
                <w:szCs w:val="24"/>
                <w:lang w:eastAsia="lv-LV"/>
              </w:rPr>
            </w:pPr>
            <w:r w:rsidRPr="006B1A68">
              <w:rPr>
                <w:rFonts w:eastAsia="Times New Roman" w:cs="Times New Roman"/>
                <w:color w:val="000000"/>
                <w:szCs w:val="24"/>
                <w:lang w:eastAsia="lv-LV"/>
              </w:rPr>
              <w:t>466</w:t>
            </w:r>
            <w:r>
              <w:rPr>
                <w:rFonts w:eastAsia="Times New Roman" w:cs="Times New Roman"/>
                <w:color w:val="000000"/>
                <w:szCs w:val="24"/>
                <w:lang w:eastAsia="lv-LV"/>
              </w:rPr>
              <w:t> </w:t>
            </w:r>
            <w:r w:rsidRPr="006B1A68">
              <w:rPr>
                <w:rFonts w:eastAsia="Times New Roman" w:cs="Times New Roman"/>
                <w:color w:val="000000"/>
                <w:szCs w:val="24"/>
                <w:lang w:eastAsia="lv-LV"/>
              </w:rPr>
              <w:t>366</w:t>
            </w:r>
          </w:p>
        </w:tc>
        <w:tc>
          <w:tcPr>
            <w:tcW w:w="1417" w:type="dxa"/>
            <w:shd w:val="clear" w:color="auto" w:fill="auto"/>
            <w:noWrap/>
            <w:vAlign w:val="center"/>
          </w:tcPr>
          <w:p w14:paraId="59C9CCD4" w14:textId="2CDF48D2" w:rsidR="006B1A68" w:rsidRPr="00695808" w:rsidRDefault="006B1A68" w:rsidP="006B1A68">
            <w:pPr>
              <w:pStyle w:val="ListParagraph"/>
              <w:spacing w:after="0" w:line="240" w:lineRule="auto"/>
              <w:ind w:left="388"/>
              <w:rPr>
                <w:rFonts w:eastAsia="Times New Roman" w:cs="Times New Roman"/>
                <w:color w:val="000000"/>
                <w:szCs w:val="24"/>
                <w:lang w:eastAsia="lv-LV"/>
              </w:rPr>
            </w:pPr>
            <w:r>
              <w:rPr>
                <w:rFonts w:eastAsia="Times New Roman" w:cs="Times New Roman"/>
                <w:color w:val="000000"/>
                <w:szCs w:val="24"/>
                <w:lang w:eastAsia="lv-LV"/>
              </w:rPr>
              <w:t>36 </w:t>
            </w:r>
            <w:r w:rsidRPr="00695808">
              <w:rPr>
                <w:rFonts w:eastAsia="Times New Roman" w:cs="Times New Roman"/>
                <w:color w:val="000000"/>
                <w:szCs w:val="24"/>
                <w:lang w:eastAsia="lv-LV"/>
              </w:rPr>
              <w:t>115</w:t>
            </w:r>
            <w:r>
              <w:rPr>
                <w:rFonts w:eastAsia="Times New Roman" w:cs="Times New Roman"/>
                <w:color w:val="000000"/>
                <w:szCs w:val="24"/>
                <w:lang w:eastAsia="lv-LV"/>
              </w:rPr>
              <w:t> </w:t>
            </w:r>
            <w:r w:rsidRPr="00695808">
              <w:rPr>
                <w:rFonts w:eastAsia="Times New Roman" w:cs="Times New Roman"/>
                <w:color w:val="000000"/>
                <w:szCs w:val="24"/>
                <w:lang w:eastAsia="lv-LV"/>
              </w:rPr>
              <w:t>644</w:t>
            </w:r>
          </w:p>
        </w:tc>
      </w:tr>
    </w:tbl>
    <w:p w14:paraId="4934B19C" w14:textId="77777777" w:rsidR="006B1A68" w:rsidRPr="00B12B88" w:rsidRDefault="006B1A68" w:rsidP="006B1A68">
      <w:pPr>
        <w:spacing w:after="0"/>
        <w:jc w:val="both"/>
        <w:rPr>
          <w:rFonts w:eastAsia="Calibri" w:cs="Times New Roman"/>
          <w:color w:val="000000"/>
          <w:szCs w:val="24"/>
          <w:highlight w:val="yellow"/>
        </w:rPr>
      </w:pPr>
    </w:p>
    <w:p w14:paraId="058E86C4" w14:textId="77777777" w:rsidR="006B1A68" w:rsidRPr="00A73554" w:rsidRDefault="006B1A68" w:rsidP="006B1A68">
      <w:pPr>
        <w:pStyle w:val="ListParagraph"/>
        <w:numPr>
          <w:ilvl w:val="0"/>
          <w:numId w:val="42"/>
        </w:numPr>
        <w:spacing w:after="0" w:line="240" w:lineRule="auto"/>
        <w:rPr>
          <w:rFonts w:eastAsia="Times New Roman" w:cs="Times New Roman"/>
          <w:b/>
          <w:bCs/>
          <w:color w:val="000000"/>
          <w:szCs w:val="24"/>
          <w:lang w:eastAsia="lv-LV"/>
        </w:rPr>
      </w:pPr>
      <w:r w:rsidRPr="00A73554">
        <w:rPr>
          <w:rFonts w:eastAsia="Times New Roman" w:cs="Times New Roman"/>
          <w:b/>
          <w:bCs/>
          <w:color w:val="000000"/>
          <w:szCs w:val="24"/>
          <w:lang w:eastAsia="lv-LV"/>
        </w:rPr>
        <w:t>Valsts budžeta programmu izdevumi 2020.</w:t>
      </w:r>
      <w:r>
        <w:rPr>
          <w:rFonts w:eastAsia="Times New Roman" w:cs="Times New Roman"/>
          <w:b/>
          <w:bCs/>
          <w:color w:val="000000"/>
          <w:szCs w:val="24"/>
          <w:lang w:eastAsia="lv-LV"/>
        </w:rPr>
        <w:t xml:space="preserve"> </w:t>
      </w:r>
      <w:r w:rsidRPr="00A73554">
        <w:rPr>
          <w:rFonts w:eastAsia="Times New Roman" w:cs="Times New Roman"/>
          <w:b/>
          <w:bCs/>
          <w:color w:val="000000"/>
          <w:szCs w:val="24"/>
          <w:lang w:eastAsia="lv-LV"/>
        </w:rPr>
        <w:t>gadā</w:t>
      </w:r>
    </w:p>
    <w:p w14:paraId="47D4BF8E" w14:textId="77777777" w:rsidR="006B1A68" w:rsidRPr="00B12B88" w:rsidRDefault="006B1A68" w:rsidP="006B1A68">
      <w:pPr>
        <w:spacing w:after="0" w:line="240" w:lineRule="auto"/>
        <w:ind w:left="720"/>
        <w:contextualSpacing/>
        <w:jc w:val="both"/>
        <w:rPr>
          <w:rFonts w:eastAsia="Calibri" w:cs="Times New Roman"/>
          <w:b/>
          <w:bCs/>
          <w:szCs w:val="24"/>
          <w:highlight w:val="yellow"/>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5137"/>
        <w:gridCol w:w="1554"/>
      </w:tblGrid>
      <w:tr w:rsidR="006B1A68" w:rsidRPr="00B12B88" w14:paraId="011B125E" w14:textId="77777777" w:rsidTr="006B1A68">
        <w:trPr>
          <w:trHeight w:val="1044"/>
        </w:trPr>
        <w:tc>
          <w:tcPr>
            <w:tcW w:w="2239" w:type="dxa"/>
            <w:shd w:val="clear" w:color="auto" w:fill="auto"/>
            <w:vAlign w:val="center"/>
            <w:hideMark/>
          </w:tcPr>
          <w:p w14:paraId="47C586D3"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 xml:space="preserve">Programmas / </w:t>
            </w:r>
            <w:r>
              <w:rPr>
                <w:rFonts w:eastAsia="Times New Roman" w:cs="Times New Roman"/>
                <w:b/>
                <w:bCs/>
                <w:color w:val="000000"/>
                <w:szCs w:val="24"/>
                <w:lang w:eastAsia="lv-LV"/>
              </w:rPr>
              <w:t>a</w:t>
            </w:r>
            <w:r w:rsidRPr="00B12B88">
              <w:rPr>
                <w:rFonts w:eastAsia="Times New Roman" w:cs="Times New Roman"/>
                <w:b/>
                <w:bCs/>
                <w:color w:val="000000"/>
                <w:szCs w:val="24"/>
                <w:lang w:eastAsia="lv-LV"/>
              </w:rPr>
              <w:t>pakšprogrammas</w:t>
            </w:r>
          </w:p>
          <w:p w14:paraId="7FD21721"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kods</w:t>
            </w:r>
          </w:p>
        </w:tc>
        <w:tc>
          <w:tcPr>
            <w:tcW w:w="5137" w:type="dxa"/>
            <w:shd w:val="clear" w:color="auto" w:fill="auto"/>
            <w:vAlign w:val="center"/>
            <w:hideMark/>
          </w:tcPr>
          <w:p w14:paraId="39CE3BF5"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Programmas nosaukums</w:t>
            </w:r>
          </w:p>
        </w:tc>
        <w:tc>
          <w:tcPr>
            <w:tcW w:w="1554" w:type="dxa"/>
            <w:shd w:val="clear" w:color="auto" w:fill="auto"/>
            <w:vAlign w:val="center"/>
            <w:hideMark/>
          </w:tcPr>
          <w:p w14:paraId="37DF004B"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Izdevumu kopsumma (EUR)</w:t>
            </w:r>
          </w:p>
        </w:tc>
      </w:tr>
      <w:tr w:rsidR="006B1A68" w:rsidRPr="00B12B88" w14:paraId="4BA00F97" w14:textId="77777777" w:rsidTr="006B1A68">
        <w:trPr>
          <w:trHeight w:val="348"/>
        </w:trPr>
        <w:tc>
          <w:tcPr>
            <w:tcW w:w="2239" w:type="dxa"/>
            <w:shd w:val="clear" w:color="auto" w:fill="auto"/>
            <w:noWrap/>
            <w:vAlign w:val="center"/>
            <w:hideMark/>
          </w:tcPr>
          <w:p w14:paraId="069C60D1"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01.00.00</w:t>
            </w:r>
          </w:p>
        </w:tc>
        <w:tc>
          <w:tcPr>
            <w:tcW w:w="5137" w:type="dxa"/>
            <w:shd w:val="clear" w:color="auto" w:fill="auto"/>
            <w:vAlign w:val="center"/>
            <w:hideMark/>
          </w:tcPr>
          <w:p w14:paraId="383ADC0A" w14:textId="77777777" w:rsidR="006B1A68" w:rsidRPr="00B12B88" w:rsidRDefault="006B1A68" w:rsidP="006B1A68">
            <w:pPr>
              <w:spacing w:after="0" w:line="240" w:lineRule="auto"/>
              <w:rPr>
                <w:rFonts w:eastAsia="Times New Roman" w:cs="Times New Roman"/>
                <w:color w:val="000000"/>
                <w:szCs w:val="24"/>
                <w:highlight w:val="yellow"/>
                <w:lang w:eastAsia="lv-LV"/>
              </w:rPr>
            </w:pPr>
            <w:r w:rsidRPr="00B12B88">
              <w:rPr>
                <w:rFonts w:eastAsia="Times New Roman" w:cs="Times New Roman"/>
                <w:color w:val="000000"/>
                <w:szCs w:val="24"/>
                <w:lang w:eastAsia="lv-LV"/>
              </w:rPr>
              <w:t>Prokuratūras iestāžu uzturēšana</w:t>
            </w:r>
          </w:p>
        </w:tc>
        <w:tc>
          <w:tcPr>
            <w:tcW w:w="1554" w:type="dxa"/>
            <w:shd w:val="clear" w:color="auto" w:fill="auto"/>
            <w:noWrap/>
            <w:vAlign w:val="center"/>
          </w:tcPr>
          <w:p w14:paraId="45182DC1" w14:textId="53EFAA50"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34</w:t>
            </w:r>
            <w:r>
              <w:rPr>
                <w:rFonts w:eastAsia="Times New Roman" w:cs="Times New Roman"/>
                <w:color w:val="000000"/>
                <w:szCs w:val="24"/>
                <w:lang w:eastAsia="lv-LV"/>
              </w:rPr>
              <w:t> </w:t>
            </w:r>
            <w:r w:rsidRPr="00B12B88">
              <w:rPr>
                <w:rFonts w:eastAsia="Times New Roman" w:cs="Times New Roman"/>
                <w:color w:val="000000"/>
                <w:szCs w:val="24"/>
                <w:lang w:eastAsia="lv-LV"/>
              </w:rPr>
              <w:t>357</w:t>
            </w:r>
            <w:r>
              <w:rPr>
                <w:rFonts w:eastAsia="Times New Roman" w:cs="Times New Roman"/>
                <w:color w:val="000000"/>
                <w:szCs w:val="24"/>
                <w:lang w:eastAsia="lv-LV"/>
              </w:rPr>
              <w:t> </w:t>
            </w:r>
            <w:r w:rsidRPr="00B12B88">
              <w:rPr>
                <w:rFonts w:eastAsia="Times New Roman" w:cs="Times New Roman"/>
                <w:color w:val="000000"/>
                <w:szCs w:val="24"/>
                <w:lang w:eastAsia="lv-LV"/>
              </w:rPr>
              <w:t>696</w:t>
            </w:r>
          </w:p>
        </w:tc>
      </w:tr>
      <w:tr w:rsidR="006B1A68" w:rsidRPr="00B12B88" w14:paraId="34354955" w14:textId="77777777" w:rsidTr="006B1A68">
        <w:trPr>
          <w:trHeight w:val="348"/>
        </w:trPr>
        <w:tc>
          <w:tcPr>
            <w:tcW w:w="2239" w:type="dxa"/>
            <w:shd w:val="clear" w:color="auto" w:fill="auto"/>
            <w:noWrap/>
            <w:vAlign w:val="center"/>
          </w:tcPr>
          <w:p w14:paraId="568302D3"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70.06.00</w:t>
            </w:r>
          </w:p>
        </w:tc>
        <w:tc>
          <w:tcPr>
            <w:tcW w:w="5137" w:type="dxa"/>
            <w:shd w:val="clear" w:color="auto" w:fill="auto"/>
            <w:vAlign w:val="center"/>
          </w:tcPr>
          <w:p w14:paraId="7B1032DD"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 xml:space="preserve">Latvijas pārstāvju ceļa izdevumu kompensācija, dodoties uz Eiropas Savienības Padomes darba grupu sanāksmēm un Padomes sanāksmēm   </w:t>
            </w:r>
          </w:p>
        </w:tc>
        <w:tc>
          <w:tcPr>
            <w:tcW w:w="1554" w:type="dxa"/>
            <w:shd w:val="clear" w:color="auto" w:fill="auto"/>
            <w:noWrap/>
            <w:vAlign w:val="center"/>
          </w:tcPr>
          <w:p w14:paraId="377C3CCD"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0</w:t>
            </w:r>
          </w:p>
        </w:tc>
      </w:tr>
      <w:tr w:rsidR="006B1A68" w:rsidRPr="00B12B88" w14:paraId="6AEFCE8F" w14:textId="77777777" w:rsidTr="006B1A68">
        <w:trPr>
          <w:trHeight w:val="383"/>
        </w:trPr>
        <w:tc>
          <w:tcPr>
            <w:tcW w:w="2239" w:type="dxa"/>
            <w:shd w:val="clear" w:color="auto" w:fill="auto"/>
            <w:noWrap/>
            <w:vAlign w:val="center"/>
            <w:hideMark/>
          </w:tcPr>
          <w:p w14:paraId="7B4B18F1" w14:textId="77777777" w:rsidR="006B1A68" w:rsidRPr="00B12B88" w:rsidRDefault="006B1A68" w:rsidP="006B1A68">
            <w:pPr>
              <w:spacing w:after="0" w:line="240" w:lineRule="auto"/>
              <w:jc w:val="center"/>
              <w:rPr>
                <w:rFonts w:eastAsia="Times New Roman" w:cs="Times New Roman"/>
                <w:color w:val="000000"/>
                <w:szCs w:val="24"/>
                <w:highlight w:val="yellow"/>
                <w:lang w:eastAsia="lv-LV"/>
              </w:rPr>
            </w:pPr>
            <w:r w:rsidRPr="00B12B88">
              <w:rPr>
                <w:rFonts w:eastAsia="Times New Roman" w:cs="Times New Roman"/>
                <w:color w:val="000000"/>
                <w:szCs w:val="24"/>
                <w:lang w:eastAsia="lv-LV"/>
              </w:rPr>
              <w:t>62.07.00</w:t>
            </w:r>
          </w:p>
        </w:tc>
        <w:tc>
          <w:tcPr>
            <w:tcW w:w="5137" w:type="dxa"/>
            <w:shd w:val="clear" w:color="auto" w:fill="auto"/>
            <w:vAlign w:val="center"/>
            <w:hideMark/>
          </w:tcPr>
          <w:p w14:paraId="0B08D84E" w14:textId="77777777" w:rsidR="006B1A68" w:rsidRPr="00B12B88" w:rsidRDefault="006B1A68" w:rsidP="006B1A68">
            <w:pPr>
              <w:spacing w:after="0" w:line="240" w:lineRule="auto"/>
              <w:rPr>
                <w:rFonts w:eastAsia="Times New Roman" w:cs="Times New Roman"/>
                <w:color w:val="000000"/>
                <w:szCs w:val="24"/>
                <w:highlight w:val="yellow"/>
                <w:lang w:eastAsia="lv-LV"/>
              </w:rPr>
            </w:pPr>
            <w:r w:rsidRPr="00B12B88">
              <w:rPr>
                <w:rFonts w:eastAsia="Times New Roman" w:cs="Times New Roman"/>
                <w:color w:val="000000"/>
                <w:szCs w:val="24"/>
                <w:lang w:eastAsia="lv-LV"/>
              </w:rPr>
              <w:t>Eiropas Reģionālās attīstības fonda (ERAF) projektu un pasākumu īstenošana (2014-2020)</w:t>
            </w:r>
          </w:p>
        </w:tc>
        <w:tc>
          <w:tcPr>
            <w:tcW w:w="1554" w:type="dxa"/>
            <w:shd w:val="clear" w:color="auto" w:fill="auto"/>
            <w:noWrap/>
            <w:vAlign w:val="bottom"/>
          </w:tcPr>
          <w:p w14:paraId="6D5EDA76"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 xml:space="preserve">292 762 </w:t>
            </w:r>
          </w:p>
        </w:tc>
      </w:tr>
      <w:tr w:rsidR="006B1A68" w:rsidRPr="00B12B88" w14:paraId="560FEA24" w14:textId="77777777" w:rsidTr="006B1A68">
        <w:trPr>
          <w:trHeight w:val="383"/>
        </w:trPr>
        <w:tc>
          <w:tcPr>
            <w:tcW w:w="2239" w:type="dxa"/>
            <w:shd w:val="clear" w:color="auto" w:fill="auto"/>
            <w:noWrap/>
            <w:vAlign w:val="center"/>
          </w:tcPr>
          <w:p w14:paraId="0CD44128" w14:textId="77777777" w:rsidR="006B1A68" w:rsidRPr="00B12B88" w:rsidRDefault="006B1A68" w:rsidP="006B1A68">
            <w:pPr>
              <w:spacing w:after="0" w:line="240" w:lineRule="auto"/>
              <w:jc w:val="center"/>
              <w:rPr>
                <w:rFonts w:eastAsia="Times New Roman" w:cs="Times New Roman"/>
                <w:color w:val="000000"/>
                <w:szCs w:val="24"/>
                <w:lang w:eastAsia="lv-LV"/>
              </w:rPr>
            </w:pPr>
            <w:r w:rsidRPr="00B12B88">
              <w:rPr>
                <w:rFonts w:eastAsia="Times New Roman" w:cs="Times New Roman"/>
                <w:color w:val="000000"/>
                <w:szCs w:val="24"/>
                <w:lang w:eastAsia="lv-LV"/>
              </w:rPr>
              <w:t>70.10.00</w:t>
            </w:r>
          </w:p>
        </w:tc>
        <w:tc>
          <w:tcPr>
            <w:tcW w:w="5137" w:type="dxa"/>
            <w:shd w:val="clear" w:color="auto" w:fill="auto"/>
            <w:vAlign w:val="center"/>
          </w:tcPr>
          <w:p w14:paraId="45D46316"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Citu ES politiku instrumentu projektu un pasākumu īstenošana (2014-2020)</w:t>
            </w:r>
          </w:p>
        </w:tc>
        <w:tc>
          <w:tcPr>
            <w:tcW w:w="1554" w:type="dxa"/>
            <w:shd w:val="clear" w:color="auto" w:fill="auto"/>
            <w:noWrap/>
            <w:vAlign w:val="bottom"/>
          </w:tcPr>
          <w:p w14:paraId="7FEA2EBC"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0</w:t>
            </w:r>
          </w:p>
        </w:tc>
      </w:tr>
      <w:tr w:rsidR="006B1A68" w:rsidRPr="00B12B88" w14:paraId="7ECFD909" w14:textId="77777777" w:rsidTr="00B330C4">
        <w:trPr>
          <w:trHeight w:val="580"/>
        </w:trPr>
        <w:tc>
          <w:tcPr>
            <w:tcW w:w="2239" w:type="dxa"/>
            <w:shd w:val="clear" w:color="auto" w:fill="auto"/>
            <w:noWrap/>
            <w:vAlign w:val="bottom"/>
            <w:hideMark/>
          </w:tcPr>
          <w:p w14:paraId="3B964D0E" w14:textId="77777777" w:rsidR="006B1A68" w:rsidRPr="00B12B88" w:rsidRDefault="006B1A68" w:rsidP="006B1A68">
            <w:pPr>
              <w:spacing w:after="0" w:line="240" w:lineRule="auto"/>
              <w:jc w:val="center"/>
              <w:rPr>
                <w:rFonts w:eastAsia="Times New Roman" w:cs="Times New Roman"/>
                <w:color w:val="000000"/>
                <w:szCs w:val="24"/>
                <w:highlight w:val="yellow"/>
                <w:lang w:eastAsia="lv-LV"/>
              </w:rPr>
            </w:pPr>
          </w:p>
        </w:tc>
        <w:tc>
          <w:tcPr>
            <w:tcW w:w="5137" w:type="dxa"/>
            <w:shd w:val="clear" w:color="auto" w:fill="auto"/>
            <w:vAlign w:val="center"/>
            <w:hideMark/>
          </w:tcPr>
          <w:p w14:paraId="1016F418"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Pavisam kopā</w:t>
            </w:r>
          </w:p>
        </w:tc>
        <w:tc>
          <w:tcPr>
            <w:tcW w:w="1554" w:type="dxa"/>
            <w:shd w:val="clear" w:color="auto" w:fill="auto"/>
            <w:noWrap/>
            <w:vAlign w:val="center"/>
          </w:tcPr>
          <w:p w14:paraId="5B9F06AC" w14:textId="35B3B0AF" w:rsidR="006B1A68" w:rsidRPr="00B12B88" w:rsidRDefault="006B1A68" w:rsidP="006B1A68">
            <w:pPr>
              <w:spacing w:after="0" w:line="240" w:lineRule="auto"/>
              <w:rPr>
                <w:rFonts w:eastAsia="Times New Roman" w:cs="Times New Roman"/>
                <w:color w:val="000000"/>
                <w:szCs w:val="24"/>
                <w:lang w:eastAsia="lv-LV"/>
              </w:rPr>
            </w:pPr>
            <w:r>
              <w:rPr>
                <w:rFonts w:eastAsia="Times New Roman" w:cs="Times New Roman"/>
                <w:color w:val="000000"/>
                <w:szCs w:val="24"/>
                <w:lang w:eastAsia="lv-LV"/>
              </w:rPr>
              <w:t xml:space="preserve">    </w:t>
            </w:r>
            <w:r w:rsidRPr="00B12B88">
              <w:rPr>
                <w:rFonts w:eastAsia="Times New Roman" w:cs="Times New Roman"/>
                <w:color w:val="000000"/>
                <w:szCs w:val="24"/>
                <w:lang w:eastAsia="lv-LV"/>
              </w:rPr>
              <w:t>34</w:t>
            </w:r>
            <w:r w:rsidR="00B330C4">
              <w:rPr>
                <w:rFonts w:eastAsia="Times New Roman" w:cs="Times New Roman"/>
                <w:color w:val="000000"/>
                <w:szCs w:val="24"/>
                <w:lang w:eastAsia="lv-LV"/>
              </w:rPr>
              <w:t> </w:t>
            </w:r>
            <w:r w:rsidRPr="00B12B88">
              <w:rPr>
                <w:rFonts w:eastAsia="Times New Roman" w:cs="Times New Roman"/>
                <w:color w:val="000000"/>
                <w:szCs w:val="24"/>
                <w:lang w:eastAsia="lv-LV"/>
              </w:rPr>
              <w:t>650</w:t>
            </w:r>
            <w:r w:rsidR="00B330C4">
              <w:rPr>
                <w:rFonts w:eastAsia="Times New Roman" w:cs="Times New Roman"/>
                <w:color w:val="000000"/>
                <w:szCs w:val="24"/>
                <w:lang w:eastAsia="lv-LV"/>
              </w:rPr>
              <w:t> </w:t>
            </w:r>
            <w:r w:rsidRPr="00B12B88">
              <w:rPr>
                <w:rFonts w:eastAsia="Times New Roman" w:cs="Times New Roman"/>
                <w:color w:val="000000"/>
                <w:szCs w:val="24"/>
                <w:lang w:eastAsia="lv-LV"/>
              </w:rPr>
              <w:t>458</w:t>
            </w:r>
          </w:p>
        </w:tc>
      </w:tr>
    </w:tbl>
    <w:p w14:paraId="06C62556" w14:textId="1ED766E1" w:rsidR="00C01ACA" w:rsidRDefault="00C01ACA" w:rsidP="006B1A68">
      <w:pPr>
        <w:spacing w:after="0" w:line="240" w:lineRule="auto"/>
        <w:jc w:val="both"/>
        <w:rPr>
          <w:rFonts w:eastAsia="Calibri" w:cs="Times New Roman"/>
          <w:szCs w:val="24"/>
          <w:highlight w:val="yellow"/>
        </w:rPr>
      </w:pPr>
    </w:p>
    <w:p w14:paraId="48927DC9" w14:textId="77777777" w:rsidR="00C01ACA" w:rsidRDefault="00C01ACA">
      <w:pPr>
        <w:rPr>
          <w:rFonts w:eastAsia="Calibri" w:cs="Times New Roman"/>
          <w:szCs w:val="24"/>
          <w:highlight w:val="yellow"/>
        </w:rPr>
      </w:pPr>
      <w:r>
        <w:rPr>
          <w:rFonts w:eastAsia="Calibri" w:cs="Times New Roman"/>
          <w:szCs w:val="24"/>
          <w:highlight w:val="yellow"/>
        </w:rPr>
        <w:br w:type="page"/>
      </w:r>
    </w:p>
    <w:p w14:paraId="7A92F97A" w14:textId="77777777" w:rsidR="006B1A68" w:rsidRPr="00A73554" w:rsidRDefault="006B1A68" w:rsidP="006B1A68">
      <w:pPr>
        <w:pStyle w:val="ListParagraph"/>
        <w:numPr>
          <w:ilvl w:val="0"/>
          <w:numId w:val="42"/>
        </w:numPr>
        <w:spacing w:after="0" w:line="240" w:lineRule="auto"/>
        <w:rPr>
          <w:rFonts w:eastAsia="Times New Roman" w:cs="Times New Roman"/>
          <w:b/>
          <w:bCs/>
          <w:color w:val="000000"/>
          <w:szCs w:val="24"/>
          <w:lang w:eastAsia="lv-LV"/>
        </w:rPr>
      </w:pPr>
      <w:r w:rsidRPr="00A73554">
        <w:rPr>
          <w:rFonts w:eastAsia="Times New Roman" w:cs="Times New Roman"/>
          <w:b/>
          <w:bCs/>
          <w:color w:val="000000"/>
          <w:szCs w:val="24"/>
          <w:lang w:eastAsia="lv-LV"/>
        </w:rPr>
        <w:lastRenderedPageBreak/>
        <w:t>Valsts budžeta programmu izdevumi pa veidiem 2020.</w:t>
      </w:r>
      <w:r>
        <w:rPr>
          <w:rFonts w:eastAsia="Times New Roman" w:cs="Times New Roman"/>
          <w:b/>
          <w:bCs/>
          <w:color w:val="000000"/>
          <w:szCs w:val="24"/>
          <w:lang w:eastAsia="lv-LV"/>
        </w:rPr>
        <w:t> </w:t>
      </w:r>
      <w:r w:rsidRPr="00A73554">
        <w:rPr>
          <w:rFonts w:eastAsia="Times New Roman" w:cs="Times New Roman"/>
          <w:b/>
          <w:bCs/>
          <w:color w:val="000000"/>
          <w:szCs w:val="24"/>
          <w:lang w:eastAsia="lv-LV"/>
        </w:rPr>
        <w:t>gadā</w:t>
      </w:r>
    </w:p>
    <w:p w14:paraId="7379C816" w14:textId="77777777" w:rsidR="006B1A68" w:rsidRPr="00B12B88" w:rsidRDefault="006B1A68" w:rsidP="006B1A68">
      <w:pPr>
        <w:spacing w:after="0" w:line="240" w:lineRule="auto"/>
        <w:jc w:val="both"/>
        <w:rPr>
          <w:rFonts w:eastAsia="Calibri" w:cs="Times New Roman"/>
          <w:szCs w:val="24"/>
          <w:highlight w:val="yellow"/>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1764"/>
        <w:gridCol w:w="2268"/>
        <w:gridCol w:w="1842"/>
      </w:tblGrid>
      <w:tr w:rsidR="006B1A68" w:rsidRPr="00B12B88" w14:paraId="7B4EF940" w14:textId="77777777" w:rsidTr="006B1A68">
        <w:trPr>
          <w:trHeight w:val="1560"/>
        </w:trPr>
        <w:tc>
          <w:tcPr>
            <w:tcW w:w="3056" w:type="dxa"/>
            <w:shd w:val="clear" w:color="000000" w:fill="FFFFFF"/>
            <w:vAlign w:val="center"/>
            <w:hideMark/>
          </w:tcPr>
          <w:p w14:paraId="21FDDD1E"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 xml:space="preserve">Izdevumu veida nosaukums </w:t>
            </w:r>
          </w:p>
        </w:tc>
        <w:tc>
          <w:tcPr>
            <w:tcW w:w="1764" w:type="dxa"/>
            <w:shd w:val="clear" w:color="000000" w:fill="FFFFFF"/>
            <w:vAlign w:val="center"/>
            <w:hideMark/>
          </w:tcPr>
          <w:p w14:paraId="23189BBF" w14:textId="77777777" w:rsidR="006B1A68" w:rsidRPr="00B12B8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Prokuratūras iestāžu uzturēšana</w:t>
            </w:r>
          </w:p>
          <w:p w14:paraId="021BABAF" w14:textId="77777777" w:rsidR="006B1A68" w:rsidRPr="00B12B88" w:rsidRDefault="006B1A68" w:rsidP="006B1A68">
            <w:pPr>
              <w:spacing w:after="0" w:line="240" w:lineRule="auto"/>
              <w:ind w:right="289"/>
              <w:jc w:val="center"/>
              <w:rPr>
                <w:rFonts w:eastAsia="Times New Roman" w:cs="Times New Roman"/>
                <w:b/>
                <w:bCs/>
                <w:color w:val="000000"/>
                <w:szCs w:val="24"/>
                <w:lang w:eastAsia="lv-LV"/>
              </w:rPr>
            </w:pPr>
          </w:p>
          <w:p w14:paraId="7A95FC03" w14:textId="77777777" w:rsidR="006B1A68" w:rsidRPr="00B12B88" w:rsidRDefault="006B1A68" w:rsidP="006B1A68">
            <w:pPr>
              <w:spacing w:after="0" w:line="240" w:lineRule="auto"/>
              <w:ind w:right="289"/>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(01.00.00)</w:t>
            </w:r>
          </w:p>
        </w:tc>
        <w:tc>
          <w:tcPr>
            <w:tcW w:w="2268" w:type="dxa"/>
            <w:shd w:val="clear" w:color="000000" w:fill="FFFFFF"/>
            <w:vAlign w:val="center"/>
            <w:hideMark/>
          </w:tcPr>
          <w:p w14:paraId="66F1FC12" w14:textId="0F7781D4" w:rsidR="006B1A68" w:rsidRDefault="006B1A68" w:rsidP="006B1A68">
            <w:pPr>
              <w:spacing w:after="0" w:line="240" w:lineRule="auto"/>
              <w:jc w:val="center"/>
              <w:rPr>
                <w:rFonts w:eastAsia="Times New Roman" w:cs="Times New Roman"/>
                <w:b/>
                <w:bCs/>
                <w:color w:val="000000"/>
                <w:szCs w:val="24"/>
                <w:lang w:eastAsia="lv-LV"/>
              </w:rPr>
            </w:pPr>
            <w:r w:rsidRPr="00B12B88">
              <w:rPr>
                <w:rFonts w:eastAsia="Times New Roman" w:cs="Times New Roman"/>
                <w:b/>
                <w:bCs/>
                <w:color w:val="000000"/>
                <w:szCs w:val="24"/>
                <w:lang w:eastAsia="lv-LV"/>
              </w:rPr>
              <w:t>Eiropas Reģionālās attīstības fonda (ERAF) projektu un pasākumu īstenošana (2014-2020)</w:t>
            </w:r>
          </w:p>
          <w:p w14:paraId="6C602E8E" w14:textId="77777777" w:rsidR="006B1A68" w:rsidRPr="00CD14E9" w:rsidRDefault="006B1A68" w:rsidP="006B1A68">
            <w:pPr>
              <w:spacing w:after="0" w:line="240" w:lineRule="auto"/>
              <w:jc w:val="both"/>
              <w:rPr>
                <w:rFonts w:eastAsia="Times New Roman" w:cs="Times New Roman"/>
                <w:b/>
                <w:bCs/>
                <w:color w:val="000000"/>
                <w:szCs w:val="24"/>
                <w:lang w:eastAsia="lv-LV"/>
              </w:rPr>
            </w:pPr>
          </w:p>
          <w:p w14:paraId="40E6ECA1" w14:textId="77777777" w:rsidR="006B1A68" w:rsidRPr="00B12B88" w:rsidRDefault="006B1A68" w:rsidP="006B1A68">
            <w:pPr>
              <w:spacing w:after="0" w:line="240" w:lineRule="auto"/>
              <w:jc w:val="center"/>
              <w:rPr>
                <w:rFonts w:eastAsia="Times New Roman" w:cs="Times New Roman"/>
                <w:b/>
                <w:bCs/>
                <w:color w:val="000000"/>
                <w:szCs w:val="24"/>
                <w:highlight w:val="yellow"/>
                <w:lang w:eastAsia="lv-LV"/>
              </w:rPr>
            </w:pPr>
            <w:r w:rsidRPr="00B12B88">
              <w:rPr>
                <w:rFonts w:eastAsia="Times New Roman" w:cs="Times New Roman"/>
                <w:b/>
                <w:bCs/>
                <w:color w:val="000000"/>
                <w:szCs w:val="24"/>
                <w:lang w:eastAsia="lv-LV"/>
              </w:rPr>
              <w:t>(62.07.00)</w:t>
            </w:r>
          </w:p>
        </w:tc>
        <w:tc>
          <w:tcPr>
            <w:tcW w:w="1842" w:type="dxa"/>
            <w:shd w:val="clear" w:color="000000" w:fill="FFFFFF"/>
            <w:vAlign w:val="center"/>
            <w:hideMark/>
          </w:tcPr>
          <w:p w14:paraId="7610BDD1" w14:textId="77777777" w:rsidR="006B1A68" w:rsidRPr="00B12B88" w:rsidRDefault="006B1A68" w:rsidP="006B1A68">
            <w:pPr>
              <w:spacing w:after="0" w:line="240" w:lineRule="auto"/>
              <w:jc w:val="center"/>
              <w:rPr>
                <w:rFonts w:eastAsia="Times New Roman" w:cs="Times New Roman"/>
                <w:b/>
                <w:bCs/>
                <w:color w:val="000000"/>
                <w:szCs w:val="24"/>
                <w:highlight w:val="yellow"/>
                <w:lang w:eastAsia="lv-LV"/>
              </w:rPr>
            </w:pPr>
            <w:r w:rsidRPr="00B12B88">
              <w:rPr>
                <w:rFonts w:eastAsia="Times New Roman" w:cs="Times New Roman"/>
                <w:b/>
                <w:bCs/>
                <w:color w:val="000000"/>
                <w:szCs w:val="24"/>
                <w:lang w:eastAsia="lv-LV"/>
              </w:rPr>
              <w:t>PAVISAM  KOPĀ</w:t>
            </w:r>
          </w:p>
        </w:tc>
      </w:tr>
      <w:tr w:rsidR="006B1A68" w:rsidRPr="00B12B88" w14:paraId="15E624D7" w14:textId="77777777" w:rsidTr="006B1A68">
        <w:trPr>
          <w:trHeight w:val="312"/>
        </w:trPr>
        <w:tc>
          <w:tcPr>
            <w:tcW w:w="3056" w:type="dxa"/>
            <w:shd w:val="clear" w:color="000000" w:fill="FFFFFF"/>
            <w:vAlign w:val="center"/>
            <w:hideMark/>
          </w:tcPr>
          <w:p w14:paraId="1FBD160C" w14:textId="77777777" w:rsidR="006B1A68" w:rsidRPr="00B12B88" w:rsidRDefault="006B1A68" w:rsidP="006B1A68">
            <w:pPr>
              <w:spacing w:after="0" w:line="240" w:lineRule="auto"/>
              <w:rPr>
                <w:rFonts w:eastAsia="Times New Roman" w:cs="Times New Roman"/>
                <w:b/>
                <w:bCs/>
                <w:color w:val="000000"/>
                <w:szCs w:val="24"/>
                <w:lang w:eastAsia="lv-LV"/>
              </w:rPr>
            </w:pPr>
            <w:r w:rsidRPr="00B12B88">
              <w:rPr>
                <w:rFonts w:eastAsia="Times New Roman" w:cs="Times New Roman"/>
                <w:b/>
                <w:bCs/>
                <w:color w:val="000000"/>
                <w:szCs w:val="24"/>
                <w:lang w:eastAsia="lv-LV"/>
              </w:rPr>
              <w:t xml:space="preserve">IZDEVUMI - KOPĀ </w:t>
            </w:r>
          </w:p>
        </w:tc>
        <w:tc>
          <w:tcPr>
            <w:tcW w:w="1764" w:type="dxa"/>
            <w:shd w:val="clear" w:color="auto" w:fill="auto"/>
            <w:noWrap/>
            <w:vAlign w:val="bottom"/>
          </w:tcPr>
          <w:p w14:paraId="34037F56" w14:textId="77777777" w:rsidR="006B1A68" w:rsidRPr="00B12B88" w:rsidRDefault="006B1A68" w:rsidP="006B1A68">
            <w:pPr>
              <w:spacing w:after="0" w:line="240" w:lineRule="auto"/>
              <w:ind w:right="289"/>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34 357 696</w:t>
            </w:r>
          </w:p>
        </w:tc>
        <w:tc>
          <w:tcPr>
            <w:tcW w:w="2268" w:type="dxa"/>
            <w:shd w:val="clear" w:color="auto" w:fill="auto"/>
            <w:noWrap/>
            <w:vAlign w:val="bottom"/>
          </w:tcPr>
          <w:p w14:paraId="0538C9D5"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292 762</w:t>
            </w:r>
          </w:p>
        </w:tc>
        <w:tc>
          <w:tcPr>
            <w:tcW w:w="1842" w:type="dxa"/>
            <w:shd w:val="clear" w:color="auto" w:fill="auto"/>
            <w:noWrap/>
            <w:vAlign w:val="bottom"/>
          </w:tcPr>
          <w:p w14:paraId="6EA39DB5"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34 650 458</w:t>
            </w:r>
          </w:p>
        </w:tc>
      </w:tr>
      <w:tr w:rsidR="006B1A68" w:rsidRPr="00B12B88" w14:paraId="27116BF8" w14:textId="77777777" w:rsidTr="006B1A68">
        <w:trPr>
          <w:trHeight w:val="312"/>
        </w:trPr>
        <w:tc>
          <w:tcPr>
            <w:tcW w:w="3056" w:type="dxa"/>
            <w:shd w:val="clear" w:color="000000" w:fill="FFFFFF"/>
            <w:vAlign w:val="center"/>
            <w:hideMark/>
          </w:tcPr>
          <w:p w14:paraId="391FF7CA"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Atalgojums</w:t>
            </w:r>
          </w:p>
        </w:tc>
        <w:tc>
          <w:tcPr>
            <w:tcW w:w="1764" w:type="dxa"/>
            <w:shd w:val="clear" w:color="auto" w:fill="auto"/>
            <w:noWrap/>
            <w:vAlign w:val="bottom"/>
          </w:tcPr>
          <w:p w14:paraId="1A71D641" w14:textId="77777777" w:rsidR="006B1A68" w:rsidRPr="00B12B88" w:rsidRDefault="006B1A68" w:rsidP="006B1A68">
            <w:pPr>
              <w:spacing w:after="0" w:line="240" w:lineRule="auto"/>
              <w:ind w:right="289"/>
              <w:jc w:val="right"/>
              <w:rPr>
                <w:rFonts w:eastAsia="Times New Roman" w:cs="Times New Roman"/>
                <w:color w:val="000000"/>
                <w:szCs w:val="24"/>
                <w:lang w:eastAsia="lv-LV"/>
              </w:rPr>
            </w:pPr>
            <w:r w:rsidRPr="00B12B88">
              <w:rPr>
                <w:rFonts w:eastAsia="Times New Roman" w:cs="Times New Roman"/>
                <w:color w:val="000000"/>
                <w:szCs w:val="24"/>
                <w:lang w:eastAsia="lv-LV"/>
              </w:rPr>
              <w:t>22 291 753</w:t>
            </w:r>
          </w:p>
        </w:tc>
        <w:tc>
          <w:tcPr>
            <w:tcW w:w="2268" w:type="dxa"/>
            <w:shd w:val="clear" w:color="auto" w:fill="auto"/>
            <w:noWrap/>
            <w:vAlign w:val="bottom"/>
          </w:tcPr>
          <w:p w14:paraId="1C35353C"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13 445</w:t>
            </w:r>
          </w:p>
        </w:tc>
        <w:tc>
          <w:tcPr>
            <w:tcW w:w="1842" w:type="dxa"/>
            <w:shd w:val="clear" w:color="auto" w:fill="auto"/>
            <w:noWrap/>
            <w:vAlign w:val="bottom"/>
          </w:tcPr>
          <w:p w14:paraId="40480C6C"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22 305 198</w:t>
            </w:r>
          </w:p>
        </w:tc>
      </w:tr>
      <w:tr w:rsidR="006B1A68" w:rsidRPr="00B12B88" w14:paraId="595A86FC" w14:textId="77777777" w:rsidTr="006B1A68">
        <w:trPr>
          <w:trHeight w:val="1043"/>
        </w:trPr>
        <w:tc>
          <w:tcPr>
            <w:tcW w:w="3056" w:type="dxa"/>
            <w:shd w:val="clear" w:color="000000" w:fill="FFFFFF"/>
            <w:vAlign w:val="center"/>
            <w:hideMark/>
          </w:tcPr>
          <w:p w14:paraId="6267CFAD"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 xml:space="preserve">Darba dev. valsts soc. </w:t>
            </w:r>
            <w:proofErr w:type="spellStart"/>
            <w:r w:rsidRPr="00B12B88">
              <w:rPr>
                <w:rFonts w:eastAsia="Times New Roman" w:cs="Times New Roman"/>
                <w:color w:val="000000"/>
                <w:szCs w:val="24"/>
                <w:lang w:eastAsia="lv-LV"/>
              </w:rPr>
              <w:t>apdrošin</w:t>
            </w:r>
            <w:proofErr w:type="spellEnd"/>
            <w:r w:rsidRPr="00B12B88">
              <w:rPr>
                <w:rFonts w:eastAsia="Times New Roman" w:cs="Times New Roman"/>
                <w:color w:val="000000"/>
                <w:szCs w:val="24"/>
                <w:lang w:eastAsia="lv-LV"/>
              </w:rPr>
              <w:t xml:space="preserve">. </w:t>
            </w:r>
            <w:proofErr w:type="spellStart"/>
            <w:r w:rsidRPr="00B12B88">
              <w:rPr>
                <w:rFonts w:eastAsia="Times New Roman" w:cs="Times New Roman"/>
                <w:color w:val="000000"/>
                <w:szCs w:val="24"/>
                <w:lang w:eastAsia="lv-LV"/>
              </w:rPr>
              <w:t>oblig</w:t>
            </w:r>
            <w:proofErr w:type="spellEnd"/>
            <w:r w:rsidRPr="00B12B88">
              <w:rPr>
                <w:rFonts w:eastAsia="Times New Roman" w:cs="Times New Roman"/>
                <w:color w:val="000000"/>
                <w:szCs w:val="24"/>
                <w:lang w:eastAsia="lv-LV"/>
              </w:rPr>
              <w:t>. iemaksas, pabalsti, kompensācijas</w:t>
            </w:r>
          </w:p>
        </w:tc>
        <w:tc>
          <w:tcPr>
            <w:tcW w:w="1764" w:type="dxa"/>
            <w:shd w:val="clear" w:color="auto" w:fill="auto"/>
            <w:noWrap/>
            <w:vAlign w:val="bottom"/>
          </w:tcPr>
          <w:p w14:paraId="4396FDBC" w14:textId="77777777" w:rsidR="006B1A68" w:rsidRPr="00B12B88" w:rsidRDefault="006B1A68" w:rsidP="006B1A68">
            <w:pPr>
              <w:spacing w:after="0" w:line="240" w:lineRule="auto"/>
              <w:ind w:right="289"/>
              <w:jc w:val="right"/>
              <w:rPr>
                <w:rFonts w:eastAsia="Times New Roman" w:cs="Times New Roman"/>
                <w:color w:val="000000"/>
                <w:szCs w:val="24"/>
                <w:lang w:eastAsia="lv-LV"/>
              </w:rPr>
            </w:pPr>
            <w:r w:rsidRPr="00B12B88">
              <w:rPr>
                <w:rFonts w:eastAsia="Times New Roman" w:cs="Times New Roman"/>
                <w:color w:val="000000"/>
                <w:szCs w:val="24"/>
                <w:lang w:eastAsia="lv-LV"/>
              </w:rPr>
              <w:t>6 805 819</w:t>
            </w:r>
          </w:p>
        </w:tc>
        <w:tc>
          <w:tcPr>
            <w:tcW w:w="2268" w:type="dxa"/>
            <w:shd w:val="clear" w:color="auto" w:fill="auto"/>
            <w:noWrap/>
            <w:vAlign w:val="bottom"/>
          </w:tcPr>
          <w:p w14:paraId="1290DFA1"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3 237</w:t>
            </w:r>
          </w:p>
        </w:tc>
        <w:tc>
          <w:tcPr>
            <w:tcW w:w="1842" w:type="dxa"/>
            <w:shd w:val="clear" w:color="auto" w:fill="auto"/>
            <w:noWrap/>
            <w:vAlign w:val="bottom"/>
          </w:tcPr>
          <w:p w14:paraId="5ADFDE28"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6 809 056</w:t>
            </w:r>
          </w:p>
        </w:tc>
      </w:tr>
      <w:tr w:rsidR="006B1A68" w:rsidRPr="00B12B88" w14:paraId="16305127" w14:textId="77777777" w:rsidTr="006B1A68">
        <w:trPr>
          <w:trHeight w:val="624"/>
        </w:trPr>
        <w:tc>
          <w:tcPr>
            <w:tcW w:w="3056" w:type="dxa"/>
            <w:shd w:val="clear" w:color="000000" w:fill="FFFFFF"/>
            <w:vAlign w:val="center"/>
            <w:hideMark/>
          </w:tcPr>
          <w:p w14:paraId="00F96551"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Komandējumi un dienesta braucieni</w:t>
            </w:r>
          </w:p>
        </w:tc>
        <w:tc>
          <w:tcPr>
            <w:tcW w:w="1764" w:type="dxa"/>
            <w:shd w:val="clear" w:color="auto" w:fill="auto"/>
            <w:noWrap/>
            <w:vAlign w:val="bottom"/>
          </w:tcPr>
          <w:p w14:paraId="7AB079E3" w14:textId="77777777" w:rsidR="006B1A68" w:rsidRPr="00B12B88" w:rsidRDefault="006B1A68" w:rsidP="006B1A68">
            <w:pPr>
              <w:spacing w:after="0" w:line="240" w:lineRule="auto"/>
              <w:ind w:right="289"/>
              <w:jc w:val="right"/>
              <w:rPr>
                <w:rFonts w:eastAsia="Times New Roman" w:cs="Times New Roman"/>
                <w:color w:val="000000"/>
                <w:szCs w:val="24"/>
                <w:lang w:eastAsia="lv-LV"/>
              </w:rPr>
            </w:pPr>
            <w:r w:rsidRPr="00B12B88">
              <w:rPr>
                <w:rFonts w:eastAsia="Times New Roman" w:cs="Times New Roman"/>
                <w:color w:val="000000"/>
                <w:szCs w:val="24"/>
                <w:lang w:eastAsia="lv-LV"/>
              </w:rPr>
              <w:t>13 652</w:t>
            </w:r>
          </w:p>
        </w:tc>
        <w:tc>
          <w:tcPr>
            <w:tcW w:w="2268" w:type="dxa"/>
            <w:shd w:val="clear" w:color="auto" w:fill="auto"/>
            <w:noWrap/>
            <w:vAlign w:val="bottom"/>
          </w:tcPr>
          <w:p w14:paraId="5F40F2C6"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0</w:t>
            </w:r>
          </w:p>
        </w:tc>
        <w:tc>
          <w:tcPr>
            <w:tcW w:w="1842" w:type="dxa"/>
            <w:shd w:val="clear" w:color="auto" w:fill="auto"/>
            <w:noWrap/>
            <w:vAlign w:val="bottom"/>
          </w:tcPr>
          <w:p w14:paraId="59AE7E4E"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13 652</w:t>
            </w:r>
          </w:p>
        </w:tc>
      </w:tr>
      <w:tr w:rsidR="006B1A68" w:rsidRPr="00B12B88" w14:paraId="7BBEA072" w14:textId="77777777" w:rsidTr="006B1A68">
        <w:trPr>
          <w:trHeight w:val="312"/>
        </w:trPr>
        <w:tc>
          <w:tcPr>
            <w:tcW w:w="3056" w:type="dxa"/>
            <w:shd w:val="clear" w:color="000000" w:fill="FFFFFF"/>
            <w:vAlign w:val="center"/>
            <w:hideMark/>
          </w:tcPr>
          <w:p w14:paraId="56A5FE56"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Pakalpojumi</w:t>
            </w:r>
          </w:p>
        </w:tc>
        <w:tc>
          <w:tcPr>
            <w:tcW w:w="1764" w:type="dxa"/>
            <w:shd w:val="clear" w:color="auto" w:fill="auto"/>
            <w:noWrap/>
            <w:vAlign w:val="bottom"/>
          </w:tcPr>
          <w:p w14:paraId="391B19C9" w14:textId="77777777" w:rsidR="006B1A68" w:rsidRPr="00B12B88" w:rsidRDefault="006B1A68" w:rsidP="006B1A68">
            <w:pPr>
              <w:spacing w:after="0" w:line="240" w:lineRule="auto"/>
              <w:ind w:right="289"/>
              <w:jc w:val="right"/>
              <w:rPr>
                <w:rFonts w:eastAsia="Times New Roman" w:cs="Times New Roman"/>
                <w:color w:val="000000"/>
                <w:szCs w:val="24"/>
                <w:lang w:eastAsia="lv-LV"/>
              </w:rPr>
            </w:pPr>
            <w:r w:rsidRPr="00B12B88">
              <w:rPr>
                <w:rFonts w:eastAsia="Times New Roman" w:cs="Times New Roman"/>
                <w:color w:val="000000"/>
                <w:szCs w:val="24"/>
                <w:lang w:eastAsia="lv-LV"/>
              </w:rPr>
              <w:t>2 836 867</w:t>
            </w:r>
          </w:p>
        </w:tc>
        <w:tc>
          <w:tcPr>
            <w:tcW w:w="2268" w:type="dxa"/>
            <w:shd w:val="clear" w:color="auto" w:fill="auto"/>
            <w:noWrap/>
            <w:vAlign w:val="bottom"/>
          </w:tcPr>
          <w:p w14:paraId="5FB9071D"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4 961</w:t>
            </w:r>
          </w:p>
        </w:tc>
        <w:tc>
          <w:tcPr>
            <w:tcW w:w="1842" w:type="dxa"/>
            <w:shd w:val="clear" w:color="auto" w:fill="auto"/>
            <w:noWrap/>
            <w:vAlign w:val="bottom"/>
          </w:tcPr>
          <w:p w14:paraId="5852CE3B"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2 841 828</w:t>
            </w:r>
          </w:p>
        </w:tc>
      </w:tr>
      <w:tr w:rsidR="006B1A68" w:rsidRPr="00B12B88" w14:paraId="1C7B09C8" w14:textId="77777777" w:rsidTr="006B1A68">
        <w:trPr>
          <w:trHeight w:val="759"/>
        </w:trPr>
        <w:tc>
          <w:tcPr>
            <w:tcW w:w="3056" w:type="dxa"/>
            <w:shd w:val="clear" w:color="000000" w:fill="FFFFFF"/>
            <w:vAlign w:val="center"/>
            <w:hideMark/>
          </w:tcPr>
          <w:p w14:paraId="5B1E2EA6"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Materiāli, energoresursi, preces un inventārs</w:t>
            </w:r>
          </w:p>
        </w:tc>
        <w:tc>
          <w:tcPr>
            <w:tcW w:w="1764" w:type="dxa"/>
            <w:shd w:val="clear" w:color="auto" w:fill="auto"/>
            <w:noWrap/>
            <w:vAlign w:val="bottom"/>
          </w:tcPr>
          <w:p w14:paraId="2FF06C40" w14:textId="77777777" w:rsidR="006B1A68" w:rsidRPr="00B12B88" w:rsidRDefault="006B1A68" w:rsidP="006B1A68">
            <w:pPr>
              <w:spacing w:after="0" w:line="240" w:lineRule="auto"/>
              <w:ind w:right="289"/>
              <w:jc w:val="right"/>
              <w:rPr>
                <w:rFonts w:eastAsia="Times New Roman" w:cs="Times New Roman"/>
                <w:color w:val="000000"/>
                <w:szCs w:val="24"/>
                <w:lang w:eastAsia="lv-LV"/>
              </w:rPr>
            </w:pPr>
            <w:r w:rsidRPr="00B12B88">
              <w:rPr>
                <w:rFonts w:eastAsia="Times New Roman" w:cs="Times New Roman"/>
                <w:color w:val="000000"/>
                <w:szCs w:val="24"/>
                <w:lang w:eastAsia="lv-LV"/>
              </w:rPr>
              <w:t>1 137 712</w:t>
            </w:r>
          </w:p>
        </w:tc>
        <w:tc>
          <w:tcPr>
            <w:tcW w:w="2268" w:type="dxa"/>
            <w:shd w:val="clear" w:color="auto" w:fill="auto"/>
            <w:noWrap/>
            <w:vAlign w:val="bottom"/>
          </w:tcPr>
          <w:p w14:paraId="357593D7"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0</w:t>
            </w:r>
          </w:p>
        </w:tc>
        <w:tc>
          <w:tcPr>
            <w:tcW w:w="1842" w:type="dxa"/>
            <w:shd w:val="clear" w:color="auto" w:fill="auto"/>
            <w:noWrap/>
            <w:vAlign w:val="bottom"/>
          </w:tcPr>
          <w:p w14:paraId="7AB5689B"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1 137 712</w:t>
            </w:r>
          </w:p>
        </w:tc>
      </w:tr>
      <w:tr w:rsidR="006B1A68" w:rsidRPr="00B12B88" w14:paraId="77DED634" w14:textId="77777777" w:rsidTr="006B1A68">
        <w:trPr>
          <w:trHeight w:val="936"/>
        </w:trPr>
        <w:tc>
          <w:tcPr>
            <w:tcW w:w="3056" w:type="dxa"/>
            <w:shd w:val="clear" w:color="000000" w:fill="FFFFFF"/>
            <w:vAlign w:val="center"/>
            <w:hideMark/>
          </w:tcPr>
          <w:p w14:paraId="373300B8" w14:textId="77777777" w:rsidR="006B1A68" w:rsidRPr="00B12B88" w:rsidRDefault="006B1A68" w:rsidP="006B1A68">
            <w:pPr>
              <w:spacing w:after="0" w:line="240" w:lineRule="auto"/>
              <w:rPr>
                <w:rFonts w:eastAsia="Times New Roman" w:cs="Times New Roman"/>
                <w:color w:val="000000"/>
                <w:szCs w:val="24"/>
                <w:lang w:eastAsia="lv-LV"/>
              </w:rPr>
            </w:pPr>
            <w:r w:rsidRPr="00B12B88">
              <w:rPr>
                <w:rFonts w:eastAsia="Times New Roman" w:cs="Times New Roman"/>
                <w:color w:val="000000"/>
                <w:szCs w:val="24"/>
                <w:lang w:eastAsia="lv-LV"/>
              </w:rPr>
              <w:t>Kapitālie izdevumi (nemateriālie un pamatlīdzekļi)</w:t>
            </w:r>
          </w:p>
        </w:tc>
        <w:tc>
          <w:tcPr>
            <w:tcW w:w="1764" w:type="dxa"/>
            <w:shd w:val="clear" w:color="auto" w:fill="auto"/>
            <w:noWrap/>
            <w:vAlign w:val="bottom"/>
          </w:tcPr>
          <w:p w14:paraId="3AAF5C20" w14:textId="77777777" w:rsidR="006B1A68" w:rsidRPr="00B12B88" w:rsidRDefault="006B1A68" w:rsidP="006B1A68">
            <w:pPr>
              <w:spacing w:after="0" w:line="240" w:lineRule="auto"/>
              <w:ind w:right="289"/>
              <w:jc w:val="right"/>
              <w:rPr>
                <w:rFonts w:eastAsia="Times New Roman" w:cs="Times New Roman"/>
                <w:color w:val="000000"/>
                <w:szCs w:val="24"/>
                <w:lang w:eastAsia="lv-LV"/>
              </w:rPr>
            </w:pPr>
            <w:r w:rsidRPr="00B12B88">
              <w:rPr>
                <w:rFonts w:eastAsia="Times New Roman" w:cs="Times New Roman"/>
                <w:color w:val="000000"/>
                <w:szCs w:val="24"/>
                <w:lang w:eastAsia="lv-LV"/>
              </w:rPr>
              <w:t>1 270 250</w:t>
            </w:r>
          </w:p>
        </w:tc>
        <w:tc>
          <w:tcPr>
            <w:tcW w:w="2268" w:type="dxa"/>
            <w:shd w:val="clear" w:color="auto" w:fill="auto"/>
            <w:noWrap/>
            <w:vAlign w:val="bottom"/>
          </w:tcPr>
          <w:p w14:paraId="746E03D3" w14:textId="77777777" w:rsidR="006B1A68" w:rsidRPr="00B12B88" w:rsidRDefault="006B1A68" w:rsidP="006B1A68">
            <w:pPr>
              <w:spacing w:after="0" w:line="240" w:lineRule="auto"/>
              <w:jc w:val="right"/>
              <w:rPr>
                <w:rFonts w:eastAsia="Times New Roman" w:cs="Times New Roman"/>
                <w:color w:val="000000"/>
                <w:szCs w:val="24"/>
                <w:lang w:eastAsia="lv-LV"/>
              </w:rPr>
            </w:pPr>
            <w:r w:rsidRPr="00B12B88">
              <w:rPr>
                <w:rFonts w:eastAsia="Times New Roman" w:cs="Times New Roman"/>
                <w:color w:val="000000"/>
                <w:szCs w:val="24"/>
                <w:lang w:eastAsia="lv-LV"/>
              </w:rPr>
              <w:t>270 119</w:t>
            </w:r>
          </w:p>
        </w:tc>
        <w:tc>
          <w:tcPr>
            <w:tcW w:w="1842" w:type="dxa"/>
            <w:shd w:val="clear" w:color="auto" w:fill="auto"/>
            <w:noWrap/>
            <w:vAlign w:val="bottom"/>
          </w:tcPr>
          <w:p w14:paraId="3B95AB71" w14:textId="77777777" w:rsidR="006B1A68" w:rsidRPr="00B12B88" w:rsidRDefault="006B1A68" w:rsidP="006B1A68">
            <w:pPr>
              <w:spacing w:after="0" w:line="240" w:lineRule="auto"/>
              <w:jc w:val="right"/>
              <w:rPr>
                <w:rFonts w:eastAsia="Times New Roman" w:cs="Times New Roman"/>
                <w:b/>
                <w:bCs/>
                <w:color w:val="000000"/>
                <w:szCs w:val="24"/>
                <w:lang w:eastAsia="lv-LV"/>
              </w:rPr>
            </w:pPr>
            <w:r w:rsidRPr="00B12B88">
              <w:rPr>
                <w:rFonts w:eastAsia="Times New Roman" w:cs="Times New Roman"/>
                <w:b/>
                <w:bCs/>
                <w:color w:val="000000"/>
                <w:szCs w:val="24"/>
                <w:lang w:eastAsia="lv-LV"/>
              </w:rPr>
              <w:t>1 541 369</w:t>
            </w:r>
          </w:p>
        </w:tc>
      </w:tr>
    </w:tbl>
    <w:p w14:paraId="3ACC8606" w14:textId="77777777" w:rsidR="006B1A68" w:rsidRPr="00B12B88" w:rsidRDefault="006B1A68" w:rsidP="006B1A68">
      <w:pPr>
        <w:spacing w:after="0" w:line="240" w:lineRule="auto"/>
        <w:jc w:val="both"/>
        <w:rPr>
          <w:rFonts w:eastAsia="Calibri" w:cs="Times New Roman"/>
          <w:szCs w:val="24"/>
        </w:rPr>
      </w:pPr>
    </w:p>
    <w:p w14:paraId="533E54D8" w14:textId="77777777" w:rsidR="006B1A68" w:rsidRPr="00B12B88" w:rsidRDefault="006B1A68" w:rsidP="006B1A68">
      <w:pPr>
        <w:spacing w:after="0" w:line="240" w:lineRule="auto"/>
        <w:jc w:val="center"/>
        <w:rPr>
          <w:rFonts w:eastAsia="Calibri" w:cs="Times New Roman"/>
          <w:szCs w:val="24"/>
        </w:rPr>
      </w:pPr>
      <w:r w:rsidRPr="00B12B88">
        <w:rPr>
          <w:noProof/>
        </w:rPr>
        <w:drawing>
          <wp:inline distT="0" distB="0" distL="0" distR="0" wp14:anchorId="0F2534A7" wp14:editId="5FF22DFF">
            <wp:extent cx="4953000" cy="4152900"/>
            <wp:effectExtent l="0" t="0" r="0" b="0"/>
            <wp:docPr id="224" name="Chart 224">
              <a:extLst xmlns:a="http://schemas.openxmlformats.org/drawingml/2006/main">
                <a:ext uri="{FF2B5EF4-FFF2-40B4-BE49-F238E27FC236}">
                  <a16:creationId xmlns:a16="http://schemas.microsoft.com/office/drawing/2014/main" id="{1727835D-770F-490F-9D91-B666C6D644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1949B2F2" w14:textId="77777777" w:rsidR="006B1A68" w:rsidRPr="00B12B88" w:rsidRDefault="006B1A68" w:rsidP="006B1A68">
      <w:pPr>
        <w:spacing w:after="0" w:line="240" w:lineRule="auto"/>
        <w:jc w:val="both"/>
        <w:rPr>
          <w:rFonts w:eastAsia="Calibri" w:cs="Times New Roman"/>
          <w:szCs w:val="24"/>
          <w:highlight w:val="yellow"/>
        </w:rPr>
      </w:pPr>
    </w:p>
    <w:p w14:paraId="3B62A48A" w14:textId="77777777" w:rsidR="006B1A68" w:rsidRPr="00A73554" w:rsidRDefault="006B1A68" w:rsidP="006B1A68">
      <w:pPr>
        <w:pStyle w:val="ListParagraph"/>
        <w:numPr>
          <w:ilvl w:val="0"/>
          <w:numId w:val="42"/>
        </w:numPr>
        <w:spacing w:after="0" w:line="240" w:lineRule="auto"/>
        <w:rPr>
          <w:rFonts w:eastAsia="Times New Roman" w:cs="Times New Roman"/>
          <w:b/>
          <w:bCs/>
          <w:color w:val="000000"/>
          <w:szCs w:val="24"/>
          <w:lang w:eastAsia="lv-LV"/>
        </w:rPr>
      </w:pPr>
      <w:r w:rsidRPr="00A73554">
        <w:rPr>
          <w:rFonts w:eastAsia="Times New Roman" w:cs="Times New Roman"/>
          <w:b/>
          <w:bCs/>
          <w:color w:val="000000"/>
          <w:szCs w:val="24"/>
          <w:lang w:eastAsia="lv-LV"/>
        </w:rPr>
        <w:lastRenderedPageBreak/>
        <w:t>Izmaiņas izdevumos, salīdzinot 2020.</w:t>
      </w:r>
      <w:r>
        <w:rPr>
          <w:rFonts w:eastAsia="Times New Roman" w:cs="Times New Roman"/>
          <w:b/>
          <w:bCs/>
          <w:color w:val="000000"/>
          <w:szCs w:val="24"/>
          <w:lang w:eastAsia="lv-LV"/>
        </w:rPr>
        <w:t> </w:t>
      </w:r>
      <w:r w:rsidRPr="00A73554">
        <w:rPr>
          <w:rFonts w:eastAsia="Times New Roman" w:cs="Times New Roman"/>
          <w:b/>
          <w:bCs/>
          <w:color w:val="000000"/>
          <w:szCs w:val="24"/>
          <w:lang w:eastAsia="lv-LV"/>
        </w:rPr>
        <w:t>gada projektu ar 2019.</w:t>
      </w:r>
      <w:r>
        <w:rPr>
          <w:rFonts w:eastAsia="Times New Roman" w:cs="Times New Roman"/>
          <w:b/>
          <w:bCs/>
          <w:color w:val="000000"/>
          <w:szCs w:val="24"/>
          <w:lang w:eastAsia="lv-LV"/>
        </w:rPr>
        <w:t> </w:t>
      </w:r>
      <w:r w:rsidRPr="00A73554">
        <w:rPr>
          <w:rFonts w:eastAsia="Times New Roman" w:cs="Times New Roman"/>
          <w:b/>
          <w:bCs/>
          <w:color w:val="000000"/>
          <w:szCs w:val="24"/>
          <w:lang w:eastAsia="lv-LV"/>
        </w:rPr>
        <w:t>gada plānu</w:t>
      </w:r>
    </w:p>
    <w:p w14:paraId="524F0591" w14:textId="77777777" w:rsidR="006B1A68" w:rsidRPr="00B12B88" w:rsidRDefault="006B1A68" w:rsidP="006B1A68">
      <w:pPr>
        <w:spacing w:after="0" w:line="240" w:lineRule="auto"/>
        <w:ind w:left="426"/>
        <w:contextualSpacing/>
        <w:rPr>
          <w:rFonts w:eastAsia="Times New Roman" w:cs="Times New Roman"/>
          <w:b/>
          <w:bCs/>
          <w:color w:val="000000"/>
          <w:szCs w:val="24"/>
          <w:lang w:eastAsia="lv-LV"/>
        </w:rPr>
      </w:pPr>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90"/>
        <w:gridCol w:w="1701"/>
        <w:gridCol w:w="1559"/>
        <w:gridCol w:w="1276"/>
      </w:tblGrid>
      <w:tr w:rsidR="006B1A68" w:rsidRPr="00B12B88" w14:paraId="55F1917F" w14:textId="77777777" w:rsidTr="006B1A68">
        <w:trPr>
          <w:trHeight w:val="142"/>
          <w:tblHeader/>
          <w:jc w:val="center"/>
        </w:trPr>
        <w:tc>
          <w:tcPr>
            <w:tcW w:w="4390" w:type="dxa"/>
            <w:vAlign w:val="center"/>
          </w:tcPr>
          <w:p w14:paraId="3C9577CC"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lang w:eastAsia="lv-LV"/>
              </w:rPr>
              <w:t>Pasākums</w:t>
            </w:r>
          </w:p>
        </w:tc>
        <w:tc>
          <w:tcPr>
            <w:tcW w:w="1701" w:type="dxa"/>
            <w:vAlign w:val="center"/>
          </w:tcPr>
          <w:p w14:paraId="4D21AB12" w14:textId="77777777" w:rsidR="006B1A68" w:rsidRPr="00B12B88" w:rsidRDefault="006B1A68" w:rsidP="006B1A68">
            <w:pPr>
              <w:spacing w:after="0" w:line="240" w:lineRule="auto"/>
              <w:jc w:val="center"/>
              <w:rPr>
                <w:rFonts w:eastAsia="Times New Roman" w:cs="Times New Roman"/>
                <w:szCs w:val="24"/>
                <w:lang w:eastAsia="lv-LV"/>
              </w:rPr>
            </w:pPr>
            <w:r w:rsidRPr="00B12B88">
              <w:rPr>
                <w:rFonts w:eastAsia="Times New Roman" w:cs="Times New Roman"/>
                <w:szCs w:val="24"/>
                <w:lang w:eastAsia="lv-LV"/>
              </w:rPr>
              <w:t>Samazinājums</w:t>
            </w:r>
          </w:p>
        </w:tc>
        <w:tc>
          <w:tcPr>
            <w:tcW w:w="1559" w:type="dxa"/>
            <w:vAlign w:val="center"/>
          </w:tcPr>
          <w:p w14:paraId="1FACA2D7" w14:textId="77777777" w:rsidR="006B1A68" w:rsidRPr="00B12B88" w:rsidRDefault="006B1A68" w:rsidP="006B1A68">
            <w:pPr>
              <w:spacing w:after="0" w:line="240" w:lineRule="auto"/>
              <w:jc w:val="center"/>
              <w:rPr>
                <w:rFonts w:eastAsia="Times New Roman" w:cs="Times New Roman"/>
                <w:szCs w:val="24"/>
                <w:lang w:eastAsia="lv-LV"/>
              </w:rPr>
            </w:pPr>
            <w:r w:rsidRPr="00B12B88">
              <w:rPr>
                <w:rFonts w:eastAsia="Times New Roman" w:cs="Times New Roman"/>
                <w:szCs w:val="24"/>
                <w:lang w:eastAsia="lv-LV"/>
              </w:rPr>
              <w:t>Palielinājums</w:t>
            </w:r>
          </w:p>
        </w:tc>
        <w:tc>
          <w:tcPr>
            <w:tcW w:w="1276" w:type="dxa"/>
            <w:vAlign w:val="center"/>
          </w:tcPr>
          <w:p w14:paraId="3CEFC8A7" w14:textId="77777777" w:rsidR="006B1A68" w:rsidRPr="00B12B88" w:rsidRDefault="006B1A68" w:rsidP="006B1A68">
            <w:pPr>
              <w:spacing w:after="0" w:line="240" w:lineRule="auto"/>
              <w:jc w:val="center"/>
              <w:rPr>
                <w:rFonts w:eastAsia="Times New Roman" w:cs="Times New Roman"/>
                <w:szCs w:val="24"/>
                <w:lang w:eastAsia="lv-LV"/>
              </w:rPr>
            </w:pPr>
            <w:r w:rsidRPr="00B12B88">
              <w:rPr>
                <w:rFonts w:eastAsia="Times New Roman" w:cs="Times New Roman"/>
                <w:szCs w:val="24"/>
                <w:lang w:eastAsia="lv-LV"/>
              </w:rPr>
              <w:t>Izmaiņas</w:t>
            </w:r>
          </w:p>
        </w:tc>
      </w:tr>
      <w:tr w:rsidR="006B1A68" w:rsidRPr="00B12B88" w14:paraId="08822A22" w14:textId="77777777" w:rsidTr="006B1A68">
        <w:trPr>
          <w:trHeight w:val="142"/>
          <w:jc w:val="center"/>
        </w:trPr>
        <w:tc>
          <w:tcPr>
            <w:tcW w:w="4390" w:type="dxa"/>
            <w:shd w:val="clear" w:color="auto" w:fill="D9D9D9"/>
          </w:tcPr>
          <w:p w14:paraId="2F67A561" w14:textId="77777777" w:rsidR="006B1A68" w:rsidRPr="00B12B88" w:rsidRDefault="006B1A68" w:rsidP="006B1A68">
            <w:pPr>
              <w:spacing w:after="0" w:line="240" w:lineRule="auto"/>
              <w:rPr>
                <w:rFonts w:eastAsia="Times New Roman" w:cs="Times New Roman"/>
                <w:szCs w:val="24"/>
              </w:rPr>
            </w:pPr>
            <w:r w:rsidRPr="00B12B88">
              <w:rPr>
                <w:rFonts w:eastAsia="Times New Roman" w:cs="Times New Roman"/>
                <w:b/>
                <w:bCs/>
                <w:szCs w:val="24"/>
                <w:lang w:eastAsia="lv-LV"/>
              </w:rPr>
              <w:t>Izdevumi - kopā</w:t>
            </w:r>
          </w:p>
        </w:tc>
        <w:tc>
          <w:tcPr>
            <w:tcW w:w="1701" w:type="dxa"/>
            <w:shd w:val="clear" w:color="auto" w:fill="D9D9D9"/>
          </w:tcPr>
          <w:p w14:paraId="364057D3" w14:textId="77777777" w:rsidR="006B1A68" w:rsidRPr="00B12B88" w:rsidRDefault="006B1A68" w:rsidP="006B1A68">
            <w:pPr>
              <w:spacing w:after="0" w:line="240" w:lineRule="auto"/>
              <w:jc w:val="center"/>
              <w:rPr>
                <w:rFonts w:eastAsia="Times New Roman" w:cs="Times New Roman"/>
                <w:b/>
                <w:szCs w:val="24"/>
              </w:rPr>
            </w:pPr>
            <w:r>
              <w:rPr>
                <w:rFonts w:eastAsia="Times New Roman" w:cs="Times New Roman"/>
                <w:b/>
                <w:szCs w:val="24"/>
              </w:rPr>
              <w:t xml:space="preserve">        </w:t>
            </w:r>
            <w:r w:rsidRPr="00B12B88">
              <w:rPr>
                <w:rFonts w:eastAsia="Times New Roman" w:cs="Times New Roman"/>
                <w:b/>
                <w:szCs w:val="24"/>
              </w:rPr>
              <w:t>1 896 712</w:t>
            </w:r>
          </w:p>
        </w:tc>
        <w:tc>
          <w:tcPr>
            <w:tcW w:w="1559" w:type="dxa"/>
            <w:shd w:val="clear" w:color="auto" w:fill="D9D9D9"/>
          </w:tcPr>
          <w:p w14:paraId="5D760E78" w14:textId="77777777" w:rsidR="006B1A68" w:rsidRPr="00B12B88" w:rsidRDefault="006B1A68" w:rsidP="006B1A68">
            <w:pPr>
              <w:spacing w:after="0" w:line="240" w:lineRule="auto"/>
              <w:jc w:val="center"/>
              <w:rPr>
                <w:rFonts w:eastAsia="Times New Roman" w:cs="Times New Roman"/>
                <w:b/>
                <w:szCs w:val="24"/>
              </w:rPr>
            </w:pPr>
            <w:r>
              <w:rPr>
                <w:rFonts w:eastAsia="Times New Roman" w:cs="Times New Roman"/>
                <w:b/>
                <w:szCs w:val="24"/>
              </w:rPr>
              <w:t xml:space="preserve">      </w:t>
            </w:r>
            <w:r w:rsidRPr="00B12B88">
              <w:rPr>
                <w:rFonts w:eastAsia="Times New Roman" w:cs="Times New Roman"/>
                <w:b/>
                <w:szCs w:val="24"/>
              </w:rPr>
              <w:t>5 509 298</w:t>
            </w:r>
          </w:p>
        </w:tc>
        <w:tc>
          <w:tcPr>
            <w:tcW w:w="1276" w:type="dxa"/>
            <w:shd w:val="clear" w:color="auto" w:fill="D9D9D9"/>
          </w:tcPr>
          <w:p w14:paraId="1516031D" w14:textId="77777777" w:rsidR="006B1A68" w:rsidRPr="00B12B88" w:rsidRDefault="006B1A68" w:rsidP="006B1A68">
            <w:pPr>
              <w:spacing w:after="0" w:line="240" w:lineRule="auto"/>
              <w:rPr>
                <w:rFonts w:eastAsia="Times New Roman" w:cs="Times New Roman"/>
                <w:b/>
                <w:szCs w:val="24"/>
              </w:rPr>
            </w:pPr>
            <w:r>
              <w:rPr>
                <w:rFonts w:eastAsia="Times New Roman" w:cs="Times New Roman"/>
                <w:b/>
                <w:szCs w:val="24"/>
              </w:rPr>
              <w:t xml:space="preserve"> </w:t>
            </w:r>
            <w:r w:rsidRPr="00B12B88">
              <w:rPr>
                <w:rFonts w:eastAsia="Times New Roman" w:cs="Times New Roman"/>
                <w:b/>
                <w:szCs w:val="24"/>
              </w:rPr>
              <w:t>3 612 586</w:t>
            </w:r>
          </w:p>
        </w:tc>
      </w:tr>
      <w:tr w:rsidR="006B1A68" w:rsidRPr="00B12B88" w14:paraId="32398CD8" w14:textId="77777777" w:rsidTr="006B1A68">
        <w:trPr>
          <w:jc w:val="center"/>
        </w:trPr>
        <w:tc>
          <w:tcPr>
            <w:tcW w:w="8926" w:type="dxa"/>
            <w:gridSpan w:val="4"/>
          </w:tcPr>
          <w:p w14:paraId="04970F7B" w14:textId="77777777" w:rsidR="006B1A68" w:rsidRPr="00B12B88" w:rsidRDefault="006B1A68" w:rsidP="006B1A68">
            <w:pPr>
              <w:spacing w:after="0" w:line="240" w:lineRule="auto"/>
              <w:ind w:firstLine="313"/>
              <w:rPr>
                <w:rFonts w:eastAsia="Times New Roman" w:cs="Times New Roman"/>
                <w:szCs w:val="24"/>
              </w:rPr>
            </w:pPr>
            <w:r w:rsidRPr="00B12B88">
              <w:rPr>
                <w:rFonts w:eastAsia="Times New Roman" w:cs="Times New Roman"/>
                <w:szCs w:val="24"/>
                <w:lang w:eastAsia="lv-LV"/>
              </w:rPr>
              <w:t>t. sk.:</w:t>
            </w:r>
          </w:p>
        </w:tc>
      </w:tr>
      <w:tr w:rsidR="006B1A68" w:rsidRPr="00B12B88" w14:paraId="0CBC255A" w14:textId="77777777" w:rsidTr="006B1A68">
        <w:trPr>
          <w:trHeight w:val="142"/>
          <w:jc w:val="center"/>
        </w:trPr>
        <w:tc>
          <w:tcPr>
            <w:tcW w:w="4390" w:type="dxa"/>
            <w:shd w:val="clear" w:color="auto" w:fill="F2F2F2"/>
          </w:tcPr>
          <w:p w14:paraId="64DD05EB" w14:textId="77777777" w:rsidR="006B1A68" w:rsidRPr="00B12B88" w:rsidRDefault="006B1A68" w:rsidP="006B1A68">
            <w:pPr>
              <w:spacing w:after="0" w:line="240" w:lineRule="auto"/>
              <w:rPr>
                <w:rFonts w:eastAsia="Times New Roman" w:cs="Times New Roman"/>
                <w:b/>
                <w:bCs/>
                <w:szCs w:val="24"/>
                <w:u w:val="single"/>
                <w:lang w:eastAsia="lv-LV"/>
              </w:rPr>
            </w:pPr>
            <w:r w:rsidRPr="00B12B88">
              <w:rPr>
                <w:rFonts w:eastAsia="Times New Roman" w:cs="Times New Roman"/>
                <w:b/>
                <w:bCs/>
                <w:szCs w:val="24"/>
                <w:u w:val="single"/>
                <w:lang w:eastAsia="lv-LV"/>
              </w:rPr>
              <w:t>Prioritāri pasākumi</w:t>
            </w:r>
          </w:p>
        </w:tc>
        <w:tc>
          <w:tcPr>
            <w:tcW w:w="1701" w:type="dxa"/>
            <w:shd w:val="clear" w:color="auto" w:fill="F2F2F2"/>
          </w:tcPr>
          <w:p w14:paraId="0E390534"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shd w:val="clear" w:color="auto" w:fill="F2F2F2"/>
          </w:tcPr>
          <w:p w14:paraId="3C8966E5"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625 443</w:t>
            </w:r>
          </w:p>
        </w:tc>
        <w:tc>
          <w:tcPr>
            <w:tcW w:w="1276" w:type="dxa"/>
            <w:shd w:val="clear" w:color="auto" w:fill="F2F2F2"/>
          </w:tcPr>
          <w:p w14:paraId="7E3D3235" w14:textId="77777777" w:rsidR="006B1A68" w:rsidRPr="00B12B88" w:rsidRDefault="006B1A68" w:rsidP="006B1A68">
            <w:pPr>
              <w:spacing w:after="0" w:line="240" w:lineRule="auto"/>
              <w:jc w:val="right"/>
              <w:rPr>
                <w:rFonts w:eastAsia="Times New Roman" w:cs="Times New Roman"/>
                <w:b/>
                <w:szCs w:val="24"/>
                <w:u w:val="single"/>
              </w:rPr>
            </w:pPr>
            <w:r w:rsidRPr="00B12B88">
              <w:rPr>
                <w:rFonts w:eastAsia="Times New Roman" w:cs="Times New Roman"/>
                <w:b/>
                <w:szCs w:val="24"/>
              </w:rPr>
              <w:t>625 443</w:t>
            </w:r>
          </w:p>
        </w:tc>
      </w:tr>
      <w:tr w:rsidR="006B1A68" w:rsidRPr="00B12B88" w14:paraId="058CA358" w14:textId="77777777" w:rsidTr="006B1A68">
        <w:trPr>
          <w:trHeight w:val="142"/>
          <w:jc w:val="center"/>
        </w:trPr>
        <w:tc>
          <w:tcPr>
            <w:tcW w:w="4390" w:type="dxa"/>
          </w:tcPr>
          <w:p w14:paraId="28F1982E" w14:textId="77777777" w:rsidR="006B1A68" w:rsidRPr="00B12B88" w:rsidRDefault="006B1A68" w:rsidP="006B1A68">
            <w:pPr>
              <w:spacing w:after="0" w:line="240" w:lineRule="auto"/>
              <w:rPr>
                <w:rFonts w:eastAsia="Times New Roman" w:cs="Times New Roman"/>
                <w:szCs w:val="24"/>
                <w:lang w:eastAsia="lv-LV"/>
              </w:rPr>
            </w:pPr>
            <w:r w:rsidRPr="00B12B88">
              <w:rPr>
                <w:rFonts w:eastAsia="Calibri" w:cs="Times New Roman"/>
                <w:szCs w:val="24"/>
              </w:rPr>
              <w:t>Prokuratūras informācijas tehnoloģiju infrastruktūras uzturēšana un nepieciešamā drošības līmeņa nodrošināšana</w:t>
            </w:r>
          </w:p>
        </w:tc>
        <w:tc>
          <w:tcPr>
            <w:tcW w:w="1701" w:type="dxa"/>
          </w:tcPr>
          <w:p w14:paraId="5767F62D"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4A5BF18A"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219 843</w:t>
            </w:r>
          </w:p>
        </w:tc>
        <w:tc>
          <w:tcPr>
            <w:tcW w:w="1276" w:type="dxa"/>
          </w:tcPr>
          <w:p w14:paraId="444E2921"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219 843</w:t>
            </w:r>
          </w:p>
        </w:tc>
      </w:tr>
      <w:tr w:rsidR="006B1A68" w:rsidRPr="00B12B88" w14:paraId="5CEEB800" w14:textId="77777777" w:rsidTr="006B1A68">
        <w:trPr>
          <w:trHeight w:val="142"/>
          <w:jc w:val="center"/>
        </w:trPr>
        <w:tc>
          <w:tcPr>
            <w:tcW w:w="4390" w:type="dxa"/>
          </w:tcPr>
          <w:p w14:paraId="7F631DF6" w14:textId="77777777" w:rsidR="006B1A68" w:rsidRPr="00B12B88" w:rsidRDefault="006B1A68" w:rsidP="006B1A68">
            <w:pPr>
              <w:spacing w:after="0" w:line="240" w:lineRule="auto"/>
              <w:rPr>
                <w:rFonts w:eastAsia="Times New Roman" w:cs="Times New Roman"/>
                <w:szCs w:val="24"/>
                <w:lang w:eastAsia="lv-LV"/>
              </w:rPr>
            </w:pPr>
            <w:r w:rsidRPr="00B12B88">
              <w:rPr>
                <w:rFonts w:eastAsia="Calibri" w:cs="Times New Roman"/>
                <w:szCs w:val="24"/>
              </w:rPr>
              <w:t xml:space="preserve">Materiāltehniskais nodrošinājums Prokuratūrai noteikto funkciju izpildei sakarā ar tiesu teritoriālo reformu  </w:t>
            </w:r>
          </w:p>
        </w:tc>
        <w:tc>
          <w:tcPr>
            <w:tcW w:w="1701" w:type="dxa"/>
          </w:tcPr>
          <w:p w14:paraId="18817303"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3925EB52"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36 800</w:t>
            </w:r>
          </w:p>
        </w:tc>
        <w:tc>
          <w:tcPr>
            <w:tcW w:w="1276" w:type="dxa"/>
          </w:tcPr>
          <w:p w14:paraId="7EC16939"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36 800</w:t>
            </w:r>
          </w:p>
        </w:tc>
      </w:tr>
      <w:tr w:rsidR="006B1A68" w:rsidRPr="00B12B88" w14:paraId="7AA6FCF9" w14:textId="77777777" w:rsidTr="006B1A68">
        <w:trPr>
          <w:trHeight w:val="142"/>
          <w:jc w:val="center"/>
        </w:trPr>
        <w:tc>
          <w:tcPr>
            <w:tcW w:w="4390" w:type="dxa"/>
          </w:tcPr>
          <w:p w14:paraId="4D15C16C" w14:textId="77777777" w:rsidR="006B1A68" w:rsidRPr="00B12B88" w:rsidRDefault="006B1A68" w:rsidP="006B1A68">
            <w:pPr>
              <w:spacing w:after="0" w:line="240" w:lineRule="auto"/>
              <w:rPr>
                <w:rFonts w:eastAsia="Times New Roman" w:cs="Times New Roman"/>
                <w:szCs w:val="24"/>
                <w:lang w:eastAsia="lv-LV"/>
              </w:rPr>
            </w:pPr>
            <w:r w:rsidRPr="00B12B88">
              <w:rPr>
                <w:rFonts w:eastAsia="Calibri" w:cs="Times New Roman"/>
                <w:szCs w:val="24"/>
              </w:rPr>
              <w:t>Prokuratūras darbinieku mēnešalgas palielināšana</w:t>
            </w:r>
          </w:p>
        </w:tc>
        <w:tc>
          <w:tcPr>
            <w:tcW w:w="1701" w:type="dxa"/>
          </w:tcPr>
          <w:p w14:paraId="56AA3BE0"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5BC7F2F0"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273 039</w:t>
            </w:r>
          </w:p>
        </w:tc>
        <w:tc>
          <w:tcPr>
            <w:tcW w:w="1276" w:type="dxa"/>
          </w:tcPr>
          <w:p w14:paraId="20BFD6FA"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273 039</w:t>
            </w:r>
          </w:p>
        </w:tc>
      </w:tr>
      <w:tr w:rsidR="006B1A68" w:rsidRPr="00B12B88" w14:paraId="2F3FFFD7" w14:textId="77777777" w:rsidTr="006B1A68">
        <w:trPr>
          <w:trHeight w:val="142"/>
          <w:jc w:val="center"/>
        </w:trPr>
        <w:tc>
          <w:tcPr>
            <w:tcW w:w="4390" w:type="dxa"/>
          </w:tcPr>
          <w:p w14:paraId="7343D996" w14:textId="77777777" w:rsidR="006B1A68" w:rsidRPr="00B12B88" w:rsidRDefault="006B1A68" w:rsidP="006B1A68">
            <w:pPr>
              <w:spacing w:after="0" w:line="240" w:lineRule="auto"/>
              <w:rPr>
                <w:rFonts w:eastAsia="Times New Roman" w:cs="Times New Roman"/>
                <w:szCs w:val="24"/>
                <w:lang w:eastAsia="lv-LV"/>
              </w:rPr>
            </w:pPr>
            <w:r w:rsidRPr="00B12B88">
              <w:rPr>
                <w:rFonts w:eastAsia="Calibri" w:cs="Times New Roman"/>
                <w:szCs w:val="24"/>
              </w:rPr>
              <w:t>Prokuroru atalgojuma fonda precizēšana (atvaļinājuma pabalstam nepieciešamā finansējuma precizēšana)</w:t>
            </w:r>
          </w:p>
        </w:tc>
        <w:tc>
          <w:tcPr>
            <w:tcW w:w="1701" w:type="dxa"/>
          </w:tcPr>
          <w:p w14:paraId="0CFF3686"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35DB5CDE"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95 761</w:t>
            </w:r>
          </w:p>
        </w:tc>
        <w:tc>
          <w:tcPr>
            <w:tcW w:w="1276" w:type="dxa"/>
          </w:tcPr>
          <w:p w14:paraId="3B866E3D" w14:textId="77777777" w:rsidR="006B1A68" w:rsidRPr="00B12B88" w:rsidRDefault="006B1A68" w:rsidP="006B1A68">
            <w:pPr>
              <w:spacing w:after="0" w:line="240" w:lineRule="auto"/>
              <w:jc w:val="right"/>
              <w:rPr>
                <w:rFonts w:eastAsia="Times New Roman" w:cs="Times New Roman"/>
                <w:szCs w:val="24"/>
              </w:rPr>
            </w:pPr>
            <w:r w:rsidRPr="00B12B88">
              <w:rPr>
                <w:rFonts w:eastAsia="Calibri" w:cs="Times New Roman"/>
                <w:szCs w:val="24"/>
              </w:rPr>
              <w:t>95 761</w:t>
            </w:r>
          </w:p>
        </w:tc>
      </w:tr>
      <w:tr w:rsidR="006B1A68" w:rsidRPr="00B12B88" w14:paraId="19DE243A" w14:textId="77777777" w:rsidTr="006B1A68">
        <w:trPr>
          <w:trHeight w:val="142"/>
          <w:jc w:val="center"/>
        </w:trPr>
        <w:tc>
          <w:tcPr>
            <w:tcW w:w="4390" w:type="dxa"/>
            <w:shd w:val="clear" w:color="auto" w:fill="F2F2F2"/>
          </w:tcPr>
          <w:p w14:paraId="4546A13D" w14:textId="77777777" w:rsidR="006B1A68" w:rsidRPr="00B12B88" w:rsidRDefault="006B1A68" w:rsidP="006B1A68">
            <w:pPr>
              <w:spacing w:after="0" w:line="240" w:lineRule="auto"/>
              <w:rPr>
                <w:rFonts w:eastAsia="Times New Roman" w:cs="Times New Roman"/>
                <w:b/>
                <w:bCs/>
                <w:szCs w:val="24"/>
                <w:u w:val="single"/>
                <w:lang w:eastAsia="lv-LV"/>
              </w:rPr>
            </w:pPr>
            <w:r w:rsidRPr="00B12B88">
              <w:rPr>
                <w:rFonts w:eastAsia="Times New Roman" w:cs="Times New Roman"/>
                <w:b/>
                <w:bCs/>
                <w:szCs w:val="24"/>
                <w:u w:val="single"/>
                <w:lang w:eastAsia="lv-LV"/>
              </w:rPr>
              <w:t>Vienreizēji pasākumi</w:t>
            </w:r>
          </w:p>
        </w:tc>
        <w:tc>
          <w:tcPr>
            <w:tcW w:w="1701" w:type="dxa"/>
            <w:shd w:val="clear" w:color="auto" w:fill="F2F2F2"/>
          </w:tcPr>
          <w:p w14:paraId="41A47B99"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33 091</w:t>
            </w:r>
          </w:p>
        </w:tc>
        <w:tc>
          <w:tcPr>
            <w:tcW w:w="1559" w:type="dxa"/>
            <w:shd w:val="clear" w:color="auto" w:fill="F2F2F2"/>
          </w:tcPr>
          <w:p w14:paraId="5E267FA3"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1 343 732</w:t>
            </w:r>
          </w:p>
        </w:tc>
        <w:tc>
          <w:tcPr>
            <w:tcW w:w="1276" w:type="dxa"/>
            <w:shd w:val="clear" w:color="auto" w:fill="F2F2F2"/>
          </w:tcPr>
          <w:p w14:paraId="05FB6F01"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1 310 641</w:t>
            </w:r>
          </w:p>
        </w:tc>
      </w:tr>
      <w:tr w:rsidR="006B1A68" w:rsidRPr="00B12B88" w14:paraId="6E034B1B" w14:textId="77777777" w:rsidTr="006B1A68">
        <w:trPr>
          <w:trHeight w:val="142"/>
          <w:jc w:val="center"/>
        </w:trPr>
        <w:tc>
          <w:tcPr>
            <w:tcW w:w="4390" w:type="dxa"/>
            <w:shd w:val="clear" w:color="auto" w:fill="auto"/>
          </w:tcPr>
          <w:p w14:paraId="7A2074A6" w14:textId="77777777" w:rsidR="006B1A68" w:rsidRPr="00B12B88" w:rsidRDefault="006B1A68" w:rsidP="006B1A68">
            <w:pPr>
              <w:spacing w:after="0" w:line="240" w:lineRule="auto"/>
              <w:rPr>
                <w:rFonts w:eastAsia="Times New Roman" w:cs="Times New Roman"/>
                <w:szCs w:val="24"/>
                <w:u w:val="single"/>
                <w:lang w:eastAsia="lv-LV"/>
              </w:rPr>
            </w:pPr>
            <w:r w:rsidRPr="00B12B88">
              <w:rPr>
                <w:rFonts w:eastAsia="Times New Roman" w:cs="Times New Roman"/>
                <w:szCs w:val="24"/>
                <w:lang w:eastAsia="lv-LV"/>
              </w:rPr>
              <w:t>Samazināti izdevumi civilā eksperta nosūtīšanai dalībai Eiropas Savienības Padomdevēja misijā civilā drošības sektora reformām Ukrainā</w:t>
            </w:r>
            <w:r>
              <w:rPr>
                <w:rFonts w:eastAsia="Times New Roman" w:cs="Times New Roman"/>
                <w:szCs w:val="24"/>
                <w:lang w:eastAsia="lv-LV"/>
              </w:rPr>
              <w:t xml:space="preserve"> </w:t>
            </w:r>
            <w:r w:rsidRPr="00B12B88">
              <w:rPr>
                <w:rFonts w:eastAsia="Times New Roman" w:cs="Times New Roman"/>
                <w:szCs w:val="24"/>
                <w:lang w:eastAsia="lv-LV"/>
              </w:rPr>
              <w:t>saskaņā ar Ministru kabineta 2018.</w:t>
            </w:r>
            <w:r>
              <w:rPr>
                <w:rFonts w:eastAsia="Times New Roman" w:cs="Times New Roman"/>
                <w:szCs w:val="24"/>
                <w:lang w:eastAsia="lv-LV"/>
              </w:rPr>
              <w:t> </w:t>
            </w:r>
            <w:r w:rsidRPr="00B12B88">
              <w:rPr>
                <w:rFonts w:eastAsia="Times New Roman" w:cs="Times New Roman"/>
                <w:szCs w:val="24"/>
                <w:lang w:eastAsia="lv-LV"/>
              </w:rPr>
              <w:t>g</w:t>
            </w:r>
            <w:r>
              <w:rPr>
                <w:rFonts w:eastAsia="Times New Roman" w:cs="Times New Roman"/>
                <w:szCs w:val="24"/>
                <w:lang w:eastAsia="lv-LV"/>
              </w:rPr>
              <w:t>ada</w:t>
            </w:r>
            <w:r w:rsidRPr="00B12B88">
              <w:rPr>
                <w:rFonts w:eastAsia="Times New Roman" w:cs="Times New Roman"/>
                <w:szCs w:val="24"/>
                <w:lang w:eastAsia="lv-LV"/>
              </w:rPr>
              <w:t xml:space="preserve"> 29</w:t>
            </w:r>
            <w:r>
              <w:rPr>
                <w:rFonts w:eastAsia="Times New Roman" w:cs="Times New Roman"/>
                <w:szCs w:val="24"/>
                <w:lang w:eastAsia="lv-LV"/>
              </w:rPr>
              <w:t>. </w:t>
            </w:r>
            <w:r w:rsidRPr="00B12B88">
              <w:rPr>
                <w:rFonts w:eastAsia="Times New Roman" w:cs="Times New Roman"/>
                <w:szCs w:val="24"/>
                <w:lang w:eastAsia="lv-LV"/>
              </w:rPr>
              <w:t>maija rīkojuma Nr.</w:t>
            </w:r>
            <w:r>
              <w:rPr>
                <w:rFonts w:eastAsia="Times New Roman" w:cs="Times New Roman"/>
                <w:szCs w:val="24"/>
                <w:lang w:eastAsia="lv-LV"/>
              </w:rPr>
              <w:t> </w:t>
            </w:r>
            <w:r w:rsidRPr="00B12B88">
              <w:rPr>
                <w:rFonts w:eastAsia="Times New Roman" w:cs="Times New Roman"/>
                <w:szCs w:val="24"/>
                <w:lang w:eastAsia="lv-LV"/>
              </w:rPr>
              <w:t>236</w:t>
            </w:r>
            <w:r>
              <w:rPr>
                <w:rFonts w:eastAsia="Times New Roman" w:cs="Times New Roman"/>
                <w:szCs w:val="24"/>
                <w:lang w:eastAsia="lv-LV"/>
              </w:rPr>
              <w:t xml:space="preserve">  </w:t>
            </w:r>
            <w:r w:rsidRPr="00B12B88">
              <w:rPr>
                <w:rFonts w:eastAsia="Times New Roman" w:cs="Times New Roman"/>
                <w:szCs w:val="24"/>
                <w:lang w:eastAsia="lv-LV"/>
              </w:rPr>
              <w:t>6.2.</w:t>
            </w:r>
            <w:r>
              <w:rPr>
                <w:rFonts w:eastAsia="Times New Roman" w:cs="Times New Roman"/>
                <w:szCs w:val="24"/>
                <w:lang w:eastAsia="lv-LV"/>
              </w:rPr>
              <w:t> </w:t>
            </w:r>
            <w:r w:rsidRPr="00B12B88">
              <w:rPr>
                <w:rFonts w:eastAsia="Times New Roman" w:cs="Times New Roman"/>
                <w:szCs w:val="24"/>
                <w:lang w:eastAsia="lv-LV"/>
              </w:rPr>
              <w:t>punktu</w:t>
            </w:r>
          </w:p>
        </w:tc>
        <w:tc>
          <w:tcPr>
            <w:tcW w:w="1701" w:type="dxa"/>
            <w:shd w:val="clear" w:color="auto" w:fill="auto"/>
          </w:tcPr>
          <w:p w14:paraId="4A27EB42" w14:textId="77777777" w:rsidR="006B1A68" w:rsidRPr="00B12B88" w:rsidRDefault="006B1A68" w:rsidP="006B1A68">
            <w:pPr>
              <w:spacing w:after="0" w:line="240" w:lineRule="auto"/>
              <w:jc w:val="right"/>
              <w:rPr>
                <w:rFonts w:eastAsia="Times New Roman" w:cs="Times New Roman"/>
                <w:szCs w:val="24"/>
              </w:rPr>
            </w:pPr>
          </w:p>
          <w:p w14:paraId="78790CA1" w14:textId="77777777" w:rsidR="006B1A68" w:rsidRPr="00B12B88" w:rsidRDefault="006B1A68" w:rsidP="006B1A68">
            <w:pPr>
              <w:spacing w:after="0" w:line="240" w:lineRule="auto"/>
              <w:jc w:val="right"/>
              <w:rPr>
                <w:rFonts w:eastAsia="Times New Roman" w:cs="Times New Roman"/>
                <w:szCs w:val="24"/>
                <w:u w:val="single"/>
              </w:rPr>
            </w:pPr>
            <w:r w:rsidRPr="00B12B88">
              <w:rPr>
                <w:rFonts w:eastAsia="Times New Roman" w:cs="Times New Roman"/>
                <w:szCs w:val="24"/>
              </w:rPr>
              <w:t>29 497</w:t>
            </w:r>
          </w:p>
        </w:tc>
        <w:tc>
          <w:tcPr>
            <w:tcW w:w="1559" w:type="dxa"/>
            <w:shd w:val="clear" w:color="auto" w:fill="auto"/>
          </w:tcPr>
          <w:p w14:paraId="56E66B88" w14:textId="77777777" w:rsidR="006B1A68" w:rsidRPr="00B12B88" w:rsidRDefault="006B1A68" w:rsidP="006B1A68">
            <w:pPr>
              <w:spacing w:after="0" w:line="240" w:lineRule="auto"/>
              <w:jc w:val="center"/>
              <w:rPr>
                <w:rFonts w:eastAsia="Times New Roman" w:cs="Times New Roman"/>
                <w:szCs w:val="24"/>
              </w:rPr>
            </w:pPr>
          </w:p>
          <w:p w14:paraId="60B821BD" w14:textId="77777777" w:rsidR="006B1A68" w:rsidRPr="00B12B88" w:rsidRDefault="006B1A68" w:rsidP="006B1A68">
            <w:pPr>
              <w:spacing w:after="0" w:line="240" w:lineRule="auto"/>
              <w:jc w:val="center"/>
              <w:rPr>
                <w:rFonts w:eastAsia="Times New Roman" w:cs="Times New Roman"/>
                <w:szCs w:val="24"/>
                <w:u w:val="single"/>
              </w:rPr>
            </w:pPr>
            <w:r w:rsidRPr="00B12B88">
              <w:rPr>
                <w:rFonts w:eastAsia="Times New Roman" w:cs="Times New Roman"/>
                <w:szCs w:val="24"/>
              </w:rPr>
              <w:t>-</w:t>
            </w:r>
          </w:p>
        </w:tc>
        <w:tc>
          <w:tcPr>
            <w:tcW w:w="1276" w:type="dxa"/>
            <w:shd w:val="clear" w:color="auto" w:fill="auto"/>
          </w:tcPr>
          <w:p w14:paraId="12F327A1" w14:textId="77777777" w:rsidR="006B1A68" w:rsidRPr="00B12B88" w:rsidRDefault="006B1A68" w:rsidP="006B1A68">
            <w:pPr>
              <w:spacing w:after="0" w:line="240" w:lineRule="auto"/>
              <w:jc w:val="right"/>
              <w:rPr>
                <w:rFonts w:eastAsia="Times New Roman" w:cs="Times New Roman"/>
                <w:szCs w:val="24"/>
              </w:rPr>
            </w:pPr>
          </w:p>
          <w:p w14:paraId="15440868" w14:textId="77777777" w:rsidR="006B1A68" w:rsidRPr="00B12B88" w:rsidRDefault="006B1A68" w:rsidP="006B1A68">
            <w:pPr>
              <w:spacing w:after="0" w:line="240" w:lineRule="auto"/>
              <w:jc w:val="right"/>
              <w:rPr>
                <w:rFonts w:eastAsia="Times New Roman" w:cs="Times New Roman"/>
                <w:szCs w:val="24"/>
                <w:u w:val="single"/>
              </w:rPr>
            </w:pPr>
            <w:r w:rsidRPr="00B12B88">
              <w:rPr>
                <w:rFonts w:eastAsia="Times New Roman" w:cs="Times New Roman"/>
                <w:szCs w:val="24"/>
              </w:rPr>
              <w:t>-29 497</w:t>
            </w:r>
          </w:p>
        </w:tc>
      </w:tr>
      <w:tr w:rsidR="006B1A68" w:rsidRPr="00B12B88" w14:paraId="3DD4DF57" w14:textId="77777777" w:rsidTr="006B1A68">
        <w:trPr>
          <w:trHeight w:val="142"/>
          <w:jc w:val="center"/>
        </w:trPr>
        <w:tc>
          <w:tcPr>
            <w:tcW w:w="4390" w:type="dxa"/>
            <w:shd w:val="clear" w:color="auto" w:fill="auto"/>
          </w:tcPr>
          <w:p w14:paraId="0F653609" w14:textId="77777777" w:rsidR="006B1A68" w:rsidRPr="00B12B88" w:rsidRDefault="006B1A68" w:rsidP="006B1A68">
            <w:pPr>
              <w:spacing w:after="0" w:line="240" w:lineRule="auto"/>
              <w:rPr>
                <w:rFonts w:eastAsia="Times New Roman" w:cs="Times New Roman"/>
                <w:szCs w:val="24"/>
                <w:u w:val="single"/>
                <w:lang w:eastAsia="lv-LV"/>
              </w:rPr>
            </w:pPr>
            <w:r w:rsidRPr="00B12B88">
              <w:rPr>
                <w:rFonts w:eastAsia="Times New Roman" w:cs="Times New Roman"/>
                <w:szCs w:val="24"/>
                <w:lang w:eastAsia="lv-LV"/>
              </w:rPr>
              <w:t>Samazināti izdevumi pārcelšanās uz ēkas Kalnciema ielā</w:t>
            </w:r>
            <w:r>
              <w:rPr>
                <w:rFonts w:eastAsia="Times New Roman" w:cs="Times New Roman"/>
                <w:szCs w:val="24"/>
                <w:lang w:eastAsia="lv-LV"/>
              </w:rPr>
              <w:t> </w:t>
            </w:r>
            <w:r w:rsidRPr="00B12B88">
              <w:rPr>
                <w:rFonts w:eastAsia="Times New Roman" w:cs="Times New Roman"/>
                <w:szCs w:val="24"/>
                <w:lang w:eastAsia="lv-LV"/>
              </w:rPr>
              <w:t>14, Rīgā, telpām izdevumu segšanai</w:t>
            </w:r>
            <w:r>
              <w:rPr>
                <w:rFonts w:eastAsia="Times New Roman" w:cs="Times New Roman"/>
                <w:szCs w:val="24"/>
                <w:lang w:eastAsia="lv-LV"/>
              </w:rPr>
              <w:t xml:space="preserve"> </w:t>
            </w:r>
            <w:r w:rsidRPr="00B12B88">
              <w:rPr>
                <w:rFonts w:eastAsia="Times New Roman" w:cs="Times New Roman"/>
                <w:szCs w:val="24"/>
                <w:lang w:eastAsia="lv-LV"/>
              </w:rPr>
              <w:t xml:space="preserve"> saskaņā ar Ministru kabineta 2017.</w:t>
            </w:r>
            <w:r>
              <w:rPr>
                <w:rFonts w:eastAsia="Times New Roman" w:cs="Times New Roman"/>
                <w:szCs w:val="24"/>
                <w:lang w:eastAsia="lv-LV"/>
              </w:rPr>
              <w:t> </w:t>
            </w:r>
            <w:r w:rsidRPr="00B12B88">
              <w:rPr>
                <w:rFonts w:eastAsia="Times New Roman" w:cs="Times New Roman"/>
                <w:szCs w:val="24"/>
                <w:lang w:eastAsia="lv-LV"/>
              </w:rPr>
              <w:t>gada 21.</w:t>
            </w:r>
            <w:r>
              <w:rPr>
                <w:rFonts w:eastAsia="Times New Roman" w:cs="Times New Roman"/>
                <w:szCs w:val="24"/>
                <w:lang w:eastAsia="lv-LV"/>
              </w:rPr>
              <w:t> </w:t>
            </w:r>
            <w:r w:rsidRPr="00B12B88">
              <w:rPr>
                <w:rFonts w:eastAsia="Times New Roman" w:cs="Times New Roman"/>
                <w:szCs w:val="24"/>
                <w:lang w:eastAsia="lv-LV"/>
              </w:rPr>
              <w:t>septembra rīkojumu Nr.</w:t>
            </w:r>
            <w:r>
              <w:rPr>
                <w:rFonts w:eastAsia="Times New Roman" w:cs="Times New Roman"/>
                <w:szCs w:val="24"/>
                <w:lang w:eastAsia="lv-LV"/>
              </w:rPr>
              <w:t> </w:t>
            </w:r>
            <w:r w:rsidRPr="00B12B88">
              <w:rPr>
                <w:rFonts w:eastAsia="Times New Roman" w:cs="Times New Roman"/>
                <w:szCs w:val="24"/>
                <w:lang w:eastAsia="lv-LV"/>
              </w:rPr>
              <w:t>524</w:t>
            </w:r>
          </w:p>
        </w:tc>
        <w:tc>
          <w:tcPr>
            <w:tcW w:w="1701" w:type="dxa"/>
            <w:shd w:val="clear" w:color="auto" w:fill="auto"/>
          </w:tcPr>
          <w:p w14:paraId="38D6A80C" w14:textId="77777777" w:rsidR="006B1A68" w:rsidRPr="00B12B88" w:rsidRDefault="006B1A68" w:rsidP="006B1A68">
            <w:pPr>
              <w:spacing w:after="0" w:line="240" w:lineRule="auto"/>
              <w:jc w:val="right"/>
              <w:rPr>
                <w:rFonts w:eastAsia="Times New Roman" w:cs="Times New Roman"/>
                <w:szCs w:val="24"/>
              </w:rPr>
            </w:pPr>
          </w:p>
          <w:p w14:paraId="1DF9B7B7" w14:textId="77777777" w:rsidR="006B1A68" w:rsidRPr="00B12B88" w:rsidRDefault="006B1A68" w:rsidP="006B1A68">
            <w:pPr>
              <w:spacing w:after="0" w:line="240" w:lineRule="auto"/>
              <w:jc w:val="right"/>
              <w:rPr>
                <w:rFonts w:eastAsia="Times New Roman" w:cs="Times New Roman"/>
                <w:szCs w:val="24"/>
                <w:u w:val="single"/>
              </w:rPr>
            </w:pPr>
            <w:r w:rsidRPr="00B12B88">
              <w:rPr>
                <w:rFonts w:eastAsia="Times New Roman" w:cs="Times New Roman"/>
                <w:szCs w:val="24"/>
              </w:rPr>
              <w:t>3 594</w:t>
            </w:r>
          </w:p>
        </w:tc>
        <w:tc>
          <w:tcPr>
            <w:tcW w:w="1559" w:type="dxa"/>
            <w:shd w:val="clear" w:color="auto" w:fill="auto"/>
          </w:tcPr>
          <w:p w14:paraId="1009BBC7" w14:textId="77777777" w:rsidR="006B1A68" w:rsidRPr="00B12B88" w:rsidRDefault="006B1A68" w:rsidP="006B1A68">
            <w:pPr>
              <w:spacing w:after="0" w:line="240" w:lineRule="auto"/>
              <w:jc w:val="center"/>
              <w:rPr>
                <w:rFonts w:eastAsia="Times New Roman" w:cs="Times New Roman"/>
                <w:szCs w:val="24"/>
              </w:rPr>
            </w:pPr>
          </w:p>
          <w:p w14:paraId="60758208" w14:textId="77777777" w:rsidR="006B1A68" w:rsidRPr="00B12B88" w:rsidRDefault="006B1A68" w:rsidP="006B1A68">
            <w:pPr>
              <w:spacing w:after="0" w:line="240" w:lineRule="auto"/>
              <w:jc w:val="center"/>
              <w:rPr>
                <w:rFonts w:eastAsia="Times New Roman" w:cs="Times New Roman"/>
                <w:szCs w:val="24"/>
                <w:u w:val="single"/>
              </w:rPr>
            </w:pPr>
            <w:r w:rsidRPr="00B12B88">
              <w:rPr>
                <w:rFonts w:eastAsia="Times New Roman" w:cs="Times New Roman"/>
                <w:szCs w:val="24"/>
              </w:rPr>
              <w:t>-</w:t>
            </w:r>
          </w:p>
        </w:tc>
        <w:tc>
          <w:tcPr>
            <w:tcW w:w="1276" w:type="dxa"/>
            <w:shd w:val="clear" w:color="auto" w:fill="auto"/>
          </w:tcPr>
          <w:p w14:paraId="170A445A" w14:textId="77777777" w:rsidR="006B1A68" w:rsidRPr="00B12B88" w:rsidRDefault="006B1A68" w:rsidP="006B1A68">
            <w:pPr>
              <w:spacing w:after="0" w:line="240" w:lineRule="auto"/>
              <w:jc w:val="right"/>
              <w:rPr>
                <w:rFonts w:eastAsia="Times New Roman" w:cs="Times New Roman"/>
                <w:szCs w:val="24"/>
              </w:rPr>
            </w:pPr>
          </w:p>
          <w:p w14:paraId="7FECE332" w14:textId="77777777" w:rsidR="006B1A68" w:rsidRPr="00B12B88" w:rsidRDefault="006B1A68" w:rsidP="006B1A68">
            <w:pPr>
              <w:spacing w:after="0" w:line="240" w:lineRule="auto"/>
              <w:jc w:val="right"/>
              <w:rPr>
                <w:rFonts w:eastAsia="Times New Roman" w:cs="Times New Roman"/>
                <w:szCs w:val="24"/>
                <w:u w:val="single"/>
              </w:rPr>
            </w:pPr>
            <w:r w:rsidRPr="00B12B88">
              <w:rPr>
                <w:rFonts w:eastAsia="Times New Roman" w:cs="Times New Roman"/>
                <w:szCs w:val="24"/>
              </w:rPr>
              <w:t>-3 594</w:t>
            </w:r>
          </w:p>
        </w:tc>
      </w:tr>
      <w:tr w:rsidR="006B1A68" w:rsidRPr="00B12B88" w14:paraId="000E28E8" w14:textId="77777777" w:rsidTr="006B1A68">
        <w:trPr>
          <w:trHeight w:val="142"/>
          <w:jc w:val="center"/>
        </w:trPr>
        <w:tc>
          <w:tcPr>
            <w:tcW w:w="4390" w:type="dxa"/>
            <w:shd w:val="clear" w:color="auto" w:fill="auto"/>
          </w:tcPr>
          <w:p w14:paraId="2A88CEEB"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t>Palielināti izdevumi aprīkojuma iegādei sakarā ar pārcelšanos uz nekustamo īpašumu Aspazijas bulvārī</w:t>
            </w:r>
            <w:r>
              <w:rPr>
                <w:rFonts w:eastAsia="Times New Roman" w:cs="Times New Roman"/>
                <w:szCs w:val="24"/>
                <w:lang w:eastAsia="lv-LV"/>
              </w:rPr>
              <w:t> </w:t>
            </w:r>
            <w:r w:rsidRPr="00B12B88">
              <w:rPr>
                <w:rFonts w:eastAsia="Times New Roman" w:cs="Times New Roman"/>
                <w:szCs w:val="24"/>
                <w:lang w:eastAsia="lv-LV"/>
              </w:rPr>
              <w:t>7, Rīgā, saskaņā ar Ministru kabineta 2017.</w:t>
            </w:r>
            <w:r>
              <w:rPr>
                <w:rFonts w:eastAsia="Times New Roman" w:cs="Times New Roman"/>
                <w:szCs w:val="24"/>
                <w:lang w:eastAsia="lv-LV"/>
              </w:rPr>
              <w:t> </w:t>
            </w:r>
            <w:r w:rsidRPr="00B12B88">
              <w:rPr>
                <w:rFonts w:eastAsia="Times New Roman" w:cs="Times New Roman"/>
                <w:szCs w:val="24"/>
                <w:lang w:eastAsia="lv-LV"/>
              </w:rPr>
              <w:t>gada 21.</w:t>
            </w:r>
            <w:r>
              <w:rPr>
                <w:rFonts w:eastAsia="Times New Roman" w:cs="Times New Roman"/>
                <w:szCs w:val="24"/>
                <w:lang w:eastAsia="lv-LV"/>
              </w:rPr>
              <w:t> </w:t>
            </w:r>
            <w:r w:rsidRPr="00B12B88">
              <w:rPr>
                <w:rFonts w:eastAsia="Times New Roman" w:cs="Times New Roman"/>
                <w:szCs w:val="24"/>
                <w:lang w:eastAsia="lv-LV"/>
              </w:rPr>
              <w:t>septembra rīkojumu Nr.</w:t>
            </w:r>
            <w:r>
              <w:rPr>
                <w:rFonts w:eastAsia="Times New Roman" w:cs="Times New Roman"/>
                <w:szCs w:val="24"/>
                <w:lang w:eastAsia="lv-LV"/>
              </w:rPr>
              <w:t> </w:t>
            </w:r>
            <w:r w:rsidRPr="00B12B88">
              <w:rPr>
                <w:rFonts w:eastAsia="Times New Roman" w:cs="Times New Roman"/>
                <w:szCs w:val="24"/>
                <w:lang w:eastAsia="lv-LV"/>
              </w:rPr>
              <w:t>525</w:t>
            </w:r>
          </w:p>
        </w:tc>
        <w:tc>
          <w:tcPr>
            <w:tcW w:w="1701" w:type="dxa"/>
            <w:shd w:val="clear" w:color="auto" w:fill="auto"/>
          </w:tcPr>
          <w:p w14:paraId="5D76DDB1" w14:textId="77777777" w:rsidR="006B1A68" w:rsidRPr="00B12B88" w:rsidRDefault="006B1A68" w:rsidP="006B1A68">
            <w:pPr>
              <w:spacing w:after="0" w:line="240" w:lineRule="auto"/>
              <w:jc w:val="right"/>
              <w:rPr>
                <w:rFonts w:eastAsia="Times New Roman" w:cs="Times New Roman"/>
                <w:szCs w:val="24"/>
                <w:u w:val="single"/>
              </w:rPr>
            </w:pPr>
          </w:p>
          <w:p w14:paraId="3423C4B7" w14:textId="77777777" w:rsidR="006B1A68" w:rsidRPr="00B12B88" w:rsidRDefault="006B1A68" w:rsidP="006B1A68">
            <w:pPr>
              <w:spacing w:after="0" w:line="240" w:lineRule="auto"/>
              <w:jc w:val="center"/>
              <w:rPr>
                <w:rFonts w:eastAsia="Times New Roman" w:cs="Times New Roman"/>
                <w:szCs w:val="24"/>
                <w:u w:val="single"/>
              </w:rPr>
            </w:pPr>
            <w:r w:rsidRPr="00B12B88">
              <w:rPr>
                <w:rFonts w:eastAsia="Times New Roman" w:cs="Times New Roman"/>
                <w:szCs w:val="24"/>
              </w:rPr>
              <w:t>-</w:t>
            </w:r>
          </w:p>
        </w:tc>
        <w:tc>
          <w:tcPr>
            <w:tcW w:w="1559" w:type="dxa"/>
            <w:shd w:val="clear" w:color="auto" w:fill="auto"/>
          </w:tcPr>
          <w:p w14:paraId="5B3E6C28" w14:textId="77777777" w:rsidR="006B1A68" w:rsidRPr="00B12B88" w:rsidRDefault="006B1A68" w:rsidP="006B1A68">
            <w:pPr>
              <w:spacing w:after="0" w:line="240" w:lineRule="auto"/>
              <w:jc w:val="right"/>
              <w:rPr>
                <w:rFonts w:eastAsia="Times New Roman" w:cs="Times New Roman"/>
                <w:szCs w:val="24"/>
              </w:rPr>
            </w:pPr>
          </w:p>
          <w:p w14:paraId="04C825E8"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1 343 732</w:t>
            </w:r>
          </w:p>
        </w:tc>
        <w:tc>
          <w:tcPr>
            <w:tcW w:w="1276" w:type="dxa"/>
            <w:shd w:val="clear" w:color="auto" w:fill="auto"/>
          </w:tcPr>
          <w:p w14:paraId="0D62F3ED" w14:textId="77777777" w:rsidR="006B1A68" w:rsidRPr="00B12B88" w:rsidRDefault="006B1A68" w:rsidP="006B1A68">
            <w:pPr>
              <w:spacing w:after="0" w:line="240" w:lineRule="auto"/>
              <w:jc w:val="right"/>
              <w:rPr>
                <w:rFonts w:eastAsia="Times New Roman" w:cs="Times New Roman"/>
                <w:szCs w:val="24"/>
              </w:rPr>
            </w:pPr>
          </w:p>
          <w:p w14:paraId="283478E1"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1 343 732</w:t>
            </w:r>
          </w:p>
        </w:tc>
      </w:tr>
      <w:tr w:rsidR="006B1A68" w:rsidRPr="00B12B88" w14:paraId="021010F8" w14:textId="77777777" w:rsidTr="006B1A68">
        <w:trPr>
          <w:trHeight w:val="142"/>
          <w:jc w:val="center"/>
        </w:trPr>
        <w:tc>
          <w:tcPr>
            <w:tcW w:w="4390" w:type="dxa"/>
            <w:shd w:val="clear" w:color="auto" w:fill="F2F2F2"/>
          </w:tcPr>
          <w:p w14:paraId="3A44059A" w14:textId="77777777" w:rsidR="006B1A68" w:rsidRPr="00B12B88" w:rsidRDefault="006B1A68" w:rsidP="006B1A68">
            <w:pPr>
              <w:spacing w:after="0" w:line="240" w:lineRule="auto"/>
              <w:rPr>
                <w:rFonts w:eastAsia="Times New Roman" w:cs="Times New Roman"/>
                <w:b/>
                <w:bCs/>
                <w:szCs w:val="24"/>
                <w:u w:val="single"/>
                <w:lang w:eastAsia="lv-LV"/>
              </w:rPr>
            </w:pPr>
            <w:r w:rsidRPr="00B12B88">
              <w:rPr>
                <w:rFonts w:eastAsia="Times New Roman" w:cs="Times New Roman"/>
                <w:b/>
                <w:bCs/>
                <w:szCs w:val="24"/>
                <w:u w:val="single"/>
                <w:lang w:eastAsia="lv-LV"/>
              </w:rPr>
              <w:t>Ilgtermiņa saistības</w:t>
            </w:r>
          </w:p>
        </w:tc>
        <w:tc>
          <w:tcPr>
            <w:tcW w:w="1701" w:type="dxa"/>
            <w:shd w:val="clear" w:color="auto" w:fill="F2F2F2"/>
          </w:tcPr>
          <w:p w14:paraId="5E97BD10"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b/>
                <w:szCs w:val="24"/>
              </w:rPr>
              <w:t>192 458</w:t>
            </w:r>
          </w:p>
        </w:tc>
        <w:tc>
          <w:tcPr>
            <w:tcW w:w="1559" w:type="dxa"/>
            <w:shd w:val="clear" w:color="auto" w:fill="F2F2F2"/>
          </w:tcPr>
          <w:p w14:paraId="7E3CE74D"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b/>
                <w:szCs w:val="24"/>
              </w:rPr>
              <w:t>192 458</w:t>
            </w:r>
          </w:p>
        </w:tc>
        <w:tc>
          <w:tcPr>
            <w:tcW w:w="1276" w:type="dxa"/>
            <w:shd w:val="clear" w:color="auto" w:fill="F2F2F2"/>
          </w:tcPr>
          <w:p w14:paraId="018262AC"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0</w:t>
            </w:r>
          </w:p>
        </w:tc>
      </w:tr>
      <w:tr w:rsidR="006B1A68" w:rsidRPr="00B12B88" w14:paraId="5588D6D9" w14:textId="77777777" w:rsidTr="006B1A68">
        <w:trPr>
          <w:trHeight w:val="289"/>
          <w:jc w:val="center"/>
        </w:trPr>
        <w:tc>
          <w:tcPr>
            <w:tcW w:w="4390" w:type="dxa"/>
            <w:shd w:val="clear" w:color="auto" w:fill="auto"/>
            <w:vAlign w:val="center"/>
          </w:tcPr>
          <w:p w14:paraId="3D679B37"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rPr>
              <w:t>Ēkas Kalnciema ielā</w:t>
            </w:r>
            <w:r>
              <w:rPr>
                <w:rFonts w:eastAsia="Times New Roman" w:cs="Times New Roman"/>
                <w:szCs w:val="24"/>
              </w:rPr>
              <w:t> </w:t>
            </w:r>
            <w:r w:rsidRPr="00B12B88">
              <w:rPr>
                <w:rFonts w:eastAsia="Times New Roman" w:cs="Times New Roman"/>
                <w:szCs w:val="24"/>
              </w:rPr>
              <w:t>14,</w:t>
            </w:r>
            <w:r>
              <w:rPr>
                <w:rFonts w:eastAsia="Times New Roman" w:cs="Times New Roman"/>
                <w:szCs w:val="24"/>
              </w:rPr>
              <w:t xml:space="preserve"> Rīgā, t</w:t>
            </w:r>
            <w:r w:rsidRPr="00B12B88">
              <w:rPr>
                <w:rFonts w:eastAsia="Times New Roman" w:cs="Times New Roman"/>
                <w:szCs w:val="24"/>
              </w:rPr>
              <w:t>elpu nomas maksa</w:t>
            </w:r>
          </w:p>
        </w:tc>
        <w:tc>
          <w:tcPr>
            <w:tcW w:w="1701" w:type="dxa"/>
            <w:shd w:val="clear" w:color="auto" w:fill="auto"/>
          </w:tcPr>
          <w:p w14:paraId="4ABA56E5" w14:textId="77777777" w:rsidR="006B1A68" w:rsidRPr="00B12B88" w:rsidRDefault="006B1A68" w:rsidP="006B1A68">
            <w:pPr>
              <w:spacing w:after="0" w:line="240" w:lineRule="auto"/>
              <w:jc w:val="right"/>
              <w:rPr>
                <w:rFonts w:eastAsia="Times New Roman" w:cs="Times New Roman"/>
                <w:szCs w:val="24"/>
              </w:rPr>
            </w:pPr>
          </w:p>
          <w:p w14:paraId="69A46C7A"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192 458</w:t>
            </w:r>
          </w:p>
        </w:tc>
        <w:tc>
          <w:tcPr>
            <w:tcW w:w="1559" w:type="dxa"/>
            <w:shd w:val="clear" w:color="auto" w:fill="auto"/>
          </w:tcPr>
          <w:p w14:paraId="63E263A1" w14:textId="77777777" w:rsidR="006B1A68" w:rsidRPr="00B12B88" w:rsidRDefault="006B1A68" w:rsidP="006B1A68">
            <w:pPr>
              <w:spacing w:after="0" w:line="240" w:lineRule="auto"/>
              <w:jc w:val="right"/>
              <w:rPr>
                <w:rFonts w:eastAsia="Times New Roman" w:cs="Times New Roman"/>
                <w:szCs w:val="24"/>
              </w:rPr>
            </w:pPr>
          </w:p>
          <w:p w14:paraId="7F14F31F"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192 458</w:t>
            </w:r>
          </w:p>
        </w:tc>
        <w:tc>
          <w:tcPr>
            <w:tcW w:w="1276" w:type="dxa"/>
            <w:shd w:val="clear" w:color="auto" w:fill="auto"/>
          </w:tcPr>
          <w:p w14:paraId="61BFF215" w14:textId="77777777" w:rsidR="006B1A68" w:rsidRPr="00B12B88" w:rsidRDefault="006B1A68" w:rsidP="006B1A68">
            <w:pPr>
              <w:spacing w:after="0" w:line="240" w:lineRule="auto"/>
              <w:jc w:val="right"/>
              <w:rPr>
                <w:rFonts w:eastAsia="Times New Roman" w:cs="Times New Roman"/>
                <w:szCs w:val="24"/>
              </w:rPr>
            </w:pPr>
          </w:p>
          <w:p w14:paraId="1BB6F95B"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0</w:t>
            </w:r>
          </w:p>
        </w:tc>
      </w:tr>
      <w:tr w:rsidR="006B1A68" w:rsidRPr="00B12B88" w14:paraId="56E875B6" w14:textId="77777777" w:rsidTr="006B1A68">
        <w:trPr>
          <w:trHeight w:val="142"/>
          <w:jc w:val="center"/>
        </w:trPr>
        <w:tc>
          <w:tcPr>
            <w:tcW w:w="4390" w:type="dxa"/>
            <w:shd w:val="clear" w:color="auto" w:fill="F2F2F2"/>
            <w:vAlign w:val="center"/>
          </w:tcPr>
          <w:p w14:paraId="7DA724E9" w14:textId="77777777" w:rsidR="006B1A68" w:rsidRPr="00B12B88" w:rsidRDefault="006B1A68" w:rsidP="006B1A68">
            <w:pPr>
              <w:spacing w:after="0" w:line="240" w:lineRule="auto"/>
              <w:rPr>
                <w:rFonts w:eastAsia="Times New Roman" w:cs="Times New Roman"/>
                <w:b/>
                <w:bCs/>
                <w:szCs w:val="24"/>
                <w:lang w:eastAsia="lv-LV"/>
              </w:rPr>
            </w:pPr>
            <w:r w:rsidRPr="00B12B88">
              <w:rPr>
                <w:rFonts w:eastAsia="Times New Roman" w:cs="Times New Roman"/>
                <w:b/>
                <w:bCs/>
                <w:szCs w:val="24"/>
                <w:u w:val="single"/>
                <w:lang w:eastAsia="lv-LV"/>
              </w:rPr>
              <w:t>Citas izmaiņas</w:t>
            </w:r>
          </w:p>
        </w:tc>
        <w:tc>
          <w:tcPr>
            <w:tcW w:w="1701" w:type="dxa"/>
            <w:shd w:val="clear" w:color="auto" w:fill="F2F2F2"/>
          </w:tcPr>
          <w:p w14:paraId="103FF5EF"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 xml:space="preserve">1 671 163 </w:t>
            </w:r>
          </w:p>
        </w:tc>
        <w:tc>
          <w:tcPr>
            <w:tcW w:w="1559" w:type="dxa"/>
            <w:shd w:val="clear" w:color="auto" w:fill="F2F2F2"/>
          </w:tcPr>
          <w:p w14:paraId="00CA8BE6"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3 347 665</w:t>
            </w:r>
          </w:p>
        </w:tc>
        <w:tc>
          <w:tcPr>
            <w:tcW w:w="1276" w:type="dxa"/>
            <w:shd w:val="clear" w:color="auto" w:fill="F2F2F2"/>
          </w:tcPr>
          <w:p w14:paraId="7565A143" w14:textId="77777777" w:rsidR="006B1A68" w:rsidRPr="00B12B88" w:rsidRDefault="006B1A68" w:rsidP="006B1A68">
            <w:pPr>
              <w:spacing w:after="0" w:line="240" w:lineRule="auto"/>
              <w:jc w:val="right"/>
              <w:rPr>
                <w:rFonts w:eastAsia="Times New Roman" w:cs="Times New Roman"/>
                <w:b/>
                <w:szCs w:val="24"/>
              </w:rPr>
            </w:pPr>
            <w:r w:rsidRPr="00B12B88">
              <w:rPr>
                <w:rFonts w:eastAsia="Times New Roman" w:cs="Times New Roman"/>
                <w:b/>
                <w:szCs w:val="24"/>
              </w:rPr>
              <w:t>1 676 502</w:t>
            </w:r>
          </w:p>
        </w:tc>
      </w:tr>
      <w:tr w:rsidR="006B1A68" w:rsidRPr="00B12B88" w14:paraId="52DEF232" w14:textId="77777777" w:rsidTr="006B1A68">
        <w:trPr>
          <w:trHeight w:val="142"/>
          <w:jc w:val="center"/>
        </w:trPr>
        <w:tc>
          <w:tcPr>
            <w:tcW w:w="4390" w:type="dxa"/>
          </w:tcPr>
          <w:p w14:paraId="2EF89B90"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t>Samazināti izdevumi 2018.</w:t>
            </w:r>
            <w:r>
              <w:rPr>
                <w:rFonts w:eastAsia="Times New Roman" w:cs="Times New Roman"/>
                <w:szCs w:val="24"/>
                <w:lang w:eastAsia="lv-LV"/>
              </w:rPr>
              <w:t> </w:t>
            </w:r>
            <w:r w:rsidRPr="00B12B88">
              <w:rPr>
                <w:rFonts w:eastAsia="Times New Roman" w:cs="Times New Roman"/>
                <w:szCs w:val="24"/>
                <w:lang w:eastAsia="lv-LV"/>
              </w:rPr>
              <w:t>gada prioritārajam pasākumam "Prokuratūras Administratīvā direktora dienesta darbinieku atalgojuma palielināšana saistībā ar Kontroles dienesta kapacitātes stiprināšanu" saskaņā ar Ministru kabineta 2019.</w:t>
            </w:r>
            <w:r>
              <w:rPr>
                <w:rFonts w:eastAsia="Times New Roman" w:cs="Times New Roman"/>
                <w:szCs w:val="24"/>
                <w:lang w:eastAsia="lv-LV"/>
              </w:rPr>
              <w:t> </w:t>
            </w:r>
            <w:r w:rsidRPr="00B12B88">
              <w:rPr>
                <w:rFonts w:eastAsia="Times New Roman" w:cs="Times New Roman"/>
                <w:szCs w:val="24"/>
                <w:lang w:eastAsia="lv-LV"/>
              </w:rPr>
              <w:t>gada 20.</w:t>
            </w:r>
            <w:r>
              <w:rPr>
                <w:rFonts w:eastAsia="Times New Roman" w:cs="Times New Roman"/>
                <w:szCs w:val="24"/>
                <w:lang w:eastAsia="lv-LV"/>
              </w:rPr>
              <w:t> </w:t>
            </w:r>
            <w:r w:rsidRPr="00B12B88">
              <w:rPr>
                <w:rFonts w:eastAsia="Times New Roman" w:cs="Times New Roman"/>
                <w:szCs w:val="24"/>
                <w:lang w:eastAsia="lv-LV"/>
              </w:rPr>
              <w:t>augusta protokola Nr.</w:t>
            </w:r>
            <w:r>
              <w:rPr>
                <w:rFonts w:eastAsia="Times New Roman" w:cs="Times New Roman"/>
                <w:szCs w:val="24"/>
                <w:lang w:eastAsia="lv-LV"/>
              </w:rPr>
              <w:t> </w:t>
            </w:r>
            <w:r w:rsidRPr="00B12B88">
              <w:rPr>
                <w:rFonts w:eastAsia="Times New Roman" w:cs="Times New Roman"/>
                <w:szCs w:val="24"/>
                <w:lang w:eastAsia="lv-LV"/>
              </w:rPr>
              <w:t>35 26.</w:t>
            </w:r>
            <w:r>
              <w:rPr>
                <w:rFonts w:eastAsia="Times New Roman" w:cs="Times New Roman"/>
                <w:szCs w:val="24"/>
                <w:lang w:eastAsia="lv-LV"/>
              </w:rPr>
              <w:t xml:space="preserve"> </w:t>
            </w:r>
            <w:r w:rsidRPr="00B12B88">
              <w:rPr>
                <w:rFonts w:eastAsia="Times New Roman" w:cs="Times New Roman"/>
                <w:szCs w:val="24"/>
                <w:lang w:eastAsia="lv-LV"/>
              </w:rPr>
              <w:t>§ 21.</w:t>
            </w:r>
            <w:r>
              <w:rPr>
                <w:rFonts w:eastAsia="Times New Roman" w:cs="Times New Roman"/>
                <w:szCs w:val="24"/>
                <w:lang w:eastAsia="lv-LV"/>
              </w:rPr>
              <w:t> </w:t>
            </w:r>
            <w:r w:rsidRPr="00B12B88">
              <w:rPr>
                <w:rFonts w:eastAsia="Times New Roman" w:cs="Times New Roman"/>
                <w:szCs w:val="24"/>
                <w:lang w:eastAsia="lv-LV"/>
              </w:rPr>
              <w:t xml:space="preserve">punktu </w:t>
            </w:r>
          </w:p>
        </w:tc>
        <w:tc>
          <w:tcPr>
            <w:tcW w:w="1701" w:type="dxa"/>
          </w:tcPr>
          <w:p w14:paraId="1274B1FE" w14:textId="77777777" w:rsidR="006B1A68" w:rsidRPr="00B12B88" w:rsidRDefault="006B1A68" w:rsidP="006B1A68">
            <w:pPr>
              <w:spacing w:after="0" w:line="240" w:lineRule="auto"/>
              <w:jc w:val="right"/>
              <w:rPr>
                <w:rFonts w:eastAsia="Times New Roman" w:cs="Times New Roman"/>
                <w:szCs w:val="24"/>
              </w:rPr>
            </w:pPr>
          </w:p>
          <w:p w14:paraId="21DD061D" w14:textId="77777777" w:rsidR="006B1A68" w:rsidRPr="00B12B88" w:rsidRDefault="006B1A68" w:rsidP="006B1A68">
            <w:pPr>
              <w:spacing w:after="0" w:line="240" w:lineRule="auto"/>
              <w:jc w:val="right"/>
              <w:rPr>
                <w:rFonts w:eastAsia="Times New Roman" w:cs="Times New Roman"/>
                <w:szCs w:val="24"/>
              </w:rPr>
            </w:pPr>
          </w:p>
          <w:p w14:paraId="374039C9"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39 204</w:t>
            </w:r>
          </w:p>
        </w:tc>
        <w:tc>
          <w:tcPr>
            <w:tcW w:w="1559" w:type="dxa"/>
          </w:tcPr>
          <w:p w14:paraId="35F5B727" w14:textId="77777777" w:rsidR="006B1A68" w:rsidRPr="00B12B88" w:rsidRDefault="006B1A68" w:rsidP="006B1A68">
            <w:pPr>
              <w:spacing w:after="0" w:line="240" w:lineRule="auto"/>
              <w:jc w:val="right"/>
              <w:rPr>
                <w:rFonts w:eastAsia="Times New Roman" w:cs="Times New Roman"/>
                <w:szCs w:val="24"/>
              </w:rPr>
            </w:pPr>
          </w:p>
          <w:p w14:paraId="2E80128F" w14:textId="77777777" w:rsidR="006B1A68" w:rsidRPr="00B12B88" w:rsidRDefault="006B1A68" w:rsidP="006B1A68">
            <w:pPr>
              <w:spacing w:after="0" w:line="240" w:lineRule="auto"/>
              <w:jc w:val="right"/>
              <w:rPr>
                <w:rFonts w:eastAsia="Times New Roman" w:cs="Times New Roman"/>
                <w:szCs w:val="24"/>
              </w:rPr>
            </w:pPr>
          </w:p>
          <w:p w14:paraId="0254C50E"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276" w:type="dxa"/>
          </w:tcPr>
          <w:p w14:paraId="09185A0B" w14:textId="77777777" w:rsidR="006B1A68" w:rsidRPr="00B12B88" w:rsidRDefault="006B1A68" w:rsidP="006B1A68">
            <w:pPr>
              <w:spacing w:after="0" w:line="240" w:lineRule="auto"/>
              <w:jc w:val="right"/>
              <w:rPr>
                <w:rFonts w:eastAsia="Times New Roman" w:cs="Times New Roman"/>
                <w:szCs w:val="24"/>
              </w:rPr>
            </w:pPr>
          </w:p>
          <w:p w14:paraId="06431512" w14:textId="77777777" w:rsidR="006B1A68" w:rsidRPr="00B12B88" w:rsidRDefault="006B1A68" w:rsidP="006B1A68">
            <w:pPr>
              <w:spacing w:after="0" w:line="240" w:lineRule="auto"/>
              <w:jc w:val="right"/>
              <w:rPr>
                <w:rFonts w:eastAsia="Times New Roman" w:cs="Times New Roman"/>
                <w:szCs w:val="24"/>
              </w:rPr>
            </w:pPr>
          </w:p>
          <w:p w14:paraId="568BF911"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-39 204</w:t>
            </w:r>
          </w:p>
        </w:tc>
      </w:tr>
      <w:tr w:rsidR="006B1A68" w:rsidRPr="00B12B88" w14:paraId="00080D43" w14:textId="77777777" w:rsidTr="006B1A68">
        <w:trPr>
          <w:trHeight w:val="142"/>
          <w:jc w:val="center"/>
        </w:trPr>
        <w:tc>
          <w:tcPr>
            <w:tcW w:w="4390" w:type="dxa"/>
          </w:tcPr>
          <w:p w14:paraId="4DFE4620"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t>Palielināti izdevumi Prokuratūras informācijas tehnoloģiju jomas darbinieku kapacitātes stiprināšanai saskaņā ar Ministru kabineta 2019.</w:t>
            </w:r>
            <w:r>
              <w:rPr>
                <w:rFonts w:eastAsia="Times New Roman" w:cs="Times New Roman"/>
                <w:szCs w:val="24"/>
                <w:lang w:eastAsia="lv-LV"/>
              </w:rPr>
              <w:t> </w:t>
            </w:r>
            <w:r w:rsidRPr="00B12B88">
              <w:rPr>
                <w:rFonts w:eastAsia="Times New Roman" w:cs="Times New Roman"/>
                <w:szCs w:val="24"/>
                <w:lang w:eastAsia="lv-LV"/>
              </w:rPr>
              <w:t>gada 20.</w:t>
            </w:r>
            <w:r>
              <w:rPr>
                <w:rFonts w:eastAsia="Times New Roman" w:cs="Times New Roman"/>
                <w:szCs w:val="24"/>
                <w:lang w:eastAsia="lv-LV"/>
              </w:rPr>
              <w:t> </w:t>
            </w:r>
            <w:r w:rsidRPr="00B12B88">
              <w:rPr>
                <w:rFonts w:eastAsia="Times New Roman" w:cs="Times New Roman"/>
                <w:szCs w:val="24"/>
                <w:lang w:eastAsia="lv-LV"/>
              </w:rPr>
              <w:t>augusta protokola Nr.</w:t>
            </w:r>
            <w:r>
              <w:rPr>
                <w:rFonts w:eastAsia="Times New Roman" w:cs="Times New Roman"/>
                <w:szCs w:val="24"/>
                <w:lang w:eastAsia="lv-LV"/>
              </w:rPr>
              <w:t> </w:t>
            </w:r>
            <w:r w:rsidRPr="00B12B88">
              <w:rPr>
                <w:rFonts w:eastAsia="Times New Roman" w:cs="Times New Roman"/>
                <w:szCs w:val="24"/>
                <w:lang w:eastAsia="lv-LV"/>
              </w:rPr>
              <w:t>35 26.</w:t>
            </w:r>
            <w:r>
              <w:rPr>
                <w:rFonts w:eastAsia="Times New Roman" w:cs="Times New Roman"/>
                <w:szCs w:val="24"/>
                <w:lang w:eastAsia="lv-LV"/>
              </w:rPr>
              <w:t> </w:t>
            </w:r>
            <w:r w:rsidRPr="00B12B88">
              <w:rPr>
                <w:rFonts w:eastAsia="Times New Roman" w:cs="Times New Roman"/>
                <w:szCs w:val="24"/>
                <w:lang w:eastAsia="lv-LV"/>
              </w:rPr>
              <w:t>§ 21.</w:t>
            </w:r>
            <w:r>
              <w:rPr>
                <w:rFonts w:eastAsia="Times New Roman" w:cs="Times New Roman"/>
                <w:szCs w:val="24"/>
                <w:lang w:eastAsia="lv-LV"/>
              </w:rPr>
              <w:t> </w:t>
            </w:r>
            <w:r w:rsidRPr="00B12B88">
              <w:rPr>
                <w:rFonts w:eastAsia="Times New Roman" w:cs="Times New Roman"/>
                <w:szCs w:val="24"/>
                <w:lang w:eastAsia="lv-LV"/>
              </w:rPr>
              <w:t xml:space="preserve">punktu </w:t>
            </w:r>
          </w:p>
        </w:tc>
        <w:tc>
          <w:tcPr>
            <w:tcW w:w="1701" w:type="dxa"/>
          </w:tcPr>
          <w:p w14:paraId="2ED50AEC" w14:textId="77777777" w:rsidR="006B1A68" w:rsidRPr="00B12B88" w:rsidRDefault="006B1A68" w:rsidP="006B1A68">
            <w:pPr>
              <w:spacing w:after="0" w:line="240" w:lineRule="auto"/>
              <w:jc w:val="right"/>
              <w:rPr>
                <w:rFonts w:eastAsia="Times New Roman" w:cs="Times New Roman"/>
                <w:szCs w:val="24"/>
              </w:rPr>
            </w:pPr>
          </w:p>
          <w:p w14:paraId="3E10DCA5"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27ED88C6" w14:textId="77777777" w:rsidR="006B1A68" w:rsidRPr="00B12B88" w:rsidRDefault="006B1A68" w:rsidP="006B1A68">
            <w:pPr>
              <w:spacing w:after="0" w:line="240" w:lineRule="auto"/>
              <w:jc w:val="right"/>
              <w:rPr>
                <w:rFonts w:eastAsia="Times New Roman" w:cs="Times New Roman"/>
                <w:szCs w:val="24"/>
              </w:rPr>
            </w:pPr>
          </w:p>
          <w:p w14:paraId="5EA4DDCF"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39 204</w:t>
            </w:r>
          </w:p>
        </w:tc>
        <w:tc>
          <w:tcPr>
            <w:tcW w:w="1276" w:type="dxa"/>
          </w:tcPr>
          <w:p w14:paraId="75DE2BC8" w14:textId="77777777" w:rsidR="006B1A68" w:rsidRPr="00B12B88" w:rsidRDefault="006B1A68" w:rsidP="006B1A68">
            <w:pPr>
              <w:spacing w:after="0" w:line="240" w:lineRule="auto"/>
              <w:jc w:val="right"/>
              <w:rPr>
                <w:rFonts w:eastAsia="Times New Roman" w:cs="Times New Roman"/>
                <w:szCs w:val="24"/>
              </w:rPr>
            </w:pPr>
          </w:p>
          <w:p w14:paraId="674292D6"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39 204</w:t>
            </w:r>
          </w:p>
        </w:tc>
      </w:tr>
      <w:tr w:rsidR="006B1A68" w:rsidRPr="00B12B88" w14:paraId="3A67B10B" w14:textId="77777777" w:rsidTr="006B1A68">
        <w:trPr>
          <w:trHeight w:val="142"/>
          <w:jc w:val="center"/>
        </w:trPr>
        <w:tc>
          <w:tcPr>
            <w:tcW w:w="4390" w:type="dxa"/>
          </w:tcPr>
          <w:p w14:paraId="4FF17DEF"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lastRenderedPageBreak/>
              <w:t>Samazināti izdevumi 2018.</w:t>
            </w:r>
            <w:r>
              <w:rPr>
                <w:rFonts w:eastAsia="Times New Roman" w:cs="Times New Roman"/>
                <w:szCs w:val="24"/>
                <w:lang w:eastAsia="lv-LV"/>
              </w:rPr>
              <w:t> </w:t>
            </w:r>
            <w:r w:rsidRPr="00B12B88">
              <w:rPr>
                <w:rFonts w:eastAsia="Times New Roman" w:cs="Times New Roman"/>
                <w:szCs w:val="24"/>
                <w:lang w:eastAsia="lv-LV"/>
              </w:rPr>
              <w:t>gada prioritārajam pasākumam "Prokuratūras struktūrvienību ēkas Kalpaka bulvārī</w:t>
            </w:r>
            <w:r>
              <w:rPr>
                <w:rFonts w:eastAsia="Times New Roman" w:cs="Times New Roman"/>
                <w:szCs w:val="24"/>
                <w:lang w:eastAsia="lv-LV"/>
              </w:rPr>
              <w:t> </w:t>
            </w:r>
            <w:r w:rsidRPr="00B12B88">
              <w:rPr>
                <w:rFonts w:eastAsia="Times New Roman" w:cs="Times New Roman"/>
                <w:szCs w:val="24"/>
                <w:lang w:eastAsia="lv-LV"/>
              </w:rPr>
              <w:t>6, Rīgā</w:t>
            </w:r>
            <w:r>
              <w:rPr>
                <w:rFonts w:eastAsia="Times New Roman" w:cs="Times New Roman"/>
                <w:szCs w:val="24"/>
                <w:lang w:eastAsia="lv-LV"/>
              </w:rPr>
              <w:t>,</w:t>
            </w:r>
            <w:r w:rsidRPr="00B12B88">
              <w:rPr>
                <w:rFonts w:eastAsia="Times New Roman" w:cs="Times New Roman"/>
                <w:szCs w:val="24"/>
                <w:lang w:eastAsia="lv-LV"/>
              </w:rPr>
              <w:t xml:space="preserve"> remontdarbi", novirzot finansējumu Prokuratūras vienreizējiem pasākumiem 2020.</w:t>
            </w:r>
            <w:r>
              <w:rPr>
                <w:rFonts w:eastAsia="Times New Roman" w:cs="Times New Roman"/>
                <w:szCs w:val="24"/>
                <w:lang w:eastAsia="lv-LV"/>
              </w:rPr>
              <w:t> </w:t>
            </w:r>
            <w:r w:rsidRPr="00B12B88">
              <w:rPr>
                <w:rFonts w:eastAsia="Times New Roman" w:cs="Times New Roman"/>
                <w:szCs w:val="24"/>
                <w:lang w:eastAsia="lv-LV"/>
              </w:rPr>
              <w:t>gadā</w:t>
            </w:r>
            <w:r>
              <w:rPr>
                <w:rFonts w:eastAsia="Times New Roman" w:cs="Times New Roman"/>
                <w:szCs w:val="24"/>
                <w:lang w:eastAsia="lv-LV"/>
              </w:rPr>
              <w:t xml:space="preserve">, </w:t>
            </w:r>
            <w:r w:rsidRPr="00B12B88">
              <w:rPr>
                <w:rFonts w:eastAsia="Times New Roman" w:cs="Times New Roman"/>
                <w:szCs w:val="24"/>
                <w:lang w:eastAsia="lv-LV"/>
              </w:rPr>
              <w:t>saskaņā ar Ministru kabineta 2019.</w:t>
            </w:r>
            <w:r>
              <w:rPr>
                <w:rFonts w:eastAsia="Times New Roman" w:cs="Times New Roman"/>
                <w:szCs w:val="24"/>
                <w:lang w:eastAsia="lv-LV"/>
              </w:rPr>
              <w:t> </w:t>
            </w:r>
            <w:r w:rsidRPr="00B12B88">
              <w:rPr>
                <w:rFonts w:eastAsia="Times New Roman" w:cs="Times New Roman"/>
                <w:szCs w:val="24"/>
                <w:lang w:eastAsia="lv-LV"/>
              </w:rPr>
              <w:t>gada 20.</w:t>
            </w:r>
            <w:r>
              <w:rPr>
                <w:rFonts w:eastAsia="Times New Roman" w:cs="Times New Roman"/>
                <w:szCs w:val="24"/>
                <w:lang w:eastAsia="lv-LV"/>
              </w:rPr>
              <w:t> </w:t>
            </w:r>
            <w:r w:rsidRPr="00B12B88">
              <w:rPr>
                <w:rFonts w:eastAsia="Times New Roman" w:cs="Times New Roman"/>
                <w:szCs w:val="24"/>
                <w:lang w:eastAsia="lv-LV"/>
              </w:rPr>
              <w:t>augusta protokola Nr.</w:t>
            </w:r>
            <w:r>
              <w:rPr>
                <w:rFonts w:eastAsia="Times New Roman" w:cs="Times New Roman"/>
                <w:szCs w:val="24"/>
                <w:lang w:eastAsia="lv-LV"/>
              </w:rPr>
              <w:t> </w:t>
            </w:r>
            <w:r w:rsidRPr="00B12B88">
              <w:rPr>
                <w:rFonts w:eastAsia="Times New Roman" w:cs="Times New Roman"/>
                <w:szCs w:val="24"/>
                <w:lang w:eastAsia="lv-LV"/>
              </w:rPr>
              <w:t>35 26.</w:t>
            </w:r>
            <w:r>
              <w:rPr>
                <w:rFonts w:eastAsia="Times New Roman" w:cs="Times New Roman"/>
                <w:szCs w:val="24"/>
                <w:lang w:eastAsia="lv-LV"/>
              </w:rPr>
              <w:t> </w:t>
            </w:r>
            <w:r w:rsidRPr="00B12B88">
              <w:rPr>
                <w:rFonts w:eastAsia="Times New Roman" w:cs="Times New Roman"/>
                <w:szCs w:val="24"/>
                <w:lang w:eastAsia="lv-LV"/>
              </w:rPr>
              <w:t>§</w:t>
            </w:r>
            <w:r>
              <w:rPr>
                <w:rFonts w:eastAsia="Times New Roman" w:cs="Times New Roman"/>
                <w:szCs w:val="24"/>
                <w:lang w:eastAsia="lv-LV"/>
              </w:rPr>
              <w:t xml:space="preserve"> </w:t>
            </w:r>
            <w:r w:rsidRPr="00B12B88">
              <w:rPr>
                <w:rFonts w:eastAsia="Times New Roman" w:cs="Times New Roman"/>
                <w:szCs w:val="24"/>
                <w:lang w:eastAsia="lv-LV"/>
              </w:rPr>
              <w:t>22.</w:t>
            </w:r>
            <w:r>
              <w:rPr>
                <w:rFonts w:eastAsia="Times New Roman" w:cs="Times New Roman"/>
                <w:szCs w:val="24"/>
                <w:lang w:eastAsia="lv-LV"/>
              </w:rPr>
              <w:t> </w:t>
            </w:r>
            <w:r w:rsidRPr="00B12B88">
              <w:rPr>
                <w:rFonts w:eastAsia="Times New Roman" w:cs="Times New Roman"/>
                <w:szCs w:val="24"/>
                <w:lang w:eastAsia="lv-LV"/>
              </w:rPr>
              <w:t>punktu</w:t>
            </w:r>
          </w:p>
        </w:tc>
        <w:tc>
          <w:tcPr>
            <w:tcW w:w="1701" w:type="dxa"/>
          </w:tcPr>
          <w:p w14:paraId="7E79154F" w14:textId="77777777" w:rsidR="006B1A68" w:rsidRPr="00B12B88" w:rsidRDefault="006B1A68" w:rsidP="006B1A68">
            <w:pPr>
              <w:spacing w:after="0" w:line="240" w:lineRule="auto"/>
              <w:jc w:val="right"/>
              <w:rPr>
                <w:rFonts w:eastAsia="Times New Roman" w:cs="Times New Roman"/>
                <w:szCs w:val="24"/>
              </w:rPr>
            </w:pPr>
          </w:p>
          <w:p w14:paraId="06337D3A" w14:textId="77777777" w:rsidR="006B1A68" w:rsidRPr="00B12B88" w:rsidRDefault="006B1A68" w:rsidP="006B1A68">
            <w:pPr>
              <w:spacing w:after="0" w:line="240" w:lineRule="auto"/>
              <w:jc w:val="right"/>
              <w:rPr>
                <w:rFonts w:eastAsia="Times New Roman" w:cs="Times New Roman"/>
                <w:szCs w:val="24"/>
              </w:rPr>
            </w:pPr>
          </w:p>
          <w:p w14:paraId="0057C190"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79 705</w:t>
            </w:r>
          </w:p>
        </w:tc>
        <w:tc>
          <w:tcPr>
            <w:tcW w:w="1559" w:type="dxa"/>
          </w:tcPr>
          <w:p w14:paraId="41A95A39" w14:textId="77777777" w:rsidR="006B1A68" w:rsidRPr="00B12B88" w:rsidRDefault="006B1A68" w:rsidP="006B1A68">
            <w:pPr>
              <w:spacing w:after="0" w:line="240" w:lineRule="auto"/>
              <w:jc w:val="right"/>
              <w:rPr>
                <w:rFonts w:eastAsia="Times New Roman" w:cs="Times New Roman"/>
                <w:szCs w:val="24"/>
              </w:rPr>
            </w:pPr>
          </w:p>
          <w:p w14:paraId="18F71D4B" w14:textId="77777777" w:rsidR="006B1A68" w:rsidRPr="00B12B88" w:rsidRDefault="006B1A68" w:rsidP="006B1A68">
            <w:pPr>
              <w:spacing w:after="0" w:line="240" w:lineRule="auto"/>
              <w:jc w:val="right"/>
              <w:rPr>
                <w:rFonts w:eastAsia="Times New Roman" w:cs="Times New Roman"/>
                <w:szCs w:val="24"/>
              </w:rPr>
            </w:pPr>
          </w:p>
          <w:p w14:paraId="5B2B8D47"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276" w:type="dxa"/>
          </w:tcPr>
          <w:p w14:paraId="30D7BE20" w14:textId="77777777" w:rsidR="006B1A68" w:rsidRPr="00B12B88" w:rsidRDefault="006B1A68" w:rsidP="006B1A68">
            <w:pPr>
              <w:spacing w:after="0" w:line="240" w:lineRule="auto"/>
              <w:jc w:val="right"/>
              <w:rPr>
                <w:rFonts w:eastAsia="Times New Roman" w:cs="Times New Roman"/>
                <w:szCs w:val="24"/>
              </w:rPr>
            </w:pPr>
          </w:p>
          <w:p w14:paraId="5FA5A997" w14:textId="77777777" w:rsidR="006B1A68" w:rsidRPr="00B12B88" w:rsidRDefault="006B1A68" w:rsidP="006B1A68">
            <w:pPr>
              <w:spacing w:after="0" w:line="240" w:lineRule="auto"/>
              <w:jc w:val="right"/>
              <w:rPr>
                <w:rFonts w:eastAsia="Times New Roman" w:cs="Times New Roman"/>
                <w:szCs w:val="24"/>
              </w:rPr>
            </w:pPr>
          </w:p>
          <w:p w14:paraId="7167E922"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-79 705</w:t>
            </w:r>
          </w:p>
        </w:tc>
      </w:tr>
      <w:tr w:rsidR="006B1A68" w:rsidRPr="00B12B88" w14:paraId="686F5ACA" w14:textId="77777777" w:rsidTr="006B1A68">
        <w:trPr>
          <w:trHeight w:val="142"/>
          <w:jc w:val="center"/>
        </w:trPr>
        <w:tc>
          <w:tcPr>
            <w:tcW w:w="4390" w:type="dxa"/>
          </w:tcPr>
          <w:p w14:paraId="36FFB7DB"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t xml:space="preserve">Palielināti izdevumi Prokuratūras struktūrvienības izvietošanai pagaidu telpās Elizabetes ielā 2, </w:t>
            </w:r>
            <w:r>
              <w:rPr>
                <w:rFonts w:eastAsia="Times New Roman" w:cs="Times New Roman"/>
                <w:szCs w:val="24"/>
                <w:lang w:eastAsia="lv-LV"/>
              </w:rPr>
              <w:t xml:space="preserve">Rīgā, </w:t>
            </w:r>
            <w:r w:rsidRPr="00B12B88">
              <w:rPr>
                <w:rFonts w:eastAsia="Times New Roman" w:cs="Times New Roman"/>
                <w:szCs w:val="24"/>
                <w:lang w:eastAsia="lv-LV"/>
              </w:rPr>
              <w:t>saskaņā ar Ministru kabineta 2019.</w:t>
            </w:r>
            <w:r>
              <w:rPr>
                <w:rFonts w:eastAsia="Times New Roman" w:cs="Times New Roman"/>
                <w:szCs w:val="24"/>
                <w:lang w:eastAsia="lv-LV"/>
              </w:rPr>
              <w:t> </w:t>
            </w:r>
            <w:r w:rsidRPr="00B12B88">
              <w:rPr>
                <w:rFonts w:eastAsia="Times New Roman" w:cs="Times New Roman"/>
                <w:szCs w:val="24"/>
                <w:lang w:eastAsia="lv-LV"/>
              </w:rPr>
              <w:t>gada 20.</w:t>
            </w:r>
            <w:r>
              <w:rPr>
                <w:rFonts w:eastAsia="Times New Roman" w:cs="Times New Roman"/>
                <w:szCs w:val="24"/>
                <w:lang w:eastAsia="lv-LV"/>
              </w:rPr>
              <w:t> </w:t>
            </w:r>
            <w:r w:rsidRPr="00B12B88">
              <w:rPr>
                <w:rFonts w:eastAsia="Times New Roman" w:cs="Times New Roman"/>
                <w:szCs w:val="24"/>
                <w:lang w:eastAsia="lv-LV"/>
              </w:rPr>
              <w:t>augusta protokola Nr.</w:t>
            </w:r>
            <w:r>
              <w:rPr>
                <w:rFonts w:eastAsia="Times New Roman" w:cs="Times New Roman"/>
                <w:szCs w:val="24"/>
                <w:lang w:eastAsia="lv-LV"/>
              </w:rPr>
              <w:t> </w:t>
            </w:r>
            <w:r w:rsidRPr="00B12B88">
              <w:rPr>
                <w:rFonts w:eastAsia="Times New Roman" w:cs="Times New Roman"/>
                <w:szCs w:val="24"/>
                <w:lang w:eastAsia="lv-LV"/>
              </w:rPr>
              <w:t>35 26.</w:t>
            </w:r>
            <w:r>
              <w:rPr>
                <w:rFonts w:eastAsia="Times New Roman" w:cs="Times New Roman"/>
                <w:szCs w:val="24"/>
                <w:lang w:eastAsia="lv-LV"/>
              </w:rPr>
              <w:t> </w:t>
            </w:r>
            <w:r w:rsidRPr="00B12B88">
              <w:rPr>
                <w:rFonts w:eastAsia="Times New Roman" w:cs="Times New Roman"/>
                <w:szCs w:val="24"/>
                <w:lang w:eastAsia="lv-LV"/>
              </w:rPr>
              <w:t>§ 22.</w:t>
            </w:r>
            <w:r>
              <w:rPr>
                <w:rFonts w:eastAsia="Times New Roman" w:cs="Times New Roman"/>
                <w:szCs w:val="24"/>
                <w:lang w:eastAsia="lv-LV"/>
              </w:rPr>
              <w:t> </w:t>
            </w:r>
            <w:r w:rsidRPr="00B12B88">
              <w:rPr>
                <w:rFonts w:eastAsia="Times New Roman" w:cs="Times New Roman"/>
                <w:szCs w:val="24"/>
                <w:lang w:eastAsia="lv-LV"/>
              </w:rPr>
              <w:t>punktu</w:t>
            </w:r>
          </w:p>
        </w:tc>
        <w:tc>
          <w:tcPr>
            <w:tcW w:w="1701" w:type="dxa"/>
          </w:tcPr>
          <w:p w14:paraId="0B3D23A1" w14:textId="77777777" w:rsidR="006B1A68" w:rsidRPr="00B12B88" w:rsidRDefault="006B1A68" w:rsidP="006B1A68">
            <w:pPr>
              <w:spacing w:after="0" w:line="240" w:lineRule="auto"/>
              <w:jc w:val="center"/>
              <w:rPr>
                <w:rFonts w:eastAsia="Times New Roman" w:cs="Times New Roman"/>
                <w:szCs w:val="24"/>
              </w:rPr>
            </w:pPr>
          </w:p>
          <w:p w14:paraId="438C8D83"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021DB302" w14:textId="77777777" w:rsidR="006B1A68" w:rsidRPr="00B12B88" w:rsidRDefault="006B1A68" w:rsidP="006B1A68">
            <w:pPr>
              <w:spacing w:after="0" w:line="240" w:lineRule="auto"/>
              <w:jc w:val="right"/>
              <w:rPr>
                <w:rFonts w:eastAsia="Times New Roman" w:cs="Times New Roman"/>
                <w:szCs w:val="24"/>
              </w:rPr>
            </w:pPr>
          </w:p>
          <w:p w14:paraId="48691417"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47 405</w:t>
            </w:r>
          </w:p>
        </w:tc>
        <w:tc>
          <w:tcPr>
            <w:tcW w:w="1276" w:type="dxa"/>
          </w:tcPr>
          <w:p w14:paraId="02349153" w14:textId="77777777" w:rsidR="006B1A68" w:rsidRPr="00B12B88" w:rsidRDefault="006B1A68" w:rsidP="006B1A68">
            <w:pPr>
              <w:spacing w:after="0" w:line="240" w:lineRule="auto"/>
              <w:jc w:val="right"/>
              <w:rPr>
                <w:rFonts w:eastAsia="Times New Roman" w:cs="Times New Roman"/>
                <w:szCs w:val="24"/>
              </w:rPr>
            </w:pPr>
          </w:p>
          <w:p w14:paraId="35B7D4E6"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47 405</w:t>
            </w:r>
          </w:p>
        </w:tc>
      </w:tr>
      <w:tr w:rsidR="006B1A68" w:rsidRPr="00B12B88" w14:paraId="5526B1C7" w14:textId="77777777" w:rsidTr="006B1A68">
        <w:trPr>
          <w:trHeight w:val="142"/>
          <w:jc w:val="center"/>
        </w:trPr>
        <w:tc>
          <w:tcPr>
            <w:tcW w:w="4390" w:type="dxa"/>
          </w:tcPr>
          <w:p w14:paraId="12FAE30F"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t>Palielināti izdevumi gaisa kondicionieru uzstādīšanai Prokuratūras struktūrvienību telpās piemērotu darba apstākļu nodrošināšanai saskaņā ar Ministru kabineta 2019.</w:t>
            </w:r>
            <w:r>
              <w:rPr>
                <w:rFonts w:eastAsia="Times New Roman" w:cs="Times New Roman"/>
                <w:szCs w:val="24"/>
                <w:lang w:eastAsia="lv-LV"/>
              </w:rPr>
              <w:t> </w:t>
            </w:r>
            <w:r w:rsidRPr="00B12B88">
              <w:rPr>
                <w:rFonts w:eastAsia="Times New Roman" w:cs="Times New Roman"/>
                <w:szCs w:val="24"/>
                <w:lang w:eastAsia="lv-LV"/>
              </w:rPr>
              <w:t>gada 20.</w:t>
            </w:r>
            <w:r>
              <w:rPr>
                <w:rFonts w:eastAsia="Times New Roman" w:cs="Times New Roman"/>
                <w:szCs w:val="24"/>
                <w:lang w:eastAsia="lv-LV"/>
              </w:rPr>
              <w:t> </w:t>
            </w:r>
            <w:r w:rsidRPr="00B12B88">
              <w:rPr>
                <w:rFonts w:eastAsia="Times New Roman" w:cs="Times New Roman"/>
                <w:szCs w:val="24"/>
                <w:lang w:eastAsia="lv-LV"/>
              </w:rPr>
              <w:t>augusta protokola Nr.</w:t>
            </w:r>
            <w:r>
              <w:rPr>
                <w:rFonts w:eastAsia="Times New Roman" w:cs="Times New Roman"/>
                <w:szCs w:val="24"/>
                <w:lang w:eastAsia="lv-LV"/>
              </w:rPr>
              <w:t> </w:t>
            </w:r>
            <w:r w:rsidRPr="00B12B88">
              <w:rPr>
                <w:rFonts w:eastAsia="Times New Roman" w:cs="Times New Roman"/>
                <w:szCs w:val="24"/>
                <w:lang w:eastAsia="lv-LV"/>
              </w:rPr>
              <w:t>35 26.</w:t>
            </w:r>
            <w:r>
              <w:rPr>
                <w:rFonts w:eastAsia="Times New Roman" w:cs="Times New Roman"/>
                <w:szCs w:val="24"/>
                <w:lang w:eastAsia="lv-LV"/>
              </w:rPr>
              <w:t> </w:t>
            </w:r>
            <w:r w:rsidRPr="00B12B88">
              <w:rPr>
                <w:rFonts w:eastAsia="Times New Roman" w:cs="Times New Roman"/>
                <w:szCs w:val="24"/>
                <w:lang w:eastAsia="lv-LV"/>
              </w:rPr>
              <w:t>§ 22.</w:t>
            </w:r>
            <w:r>
              <w:rPr>
                <w:rFonts w:eastAsia="Times New Roman" w:cs="Times New Roman"/>
                <w:szCs w:val="24"/>
                <w:lang w:eastAsia="lv-LV"/>
              </w:rPr>
              <w:t> </w:t>
            </w:r>
            <w:r w:rsidRPr="00B12B88">
              <w:rPr>
                <w:rFonts w:eastAsia="Times New Roman" w:cs="Times New Roman"/>
                <w:szCs w:val="24"/>
                <w:lang w:eastAsia="lv-LV"/>
              </w:rPr>
              <w:t>punktu</w:t>
            </w:r>
          </w:p>
        </w:tc>
        <w:tc>
          <w:tcPr>
            <w:tcW w:w="1701" w:type="dxa"/>
          </w:tcPr>
          <w:p w14:paraId="3DE56A9A" w14:textId="77777777" w:rsidR="006B1A68" w:rsidRPr="00B12B88" w:rsidRDefault="006B1A68" w:rsidP="006B1A68">
            <w:pPr>
              <w:spacing w:after="0" w:line="240" w:lineRule="auto"/>
              <w:jc w:val="center"/>
              <w:rPr>
                <w:rFonts w:eastAsia="Times New Roman" w:cs="Times New Roman"/>
                <w:szCs w:val="24"/>
              </w:rPr>
            </w:pPr>
          </w:p>
          <w:p w14:paraId="2537599C"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577569F9" w14:textId="77777777" w:rsidR="006B1A68" w:rsidRPr="00B12B88" w:rsidRDefault="006B1A68" w:rsidP="006B1A68">
            <w:pPr>
              <w:spacing w:after="0" w:line="240" w:lineRule="auto"/>
              <w:jc w:val="right"/>
              <w:rPr>
                <w:rFonts w:eastAsia="Times New Roman" w:cs="Times New Roman"/>
                <w:szCs w:val="24"/>
              </w:rPr>
            </w:pPr>
          </w:p>
          <w:p w14:paraId="4E6F470E"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32 300</w:t>
            </w:r>
          </w:p>
        </w:tc>
        <w:tc>
          <w:tcPr>
            <w:tcW w:w="1276" w:type="dxa"/>
          </w:tcPr>
          <w:p w14:paraId="1E05B682" w14:textId="77777777" w:rsidR="006B1A68" w:rsidRPr="00B12B88" w:rsidRDefault="006B1A68" w:rsidP="006B1A68">
            <w:pPr>
              <w:spacing w:after="0" w:line="240" w:lineRule="auto"/>
              <w:jc w:val="right"/>
              <w:rPr>
                <w:rFonts w:eastAsia="Times New Roman" w:cs="Times New Roman"/>
                <w:szCs w:val="24"/>
              </w:rPr>
            </w:pPr>
          </w:p>
          <w:p w14:paraId="5C376B92"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32 300</w:t>
            </w:r>
          </w:p>
        </w:tc>
      </w:tr>
      <w:tr w:rsidR="006B1A68" w:rsidRPr="00B12B88" w14:paraId="2722BC83" w14:textId="77777777" w:rsidTr="006B1A68">
        <w:trPr>
          <w:trHeight w:val="142"/>
          <w:jc w:val="center"/>
        </w:trPr>
        <w:tc>
          <w:tcPr>
            <w:tcW w:w="4390" w:type="dxa"/>
          </w:tcPr>
          <w:p w14:paraId="487F1528"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t>Izdevumu izmaiņas 2018.</w:t>
            </w:r>
            <w:r>
              <w:rPr>
                <w:rFonts w:eastAsia="Times New Roman" w:cs="Times New Roman"/>
                <w:szCs w:val="24"/>
                <w:lang w:eastAsia="lv-LV"/>
              </w:rPr>
              <w:t> </w:t>
            </w:r>
            <w:r w:rsidRPr="00B12B88">
              <w:rPr>
                <w:rFonts w:eastAsia="Times New Roman" w:cs="Times New Roman"/>
                <w:szCs w:val="24"/>
                <w:lang w:eastAsia="lv-LV"/>
              </w:rPr>
              <w:t>gada prioritārajam pasākumam “Prokuratūras struktūrvienības izvietošana pagaidu telpās Elizabetes ielā 2</w:t>
            </w:r>
            <w:r>
              <w:rPr>
                <w:rFonts w:eastAsia="Times New Roman" w:cs="Times New Roman"/>
                <w:szCs w:val="24"/>
                <w:lang w:eastAsia="lv-LV"/>
              </w:rPr>
              <w:t>, Rīgā</w:t>
            </w:r>
            <w:r w:rsidRPr="00B12B88">
              <w:rPr>
                <w:rFonts w:eastAsia="Times New Roman" w:cs="Times New Roman"/>
                <w:szCs w:val="24"/>
                <w:lang w:eastAsia="lv-LV"/>
              </w:rPr>
              <w:t>”</w:t>
            </w:r>
            <w:r>
              <w:rPr>
                <w:rFonts w:eastAsia="Times New Roman" w:cs="Times New Roman"/>
                <w:szCs w:val="24"/>
                <w:lang w:eastAsia="lv-LV"/>
              </w:rPr>
              <w:t xml:space="preserve"> </w:t>
            </w:r>
            <w:r w:rsidRPr="00B12B88">
              <w:rPr>
                <w:rFonts w:eastAsia="Times New Roman" w:cs="Times New Roman"/>
                <w:szCs w:val="24"/>
                <w:lang w:eastAsia="lv-LV"/>
              </w:rPr>
              <w:t xml:space="preserve">saskaņā ar </w:t>
            </w:r>
            <w:r w:rsidRPr="00B12B88">
              <w:rPr>
                <w:rFonts w:eastAsia="Calibri" w:cs="Times New Roman"/>
                <w:szCs w:val="24"/>
              </w:rPr>
              <w:t>Ministru kabineta 2017.</w:t>
            </w:r>
            <w:r>
              <w:rPr>
                <w:rFonts w:eastAsia="Calibri" w:cs="Times New Roman"/>
                <w:szCs w:val="24"/>
              </w:rPr>
              <w:t> </w:t>
            </w:r>
            <w:r w:rsidRPr="00B12B88">
              <w:rPr>
                <w:rFonts w:eastAsia="Calibri" w:cs="Times New Roman"/>
                <w:szCs w:val="24"/>
              </w:rPr>
              <w:t>gada 8.</w:t>
            </w:r>
            <w:r>
              <w:rPr>
                <w:rFonts w:eastAsia="Calibri" w:cs="Times New Roman"/>
                <w:szCs w:val="24"/>
              </w:rPr>
              <w:t> </w:t>
            </w:r>
            <w:r w:rsidRPr="00B12B88">
              <w:rPr>
                <w:rFonts w:eastAsia="Calibri" w:cs="Times New Roman"/>
                <w:szCs w:val="24"/>
              </w:rPr>
              <w:t>septembra protokola Nr.</w:t>
            </w:r>
            <w:r>
              <w:rPr>
                <w:rFonts w:eastAsia="Calibri" w:cs="Times New Roman"/>
                <w:szCs w:val="24"/>
              </w:rPr>
              <w:t> </w:t>
            </w:r>
            <w:r w:rsidRPr="00B12B88">
              <w:rPr>
                <w:rFonts w:eastAsia="Calibri" w:cs="Times New Roman"/>
                <w:szCs w:val="24"/>
              </w:rPr>
              <w:t>44 1.</w:t>
            </w:r>
            <w:r>
              <w:rPr>
                <w:rFonts w:eastAsia="Calibri" w:cs="Times New Roman"/>
                <w:szCs w:val="24"/>
              </w:rPr>
              <w:t> </w:t>
            </w:r>
            <w:r w:rsidRPr="00B12B88">
              <w:rPr>
                <w:rFonts w:eastAsia="Calibri" w:cs="Times New Roman"/>
                <w:szCs w:val="24"/>
              </w:rPr>
              <w:t>§ 15.</w:t>
            </w:r>
            <w:r>
              <w:rPr>
                <w:rFonts w:eastAsia="Calibri" w:cs="Times New Roman"/>
                <w:szCs w:val="24"/>
              </w:rPr>
              <w:t> </w:t>
            </w:r>
            <w:r w:rsidRPr="00B12B88">
              <w:rPr>
                <w:rFonts w:eastAsia="Calibri" w:cs="Times New Roman"/>
                <w:szCs w:val="24"/>
              </w:rPr>
              <w:t>punktu</w:t>
            </w:r>
          </w:p>
        </w:tc>
        <w:tc>
          <w:tcPr>
            <w:tcW w:w="1701" w:type="dxa"/>
          </w:tcPr>
          <w:p w14:paraId="4E5B6EA8" w14:textId="77777777" w:rsidR="006B1A68" w:rsidRPr="00B12B88" w:rsidRDefault="006B1A68" w:rsidP="006B1A68">
            <w:pPr>
              <w:spacing w:after="0" w:line="240" w:lineRule="auto"/>
              <w:jc w:val="right"/>
              <w:rPr>
                <w:rFonts w:eastAsia="Times New Roman" w:cs="Times New Roman"/>
                <w:szCs w:val="24"/>
              </w:rPr>
            </w:pPr>
          </w:p>
          <w:p w14:paraId="24B0F5AE"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47 405</w:t>
            </w:r>
          </w:p>
        </w:tc>
        <w:tc>
          <w:tcPr>
            <w:tcW w:w="1559" w:type="dxa"/>
          </w:tcPr>
          <w:p w14:paraId="33CDD51A" w14:textId="77777777" w:rsidR="006B1A68" w:rsidRPr="00B12B88" w:rsidRDefault="006B1A68" w:rsidP="006B1A68">
            <w:pPr>
              <w:spacing w:after="0" w:line="240" w:lineRule="auto"/>
              <w:jc w:val="center"/>
              <w:rPr>
                <w:rFonts w:eastAsia="Times New Roman" w:cs="Times New Roman"/>
                <w:szCs w:val="24"/>
              </w:rPr>
            </w:pPr>
          </w:p>
          <w:p w14:paraId="7A750575"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276" w:type="dxa"/>
          </w:tcPr>
          <w:p w14:paraId="765F507D" w14:textId="77777777" w:rsidR="006B1A68" w:rsidRPr="00B12B88" w:rsidRDefault="006B1A68" w:rsidP="006B1A68">
            <w:pPr>
              <w:spacing w:after="0" w:line="240" w:lineRule="auto"/>
              <w:jc w:val="right"/>
              <w:rPr>
                <w:rFonts w:eastAsia="Times New Roman" w:cs="Times New Roman"/>
                <w:szCs w:val="24"/>
              </w:rPr>
            </w:pPr>
          </w:p>
          <w:p w14:paraId="419FB655"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-47 405</w:t>
            </w:r>
          </w:p>
        </w:tc>
      </w:tr>
      <w:tr w:rsidR="006B1A68" w:rsidRPr="00B12B88" w14:paraId="28F42304" w14:textId="77777777" w:rsidTr="006B1A68">
        <w:trPr>
          <w:trHeight w:val="142"/>
          <w:jc w:val="center"/>
        </w:trPr>
        <w:tc>
          <w:tcPr>
            <w:tcW w:w="4390" w:type="dxa"/>
          </w:tcPr>
          <w:p w14:paraId="7AA6BB10" w14:textId="77777777" w:rsidR="006B1A68" w:rsidRPr="00A6497C" w:rsidRDefault="006B1A68" w:rsidP="006B1A68">
            <w:pPr>
              <w:spacing w:after="0" w:line="240" w:lineRule="auto"/>
              <w:rPr>
                <w:rFonts w:eastAsia="Times New Roman" w:cs="Times New Roman"/>
                <w:bCs/>
                <w:szCs w:val="24"/>
              </w:rPr>
            </w:pPr>
            <w:r w:rsidRPr="00B12B88">
              <w:rPr>
                <w:rFonts w:eastAsia="Times New Roman" w:cs="Times New Roman"/>
                <w:bCs/>
                <w:szCs w:val="24"/>
              </w:rPr>
              <w:t>Izdevumu izmaiņas 2018.</w:t>
            </w:r>
            <w:r>
              <w:rPr>
                <w:rFonts w:eastAsia="Times New Roman" w:cs="Times New Roman"/>
                <w:bCs/>
                <w:szCs w:val="24"/>
              </w:rPr>
              <w:t> </w:t>
            </w:r>
            <w:r w:rsidRPr="00B12B88">
              <w:rPr>
                <w:rFonts w:eastAsia="Times New Roman" w:cs="Times New Roman"/>
                <w:bCs/>
                <w:szCs w:val="24"/>
              </w:rPr>
              <w:t xml:space="preserve">gada prioritārajam pasākumam “Prokuratūras informācijas tehnoloģiju infrastruktūras uzturēšana un nepieciešamā drošības līmeņa nodrošināšana” </w:t>
            </w:r>
            <w:r w:rsidRPr="00B12B88">
              <w:rPr>
                <w:rFonts w:eastAsia="Times New Roman" w:cs="Times New Roman"/>
                <w:szCs w:val="24"/>
                <w:lang w:eastAsia="lv-LV"/>
              </w:rPr>
              <w:t xml:space="preserve">saskaņā ar </w:t>
            </w:r>
            <w:r w:rsidRPr="00B12B88">
              <w:rPr>
                <w:rFonts w:eastAsia="Calibri" w:cs="Times New Roman"/>
                <w:szCs w:val="24"/>
              </w:rPr>
              <w:t>Ministru kabineta 2017.</w:t>
            </w:r>
            <w:r>
              <w:rPr>
                <w:rFonts w:eastAsia="Calibri" w:cs="Times New Roman"/>
                <w:szCs w:val="24"/>
              </w:rPr>
              <w:t> </w:t>
            </w:r>
            <w:r w:rsidRPr="00B12B88">
              <w:rPr>
                <w:rFonts w:eastAsia="Calibri" w:cs="Times New Roman"/>
                <w:szCs w:val="24"/>
              </w:rPr>
              <w:t>gada 8.</w:t>
            </w:r>
            <w:r>
              <w:rPr>
                <w:rFonts w:eastAsia="Calibri" w:cs="Times New Roman"/>
                <w:szCs w:val="24"/>
              </w:rPr>
              <w:t> </w:t>
            </w:r>
            <w:r w:rsidRPr="00B12B88">
              <w:rPr>
                <w:rFonts w:eastAsia="Calibri" w:cs="Times New Roman"/>
                <w:szCs w:val="24"/>
              </w:rPr>
              <w:t>septembra protokola Nr.</w:t>
            </w:r>
            <w:r>
              <w:rPr>
                <w:rFonts w:eastAsia="Calibri" w:cs="Times New Roman"/>
                <w:szCs w:val="24"/>
              </w:rPr>
              <w:t> </w:t>
            </w:r>
            <w:r w:rsidRPr="00B12B88">
              <w:rPr>
                <w:rFonts w:eastAsia="Calibri" w:cs="Times New Roman"/>
                <w:szCs w:val="24"/>
              </w:rPr>
              <w:t>44 1.</w:t>
            </w:r>
            <w:r>
              <w:rPr>
                <w:rFonts w:eastAsia="Calibri" w:cs="Times New Roman"/>
                <w:szCs w:val="24"/>
              </w:rPr>
              <w:t> </w:t>
            </w:r>
            <w:r w:rsidRPr="00B12B88">
              <w:rPr>
                <w:rFonts w:eastAsia="Calibri" w:cs="Times New Roman"/>
                <w:szCs w:val="24"/>
              </w:rPr>
              <w:t>§ 15.</w:t>
            </w:r>
            <w:r>
              <w:rPr>
                <w:rFonts w:eastAsia="Calibri" w:cs="Times New Roman"/>
                <w:szCs w:val="24"/>
              </w:rPr>
              <w:t> </w:t>
            </w:r>
            <w:r w:rsidRPr="00B12B88">
              <w:rPr>
                <w:rFonts w:eastAsia="Calibri" w:cs="Times New Roman"/>
                <w:szCs w:val="24"/>
              </w:rPr>
              <w:t>punktu</w:t>
            </w:r>
          </w:p>
        </w:tc>
        <w:tc>
          <w:tcPr>
            <w:tcW w:w="1701" w:type="dxa"/>
          </w:tcPr>
          <w:p w14:paraId="69634DF8" w14:textId="77777777" w:rsidR="006B1A68" w:rsidRPr="00B12B88" w:rsidRDefault="006B1A68" w:rsidP="006B1A68">
            <w:pPr>
              <w:spacing w:after="0" w:line="240" w:lineRule="auto"/>
              <w:jc w:val="center"/>
              <w:rPr>
                <w:rFonts w:eastAsia="Times New Roman" w:cs="Times New Roman"/>
                <w:szCs w:val="24"/>
              </w:rPr>
            </w:pPr>
          </w:p>
          <w:p w14:paraId="21B3185C" w14:textId="77777777" w:rsidR="006B1A68" w:rsidRPr="00B12B88" w:rsidRDefault="006B1A68" w:rsidP="006B1A68">
            <w:pPr>
              <w:spacing w:after="0" w:line="240" w:lineRule="auto"/>
              <w:jc w:val="center"/>
              <w:rPr>
                <w:rFonts w:eastAsia="Times New Roman" w:cs="Times New Roman"/>
                <w:szCs w:val="24"/>
              </w:rPr>
            </w:pPr>
          </w:p>
          <w:p w14:paraId="6EBA3F29"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7A15FB81" w14:textId="77777777" w:rsidR="006B1A68" w:rsidRPr="00B12B88" w:rsidRDefault="006B1A68" w:rsidP="006B1A68">
            <w:pPr>
              <w:spacing w:after="0" w:line="240" w:lineRule="auto"/>
              <w:jc w:val="right"/>
              <w:rPr>
                <w:rFonts w:eastAsia="Times New Roman" w:cs="Times New Roman"/>
                <w:szCs w:val="24"/>
              </w:rPr>
            </w:pPr>
          </w:p>
          <w:p w14:paraId="385E8E8E" w14:textId="77777777" w:rsidR="006B1A68" w:rsidRPr="00B12B88" w:rsidRDefault="006B1A68" w:rsidP="006B1A68">
            <w:pPr>
              <w:spacing w:after="0" w:line="240" w:lineRule="auto"/>
              <w:jc w:val="right"/>
              <w:rPr>
                <w:rFonts w:eastAsia="Times New Roman" w:cs="Times New Roman"/>
                <w:szCs w:val="24"/>
              </w:rPr>
            </w:pPr>
          </w:p>
          <w:p w14:paraId="1E8FBFD2"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15 730</w:t>
            </w:r>
          </w:p>
        </w:tc>
        <w:tc>
          <w:tcPr>
            <w:tcW w:w="1276" w:type="dxa"/>
          </w:tcPr>
          <w:p w14:paraId="0BBE93CA" w14:textId="77777777" w:rsidR="006B1A68" w:rsidRPr="00B12B88" w:rsidRDefault="006B1A68" w:rsidP="006B1A68">
            <w:pPr>
              <w:spacing w:after="0" w:line="240" w:lineRule="auto"/>
              <w:jc w:val="right"/>
              <w:rPr>
                <w:rFonts w:eastAsia="Times New Roman" w:cs="Times New Roman"/>
                <w:szCs w:val="24"/>
              </w:rPr>
            </w:pPr>
          </w:p>
          <w:p w14:paraId="29385E36" w14:textId="77777777" w:rsidR="006B1A68" w:rsidRPr="00B12B88" w:rsidRDefault="006B1A68" w:rsidP="006B1A68">
            <w:pPr>
              <w:spacing w:after="0" w:line="240" w:lineRule="auto"/>
              <w:jc w:val="right"/>
              <w:rPr>
                <w:rFonts w:eastAsia="Times New Roman" w:cs="Times New Roman"/>
                <w:szCs w:val="24"/>
              </w:rPr>
            </w:pPr>
          </w:p>
          <w:p w14:paraId="72830F70"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15 730</w:t>
            </w:r>
          </w:p>
        </w:tc>
      </w:tr>
      <w:tr w:rsidR="006B1A68" w:rsidRPr="00B12B88" w14:paraId="69A74E3A" w14:textId="77777777" w:rsidTr="006B1A68">
        <w:trPr>
          <w:trHeight w:val="142"/>
          <w:jc w:val="center"/>
        </w:trPr>
        <w:tc>
          <w:tcPr>
            <w:tcW w:w="4390" w:type="dxa"/>
          </w:tcPr>
          <w:p w14:paraId="38F01683" w14:textId="77777777" w:rsidR="006B1A68" w:rsidRPr="00B2230C" w:rsidRDefault="006B1A68" w:rsidP="006B1A68">
            <w:pPr>
              <w:spacing w:after="0" w:line="240" w:lineRule="auto"/>
              <w:rPr>
                <w:rFonts w:eastAsia="Times New Roman" w:cs="Times New Roman"/>
                <w:bCs/>
                <w:szCs w:val="24"/>
              </w:rPr>
            </w:pPr>
            <w:r w:rsidRPr="00B12B88">
              <w:rPr>
                <w:rFonts w:eastAsia="Times New Roman" w:cs="Times New Roman"/>
                <w:bCs/>
                <w:szCs w:val="24"/>
              </w:rPr>
              <w:t>Izdevumu izmaiņas 2018.</w:t>
            </w:r>
            <w:r>
              <w:rPr>
                <w:rFonts w:eastAsia="Times New Roman" w:cs="Times New Roman"/>
                <w:bCs/>
                <w:szCs w:val="24"/>
              </w:rPr>
              <w:t> </w:t>
            </w:r>
            <w:r w:rsidRPr="00B12B88">
              <w:rPr>
                <w:rFonts w:eastAsia="Times New Roman" w:cs="Times New Roman"/>
                <w:bCs/>
                <w:szCs w:val="24"/>
              </w:rPr>
              <w:t>gada prioritārajam pasākumam “Prokuratūras struktūrvienību ēkas Kalpaka bulvārī 6, Rīgā</w:t>
            </w:r>
            <w:r>
              <w:rPr>
                <w:rFonts w:eastAsia="Times New Roman" w:cs="Times New Roman"/>
                <w:bCs/>
                <w:szCs w:val="24"/>
              </w:rPr>
              <w:t>,</w:t>
            </w:r>
            <w:r w:rsidRPr="00B12B88">
              <w:rPr>
                <w:rFonts w:eastAsia="Times New Roman" w:cs="Times New Roman"/>
                <w:bCs/>
                <w:szCs w:val="24"/>
              </w:rPr>
              <w:t xml:space="preserve"> remontdarbi”</w:t>
            </w:r>
            <w:r>
              <w:rPr>
                <w:rFonts w:eastAsia="Times New Roman" w:cs="Times New Roman"/>
                <w:bCs/>
                <w:szCs w:val="24"/>
              </w:rPr>
              <w:t xml:space="preserve"> </w:t>
            </w:r>
            <w:r w:rsidRPr="00B12B88">
              <w:rPr>
                <w:rFonts w:eastAsia="Times New Roman" w:cs="Times New Roman"/>
                <w:szCs w:val="24"/>
                <w:lang w:eastAsia="lv-LV"/>
              </w:rPr>
              <w:t xml:space="preserve">saskaņā ar </w:t>
            </w:r>
            <w:r w:rsidRPr="00B12B88">
              <w:rPr>
                <w:rFonts w:eastAsia="Calibri" w:cs="Times New Roman"/>
                <w:szCs w:val="24"/>
              </w:rPr>
              <w:t>Ministru kabineta 2017.</w:t>
            </w:r>
            <w:r>
              <w:rPr>
                <w:rFonts w:eastAsia="Calibri" w:cs="Times New Roman"/>
                <w:szCs w:val="24"/>
              </w:rPr>
              <w:t> </w:t>
            </w:r>
            <w:r w:rsidRPr="00B12B88">
              <w:rPr>
                <w:rFonts w:eastAsia="Calibri" w:cs="Times New Roman"/>
                <w:szCs w:val="24"/>
              </w:rPr>
              <w:t>gada 8.</w:t>
            </w:r>
            <w:r>
              <w:rPr>
                <w:rFonts w:eastAsia="Calibri" w:cs="Times New Roman"/>
                <w:szCs w:val="24"/>
              </w:rPr>
              <w:t> </w:t>
            </w:r>
            <w:r w:rsidRPr="00B12B88">
              <w:rPr>
                <w:rFonts w:eastAsia="Calibri" w:cs="Times New Roman"/>
                <w:szCs w:val="24"/>
              </w:rPr>
              <w:t>septembra protokola Nr.</w:t>
            </w:r>
            <w:r>
              <w:rPr>
                <w:rFonts w:eastAsia="Calibri" w:cs="Times New Roman"/>
                <w:szCs w:val="24"/>
              </w:rPr>
              <w:t> </w:t>
            </w:r>
            <w:r w:rsidRPr="00B12B88">
              <w:rPr>
                <w:rFonts w:eastAsia="Calibri" w:cs="Times New Roman"/>
                <w:szCs w:val="24"/>
              </w:rPr>
              <w:t>44 1.</w:t>
            </w:r>
            <w:r>
              <w:rPr>
                <w:rFonts w:eastAsia="Calibri" w:cs="Times New Roman"/>
                <w:szCs w:val="24"/>
              </w:rPr>
              <w:t> </w:t>
            </w:r>
            <w:r w:rsidRPr="00B12B88">
              <w:rPr>
                <w:rFonts w:eastAsia="Calibri" w:cs="Times New Roman"/>
                <w:szCs w:val="24"/>
              </w:rPr>
              <w:t>§ 15.</w:t>
            </w:r>
            <w:r>
              <w:rPr>
                <w:rFonts w:eastAsia="Calibri" w:cs="Times New Roman"/>
                <w:szCs w:val="24"/>
              </w:rPr>
              <w:t> </w:t>
            </w:r>
            <w:r w:rsidRPr="00B12B88">
              <w:rPr>
                <w:rFonts w:eastAsia="Calibri" w:cs="Times New Roman"/>
                <w:szCs w:val="24"/>
              </w:rPr>
              <w:t>punktu</w:t>
            </w:r>
          </w:p>
        </w:tc>
        <w:tc>
          <w:tcPr>
            <w:tcW w:w="1701" w:type="dxa"/>
          </w:tcPr>
          <w:p w14:paraId="6D9C730F" w14:textId="77777777" w:rsidR="006B1A68" w:rsidRPr="00B12B88" w:rsidRDefault="006B1A68" w:rsidP="006B1A68">
            <w:pPr>
              <w:spacing w:after="0" w:line="240" w:lineRule="auto"/>
              <w:jc w:val="center"/>
              <w:rPr>
                <w:rFonts w:eastAsia="Times New Roman" w:cs="Times New Roman"/>
                <w:szCs w:val="24"/>
              </w:rPr>
            </w:pPr>
          </w:p>
          <w:p w14:paraId="25F6EDA1"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559" w:type="dxa"/>
          </w:tcPr>
          <w:p w14:paraId="0D06F19D" w14:textId="77777777" w:rsidR="006B1A68" w:rsidRPr="00B12B88" w:rsidRDefault="006B1A68" w:rsidP="006B1A68">
            <w:pPr>
              <w:spacing w:after="0" w:line="240" w:lineRule="auto"/>
              <w:jc w:val="right"/>
              <w:rPr>
                <w:rFonts w:eastAsia="Times New Roman" w:cs="Times New Roman"/>
                <w:szCs w:val="24"/>
              </w:rPr>
            </w:pPr>
          </w:p>
          <w:p w14:paraId="5E6FC962"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877 540</w:t>
            </w:r>
          </w:p>
        </w:tc>
        <w:tc>
          <w:tcPr>
            <w:tcW w:w="1276" w:type="dxa"/>
          </w:tcPr>
          <w:p w14:paraId="018D9B08" w14:textId="77777777" w:rsidR="006B1A68" w:rsidRPr="00B12B88" w:rsidRDefault="006B1A68" w:rsidP="006B1A68">
            <w:pPr>
              <w:spacing w:after="0" w:line="240" w:lineRule="auto"/>
              <w:jc w:val="right"/>
              <w:rPr>
                <w:rFonts w:eastAsia="Times New Roman" w:cs="Times New Roman"/>
                <w:szCs w:val="24"/>
              </w:rPr>
            </w:pPr>
          </w:p>
          <w:p w14:paraId="308140FF"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877 540</w:t>
            </w:r>
          </w:p>
        </w:tc>
      </w:tr>
      <w:tr w:rsidR="006B1A68" w:rsidRPr="00B12B88" w14:paraId="2967926E" w14:textId="77777777" w:rsidTr="006B1A68">
        <w:trPr>
          <w:trHeight w:val="142"/>
          <w:jc w:val="center"/>
        </w:trPr>
        <w:tc>
          <w:tcPr>
            <w:tcW w:w="4390" w:type="dxa"/>
          </w:tcPr>
          <w:p w14:paraId="5270F95F"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bCs/>
                <w:szCs w:val="24"/>
              </w:rPr>
              <w:t xml:space="preserve">Palielināti izdevumi </w:t>
            </w:r>
            <w:r w:rsidRPr="00B12B88">
              <w:rPr>
                <w:rFonts w:eastAsia="Times New Roman" w:cs="Times New Roman"/>
                <w:szCs w:val="24"/>
                <w:lang w:eastAsia="lv-LV"/>
              </w:rPr>
              <w:t>prokuroru atalgojumam saskaņā ar likumu “Grozījumi Valsts un pašvaldību institūciju amatpersonu un darbinieku atlīdzības likumā” (pieņemts Saeimā 06.12.2018.) un atbilstoši Ministru kabineta 2019.</w:t>
            </w:r>
            <w:r>
              <w:rPr>
                <w:rFonts w:eastAsia="Times New Roman" w:cs="Times New Roman"/>
                <w:szCs w:val="24"/>
                <w:lang w:eastAsia="lv-LV"/>
              </w:rPr>
              <w:t> </w:t>
            </w:r>
            <w:r w:rsidRPr="00B12B88">
              <w:rPr>
                <w:rFonts w:eastAsia="Times New Roman" w:cs="Times New Roman"/>
                <w:szCs w:val="24"/>
                <w:lang w:eastAsia="lv-LV"/>
              </w:rPr>
              <w:t>gada 5.</w:t>
            </w:r>
            <w:r>
              <w:rPr>
                <w:rFonts w:eastAsia="Times New Roman" w:cs="Times New Roman"/>
                <w:szCs w:val="24"/>
                <w:lang w:eastAsia="lv-LV"/>
              </w:rPr>
              <w:t> </w:t>
            </w:r>
            <w:r w:rsidRPr="00B12B88">
              <w:rPr>
                <w:rFonts w:eastAsia="Times New Roman" w:cs="Times New Roman"/>
                <w:szCs w:val="24"/>
                <w:lang w:eastAsia="lv-LV"/>
              </w:rPr>
              <w:t>februāra prot</w:t>
            </w:r>
            <w:r>
              <w:rPr>
                <w:rFonts w:eastAsia="Times New Roman" w:cs="Times New Roman"/>
                <w:szCs w:val="24"/>
                <w:lang w:eastAsia="lv-LV"/>
              </w:rPr>
              <w:t xml:space="preserve">okola </w:t>
            </w:r>
            <w:r w:rsidRPr="00B12B88">
              <w:rPr>
                <w:rFonts w:eastAsia="Times New Roman" w:cs="Times New Roman"/>
                <w:szCs w:val="24"/>
                <w:lang w:eastAsia="lv-LV"/>
              </w:rPr>
              <w:t>Nr.</w:t>
            </w:r>
            <w:r>
              <w:rPr>
                <w:rFonts w:eastAsia="Times New Roman" w:cs="Times New Roman"/>
                <w:szCs w:val="24"/>
                <w:lang w:eastAsia="lv-LV"/>
              </w:rPr>
              <w:t> </w:t>
            </w:r>
            <w:r w:rsidRPr="00B12B88">
              <w:rPr>
                <w:rFonts w:eastAsia="Times New Roman" w:cs="Times New Roman"/>
                <w:szCs w:val="24"/>
                <w:lang w:eastAsia="lv-LV"/>
              </w:rPr>
              <w:t>5 30.</w:t>
            </w:r>
            <w:r>
              <w:rPr>
                <w:rFonts w:eastAsia="Times New Roman" w:cs="Times New Roman"/>
                <w:szCs w:val="24"/>
                <w:lang w:eastAsia="lv-LV"/>
              </w:rPr>
              <w:t> </w:t>
            </w:r>
            <w:r w:rsidRPr="00B12B88">
              <w:rPr>
                <w:rFonts w:eastAsia="Times New Roman" w:cs="Times New Roman"/>
                <w:szCs w:val="24"/>
                <w:lang w:eastAsia="lv-LV"/>
              </w:rPr>
              <w:t>§ 17.3.</w:t>
            </w:r>
            <w:r>
              <w:rPr>
                <w:rFonts w:eastAsia="Times New Roman" w:cs="Times New Roman"/>
                <w:szCs w:val="24"/>
                <w:lang w:eastAsia="lv-LV"/>
              </w:rPr>
              <w:t> </w:t>
            </w:r>
            <w:r w:rsidRPr="00B12B88">
              <w:rPr>
                <w:rFonts w:eastAsia="Times New Roman" w:cs="Times New Roman"/>
                <w:szCs w:val="24"/>
                <w:lang w:eastAsia="lv-LV"/>
              </w:rPr>
              <w:t>punktam, ņemot vērā 2018.</w:t>
            </w:r>
            <w:r>
              <w:rPr>
                <w:rFonts w:eastAsia="Times New Roman" w:cs="Times New Roman"/>
                <w:szCs w:val="24"/>
                <w:lang w:eastAsia="lv-LV"/>
              </w:rPr>
              <w:t> </w:t>
            </w:r>
            <w:r w:rsidRPr="00B12B88">
              <w:rPr>
                <w:rFonts w:eastAsia="Times New Roman" w:cs="Times New Roman"/>
                <w:szCs w:val="24"/>
                <w:lang w:eastAsia="lv-LV"/>
              </w:rPr>
              <w:t xml:space="preserve">gada prioritārajam pasākumam </w:t>
            </w:r>
            <w:r w:rsidRPr="00B12B88">
              <w:rPr>
                <w:rFonts w:eastAsia="Times New Roman" w:cs="Times New Roman"/>
                <w:bCs/>
                <w:szCs w:val="24"/>
              </w:rPr>
              <w:t>“Prokuroru atalgojuma palielinājums” papildu piešķirto finansējumu</w:t>
            </w:r>
          </w:p>
        </w:tc>
        <w:tc>
          <w:tcPr>
            <w:tcW w:w="1701" w:type="dxa"/>
          </w:tcPr>
          <w:p w14:paraId="531BA20E" w14:textId="77777777" w:rsidR="006B1A68" w:rsidRPr="00B12B88" w:rsidRDefault="006B1A68" w:rsidP="006B1A68">
            <w:pPr>
              <w:spacing w:after="0" w:line="240" w:lineRule="auto"/>
              <w:jc w:val="right"/>
              <w:rPr>
                <w:rFonts w:eastAsia="Times New Roman" w:cs="Times New Roman"/>
                <w:szCs w:val="24"/>
              </w:rPr>
            </w:pPr>
          </w:p>
          <w:p w14:paraId="6624C62E" w14:textId="77777777" w:rsidR="006B1A68" w:rsidRPr="00B12B88" w:rsidRDefault="006B1A68" w:rsidP="006B1A68">
            <w:pPr>
              <w:spacing w:after="0" w:line="240" w:lineRule="auto"/>
              <w:jc w:val="right"/>
              <w:rPr>
                <w:rFonts w:eastAsia="Times New Roman" w:cs="Times New Roman"/>
                <w:szCs w:val="24"/>
              </w:rPr>
            </w:pPr>
          </w:p>
          <w:p w14:paraId="2BD3BD69"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1 188 952</w:t>
            </w:r>
          </w:p>
        </w:tc>
        <w:tc>
          <w:tcPr>
            <w:tcW w:w="1559" w:type="dxa"/>
          </w:tcPr>
          <w:p w14:paraId="751631CB" w14:textId="77777777" w:rsidR="006B1A68" w:rsidRPr="00B12B88" w:rsidRDefault="006B1A68" w:rsidP="006B1A68">
            <w:pPr>
              <w:spacing w:after="0" w:line="240" w:lineRule="auto"/>
              <w:jc w:val="right"/>
              <w:rPr>
                <w:rFonts w:eastAsia="Times New Roman" w:cs="Times New Roman"/>
                <w:szCs w:val="24"/>
              </w:rPr>
            </w:pPr>
          </w:p>
          <w:p w14:paraId="6F8131FA" w14:textId="77777777" w:rsidR="006B1A68" w:rsidRPr="00B12B88" w:rsidRDefault="006B1A68" w:rsidP="006B1A68">
            <w:pPr>
              <w:spacing w:after="0" w:line="240" w:lineRule="auto"/>
              <w:jc w:val="right"/>
              <w:rPr>
                <w:rFonts w:eastAsia="Times New Roman" w:cs="Times New Roman"/>
                <w:szCs w:val="24"/>
              </w:rPr>
            </w:pPr>
          </w:p>
          <w:p w14:paraId="4A674020"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2 335 486</w:t>
            </w:r>
          </w:p>
        </w:tc>
        <w:tc>
          <w:tcPr>
            <w:tcW w:w="1276" w:type="dxa"/>
          </w:tcPr>
          <w:p w14:paraId="7613F2A6" w14:textId="77777777" w:rsidR="006B1A68" w:rsidRPr="00B12B88" w:rsidRDefault="006B1A68" w:rsidP="006B1A68">
            <w:pPr>
              <w:spacing w:after="0" w:line="240" w:lineRule="auto"/>
              <w:jc w:val="right"/>
              <w:rPr>
                <w:rFonts w:eastAsia="Times New Roman" w:cs="Times New Roman"/>
                <w:szCs w:val="24"/>
              </w:rPr>
            </w:pPr>
          </w:p>
          <w:p w14:paraId="7650C123" w14:textId="77777777" w:rsidR="006B1A68" w:rsidRPr="00B12B88" w:rsidRDefault="006B1A68" w:rsidP="006B1A68">
            <w:pPr>
              <w:spacing w:after="0" w:line="240" w:lineRule="auto"/>
              <w:jc w:val="right"/>
              <w:rPr>
                <w:rFonts w:eastAsia="Times New Roman" w:cs="Times New Roman"/>
                <w:szCs w:val="24"/>
              </w:rPr>
            </w:pPr>
          </w:p>
          <w:p w14:paraId="130E5F38"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1 146 534</w:t>
            </w:r>
          </w:p>
        </w:tc>
      </w:tr>
      <w:tr w:rsidR="006B1A68" w:rsidRPr="00B12B88" w14:paraId="51A25FEE" w14:textId="77777777" w:rsidTr="006B1A68">
        <w:trPr>
          <w:trHeight w:val="142"/>
          <w:jc w:val="center"/>
        </w:trPr>
        <w:tc>
          <w:tcPr>
            <w:tcW w:w="4390" w:type="dxa"/>
          </w:tcPr>
          <w:p w14:paraId="05694A73" w14:textId="77777777" w:rsidR="006B1A68" w:rsidRPr="00B2230C" w:rsidRDefault="006B1A68" w:rsidP="006B1A68">
            <w:pPr>
              <w:spacing w:after="0" w:line="240" w:lineRule="auto"/>
              <w:rPr>
                <w:rFonts w:eastAsia="Calibri" w:cs="Times New Roman"/>
                <w:szCs w:val="24"/>
              </w:rPr>
            </w:pPr>
            <w:r w:rsidRPr="00B12B88">
              <w:rPr>
                <w:rFonts w:eastAsia="Times New Roman" w:cs="Times New Roman"/>
                <w:szCs w:val="24"/>
                <w:lang w:eastAsia="lv-LV"/>
              </w:rPr>
              <w:lastRenderedPageBreak/>
              <w:t>Samazināti izdevumi 2019.</w:t>
            </w:r>
            <w:r>
              <w:rPr>
                <w:rFonts w:eastAsia="Times New Roman" w:cs="Times New Roman"/>
                <w:szCs w:val="24"/>
                <w:lang w:eastAsia="lv-LV"/>
              </w:rPr>
              <w:t> </w:t>
            </w:r>
            <w:r w:rsidRPr="00B12B88">
              <w:rPr>
                <w:rFonts w:eastAsia="Times New Roman" w:cs="Times New Roman"/>
                <w:szCs w:val="24"/>
                <w:lang w:eastAsia="lv-LV"/>
              </w:rPr>
              <w:t xml:space="preserve">gada prioritārajam pasākumam “Prokuratūras informācijas tehnoloģiju infrastruktūras uzturēšana un nepieciešamā drošības līmeņa nodrošināšana” saskaņā ar </w:t>
            </w:r>
            <w:r w:rsidRPr="00B12B88">
              <w:rPr>
                <w:rFonts w:eastAsia="Calibri" w:cs="Times New Roman"/>
                <w:szCs w:val="24"/>
              </w:rPr>
              <w:t>Ministru kabineta 2019.</w:t>
            </w:r>
            <w:r>
              <w:rPr>
                <w:rFonts w:eastAsia="Calibri" w:cs="Times New Roman"/>
                <w:szCs w:val="24"/>
              </w:rPr>
              <w:t> </w:t>
            </w:r>
            <w:r w:rsidRPr="00B12B88">
              <w:rPr>
                <w:rFonts w:eastAsia="Calibri" w:cs="Times New Roman"/>
                <w:szCs w:val="24"/>
              </w:rPr>
              <w:t>gada 8.</w:t>
            </w:r>
            <w:r>
              <w:rPr>
                <w:rFonts w:eastAsia="Calibri" w:cs="Times New Roman"/>
                <w:szCs w:val="24"/>
              </w:rPr>
              <w:t> </w:t>
            </w:r>
            <w:r w:rsidRPr="00B12B88">
              <w:rPr>
                <w:rFonts w:eastAsia="Calibri" w:cs="Times New Roman"/>
                <w:szCs w:val="24"/>
              </w:rPr>
              <w:t>februāra</w:t>
            </w:r>
            <w:r>
              <w:rPr>
                <w:rFonts w:eastAsia="Calibri" w:cs="Times New Roman"/>
                <w:szCs w:val="24"/>
              </w:rPr>
              <w:t xml:space="preserve"> </w:t>
            </w:r>
            <w:r w:rsidRPr="00B12B88">
              <w:rPr>
                <w:rFonts w:eastAsia="Calibri" w:cs="Times New Roman"/>
                <w:szCs w:val="24"/>
              </w:rPr>
              <w:t>sēdes protokola Nr.</w:t>
            </w:r>
            <w:r>
              <w:rPr>
                <w:rFonts w:eastAsia="Calibri" w:cs="Times New Roman"/>
                <w:szCs w:val="24"/>
              </w:rPr>
              <w:t> </w:t>
            </w:r>
            <w:r w:rsidRPr="00B12B88">
              <w:rPr>
                <w:rFonts w:eastAsia="Calibri" w:cs="Times New Roman"/>
                <w:szCs w:val="24"/>
              </w:rPr>
              <w:t>6 1.</w:t>
            </w:r>
            <w:r>
              <w:rPr>
                <w:rFonts w:eastAsia="Calibri" w:cs="Times New Roman"/>
                <w:szCs w:val="24"/>
              </w:rPr>
              <w:t> </w:t>
            </w:r>
            <w:r w:rsidRPr="00B12B88">
              <w:rPr>
                <w:rFonts w:eastAsia="Calibri" w:cs="Times New Roman"/>
                <w:szCs w:val="24"/>
              </w:rPr>
              <w:t>§ 3.</w:t>
            </w:r>
            <w:r>
              <w:rPr>
                <w:rFonts w:eastAsia="Calibri" w:cs="Times New Roman"/>
                <w:szCs w:val="24"/>
              </w:rPr>
              <w:t> </w:t>
            </w:r>
            <w:r w:rsidRPr="00B12B88">
              <w:rPr>
                <w:rFonts w:eastAsia="Calibri" w:cs="Times New Roman"/>
                <w:szCs w:val="24"/>
              </w:rPr>
              <w:t>punktu</w:t>
            </w:r>
          </w:p>
        </w:tc>
        <w:tc>
          <w:tcPr>
            <w:tcW w:w="1701" w:type="dxa"/>
            <w:vAlign w:val="center"/>
          </w:tcPr>
          <w:p w14:paraId="3359D201"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202 399</w:t>
            </w:r>
          </w:p>
        </w:tc>
        <w:tc>
          <w:tcPr>
            <w:tcW w:w="1559" w:type="dxa"/>
          </w:tcPr>
          <w:p w14:paraId="17DA3AFF" w14:textId="77777777" w:rsidR="006B1A68" w:rsidRPr="00B12B88" w:rsidRDefault="006B1A68" w:rsidP="006B1A68">
            <w:pPr>
              <w:spacing w:after="0" w:line="240" w:lineRule="auto"/>
              <w:jc w:val="center"/>
              <w:rPr>
                <w:rFonts w:eastAsia="Times New Roman" w:cs="Times New Roman"/>
                <w:szCs w:val="24"/>
              </w:rPr>
            </w:pPr>
          </w:p>
          <w:p w14:paraId="2A15F8D1" w14:textId="77777777" w:rsidR="006B1A68" w:rsidRPr="00B12B88" w:rsidRDefault="006B1A68" w:rsidP="006B1A68">
            <w:pPr>
              <w:spacing w:after="0" w:line="240" w:lineRule="auto"/>
              <w:jc w:val="center"/>
              <w:rPr>
                <w:rFonts w:eastAsia="Times New Roman" w:cs="Times New Roman"/>
                <w:szCs w:val="24"/>
              </w:rPr>
            </w:pPr>
          </w:p>
          <w:p w14:paraId="27F73BE6" w14:textId="77777777" w:rsidR="006B1A68" w:rsidRDefault="006B1A68" w:rsidP="006B1A68">
            <w:pPr>
              <w:spacing w:after="0" w:line="240" w:lineRule="auto"/>
              <w:jc w:val="center"/>
              <w:rPr>
                <w:rFonts w:eastAsia="Times New Roman" w:cs="Times New Roman"/>
                <w:szCs w:val="24"/>
              </w:rPr>
            </w:pPr>
          </w:p>
          <w:p w14:paraId="52C1B574"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276" w:type="dxa"/>
          </w:tcPr>
          <w:p w14:paraId="6C5B073E" w14:textId="77777777" w:rsidR="006B1A68" w:rsidRPr="00B12B88" w:rsidRDefault="006B1A68" w:rsidP="006B1A68">
            <w:pPr>
              <w:spacing w:after="0" w:line="240" w:lineRule="auto"/>
              <w:jc w:val="right"/>
              <w:rPr>
                <w:rFonts w:eastAsia="Times New Roman" w:cs="Times New Roman"/>
                <w:szCs w:val="24"/>
              </w:rPr>
            </w:pPr>
          </w:p>
          <w:p w14:paraId="7B31C922" w14:textId="77777777" w:rsidR="006B1A68" w:rsidRPr="00B12B88" w:rsidRDefault="006B1A68" w:rsidP="006B1A68">
            <w:pPr>
              <w:spacing w:after="0" w:line="240" w:lineRule="auto"/>
              <w:jc w:val="right"/>
              <w:rPr>
                <w:rFonts w:eastAsia="Times New Roman" w:cs="Times New Roman"/>
                <w:szCs w:val="24"/>
              </w:rPr>
            </w:pPr>
          </w:p>
          <w:p w14:paraId="3FFE280B" w14:textId="77777777" w:rsidR="006B1A68" w:rsidRDefault="006B1A68" w:rsidP="006B1A68">
            <w:pPr>
              <w:spacing w:after="0" w:line="240" w:lineRule="auto"/>
              <w:jc w:val="right"/>
              <w:rPr>
                <w:rFonts w:eastAsia="Times New Roman" w:cs="Times New Roman"/>
                <w:szCs w:val="24"/>
              </w:rPr>
            </w:pPr>
          </w:p>
          <w:p w14:paraId="1453103B"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-202 399</w:t>
            </w:r>
          </w:p>
        </w:tc>
      </w:tr>
      <w:tr w:rsidR="006B1A68" w:rsidRPr="00B12B88" w14:paraId="39D7E764" w14:textId="77777777" w:rsidTr="006B1A68">
        <w:trPr>
          <w:trHeight w:val="142"/>
          <w:jc w:val="center"/>
        </w:trPr>
        <w:tc>
          <w:tcPr>
            <w:tcW w:w="4390" w:type="dxa"/>
          </w:tcPr>
          <w:p w14:paraId="5D4705A6" w14:textId="77777777" w:rsidR="006B1A68" w:rsidRPr="00B12B88" w:rsidRDefault="006B1A68" w:rsidP="006B1A68">
            <w:pPr>
              <w:spacing w:after="0" w:line="240" w:lineRule="auto"/>
              <w:rPr>
                <w:rFonts w:eastAsia="Calibri" w:cs="Times New Roman"/>
                <w:szCs w:val="24"/>
              </w:rPr>
            </w:pPr>
            <w:r w:rsidRPr="00B12B88">
              <w:rPr>
                <w:rFonts w:eastAsia="Times New Roman" w:cs="Times New Roman"/>
                <w:szCs w:val="24"/>
                <w:lang w:eastAsia="lv-LV"/>
              </w:rPr>
              <w:t>Samazināti izdevumi 2019.</w:t>
            </w:r>
            <w:r>
              <w:rPr>
                <w:rFonts w:eastAsia="Times New Roman" w:cs="Times New Roman"/>
                <w:szCs w:val="24"/>
                <w:lang w:eastAsia="lv-LV"/>
              </w:rPr>
              <w:t> </w:t>
            </w:r>
            <w:r w:rsidRPr="00B12B88">
              <w:rPr>
                <w:rFonts w:eastAsia="Times New Roman" w:cs="Times New Roman"/>
                <w:szCs w:val="24"/>
                <w:lang w:eastAsia="lv-LV"/>
              </w:rPr>
              <w:t>gada prioritārajam pasākumam “Materiāltehniskais nodrošinājums Prokuratūrai noteikto funkciju izpildei”</w:t>
            </w:r>
            <w:r>
              <w:rPr>
                <w:rFonts w:eastAsia="Times New Roman" w:cs="Times New Roman"/>
                <w:szCs w:val="24"/>
                <w:lang w:eastAsia="lv-LV"/>
              </w:rPr>
              <w:t xml:space="preserve"> </w:t>
            </w:r>
            <w:r w:rsidRPr="00B12B88">
              <w:rPr>
                <w:rFonts w:eastAsia="Times New Roman" w:cs="Times New Roman"/>
                <w:szCs w:val="24"/>
                <w:lang w:eastAsia="lv-LV"/>
              </w:rPr>
              <w:t xml:space="preserve">saskaņā ar </w:t>
            </w:r>
            <w:r w:rsidRPr="00B12B88">
              <w:rPr>
                <w:rFonts w:eastAsia="Calibri" w:cs="Times New Roman"/>
                <w:szCs w:val="24"/>
              </w:rPr>
              <w:t>Ministru kabineta 2019.</w:t>
            </w:r>
            <w:r>
              <w:rPr>
                <w:rFonts w:eastAsia="Calibri" w:cs="Times New Roman"/>
                <w:szCs w:val="24"/>
              </w:rPr>
              <w:t> </w:t>
            </w:r>
            <w:r w:rsidRPr="00B12B88">
              <w:rPr>
                <w:rFonts w:eastAsia="Calibri" w:cs="Times New Roman"/>
                <w:szCs w:val="24"/>
              </w:rPr>
              <w:t>gada 8.</w:t>
            </w:r>
            <w:r>
              <w:rPr>
                <w:rFonts w:eastAsia="Calibri" w:cs="Times New Roman"/>
                <w:szCs w:val="24"/>
              </w:rPr>
              <w:t> </w:t>
            </w:r>
            <w:r w:rsidRPr="00B12B88">
              <w:rPr>
                <w:rFonts w:eastAsia="Calibri" w:cs="Times New Roman"/>
                <w:szCs w:val="24"/>
              </w:rPr>
              <w:t>februāra sēdes protokola Nr.</w:t>
            </w:r>
            <w:r>
              <w:rPr>
                <w:rFonts w:eastAsia="Calibri" w:cs="Times New Roman"/>
                <w:szCs w:val="24"/>
              </w:rPr>
              <w:t> </w:t>
            </w:r>
            <w:r w:rsidRPr="00B12B88">
              <w:rPr>
                <w:rFonts w:eastAsia="Calibri" w:cs="Times New Roman"/>
                <w:szCs w:val="24"/>
              </w:rPr>
              <w:t>6 1.</w:t>
            </w:r>
            <w:r>
              <w:rPr>
                <w:rFonts w:eastAsia="Calibri" w:cs="Times New Roman"/>
                <w:szCs w:val="24"/>
              </w:rPr>
              <w:t> </w:t>
            </w:r>
            <w:r w:rsidRPr="00B12B88">
              <w:rPr>
                <w:rFonts w:eastAsia="Calibri" w:cs="Times New Roman"/>
                <w:szCs w:val="24"/>
              </w:rPr>
              <w:t>§ 3.</w:t>
            </w:r>
            <w:r>
              <w:rPr>
                <w:rFonts w:eastAsia="Calibri" w:cs="Times New Roman"/>
                <w:szCs w:val="24"/>
              </w:rPr>
              <w:t> </w:t>
            </w:r>
            <w:r w:rsidRPr="00B12B88">
              <w:rPr>
                <w:rFonts w:eastAsia="Calibri" w:cs="Times New Roman"/>
                <w:szCs w:val="24"/>
              </w:rPr>
              <w:t>punktu</w:t>
            </w:r>
          </w:p>
        </w:tc>
        <w:tc>
          <w:tcPr>
            <w:tcW w:w="1701" w:type="dxa"/>
            <w:vAlign w:val="center"/>
          </w:tcPr>
          <w:p w14:paraId="08B0A97E"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32 026</w:t>
            </w:r>
          </w:p>
        </w:tc>
        <w:tc>
          <w:tcPr>
            <w:tcW w:w="1559" w:type="dxa"/>
          </w:tcPr>
          <w:p w14:paraId="7C6307BC" w14:textId="77777777" w:rsidR="006B1A68" w:rsidRPr="00B12B88" w:rsidRDefault="006B1A68" w:rsidP="006B1A68">
            <w:pPr>
              <w:spacing w:after="0" w:line="240" w:lineRule="auto"/>
              <w:jc w:val="center"/>
              <w:rPr>
                <w:rFonts w:eastAsia="Times New Roman" w:cs="Times New Roman"/>
                <w:szCs w:val="24"/>
              </w:rPr>
            </w:pPr>
          </w:p>
          <w:p w14:paraId="7E2CA3A4" w14:textId="77777777" w:rsidR="006B1A68" w:rsidRDefault="006B1A68" w:rsidP="006B1A68">
            <w:pPr>
              <w:spacing w:after="0" w:line="240" w:lineRule="auto"/>
              <w:jc w:val="center"/>
              <w:rPr>
                <w:rFonts w:eastAsia="Times New Roman" w:cs="Times New Roman"/>
                <w:szCs w:val="24"/>
              </w:rPr>
            </w:pPr>
          </w:p>
          <w:p w14:paraId="118EBD99" w14:textId="77777777" w:rsidR="006B1A68" w:rsidRDefault="006B1A68" w:rsidP="006B1A68">
            <w:pPr>
              <w:spacing w:after="0" w:line="240" w:lineRule="auto"/>
              <w:jc w:val="center"/>
              <w:rPr>
                <w:rFonts w:eastAsia="Times New Roman" w:cs="Times New Roman"/>
                <w:szCs w:val="24"/>
              </w:rPr>
            </w:pPr>
          </w:p>
          <w:p w14:paraId="2C0C432A"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276" w:type="dxa"/>
          </w:tcPr>
          <w:p w14:paraId="6D797F04" w14:textId="77777777" w:rsidR="006B1A68" w:rsidRPr="00B12B88" w:rsidRDefault="006B1A68" w:rsidP="006B1A68">
            <w:pPr>
              <w:spacing w:after="0" w:line="240" w:lineRule="auto"/>
              <w:jc w:val="right"/>
              <w:rPr>
                <w:rFonts w:eastAsia="Times New Roman" w:cs="Times New Roman"/>
                <w:szCs w:val="24"/>
              </w:rPr>
            </w:pPr>
          </w:p>
          <w:p w14:paraId="690AB7B5" w14:textId="77777777" w:rsidR="006B1A68" w:rsidRDefault="006B1A68" w:rsidP="006B1A68">
            <w:pPr>
              <w:spacing w:after="0" w:line="240" w:lineRule="auto"/>
              <w:jc w:val="right"/>
              <w:rPr>
                <w:rFonts w:eastAsia="Times New Roman" w:cs="Times New Roman"/>
                <w:szCs w:val="24"/>
              </w:rPr>
            </w:pPr>
          </w:p>
          <w:p w14:paraId="5B369350" w14:textId="77777777" w:rsidR="006B1A68" w:rsidRDefault="006B1A68" w:rsidP="006B1A68">
            <w:pPr>
              <w:spacing w:after="0" w:line="240" w:lineRule="auto"/>
              <w:jc w:val="right"/>
              <w:rPr>
                <w:rFonts w:eastAsia="Times New Roman" w:cs="Times New Roman"/>
                <w:szCs w:val="24"/>
              </w:rPr>
            </w:pPr>
          </w:p>
          <w:p w14:paraId="57BE47DE"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-32 026</w:t>
            </w:r>
          </w:p>
        </w:tc>
      </w:tr>
      <w:tr w:rsidR="006B1A68" w:rsidRPr="00B12B88" w14:paraId="3FBA4A23" w14:textId="77777777" w:rsidTr="006B1A68">
        <w:trPr>
          <w:trHeight w:val="142"/>
          <w:jc w:val="center"/>
        </w:trPr>
        <w:tc>
          <w:tcPr>
            <w:tcW w:w="4390" w:type="dxa"/>
          </w:tcPr>
          <w:p w14:paraId="2AD4B5B4"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szCs w:val="24"/>
                <w:lang w:eastAsia="lv-LV"/>
              </w:rPr>
              <w:t>Samazināti izdevumi 2019.</w:t>
            </w:r>
            <w:r>
              <w:rPr>
                <w:rFonts w:eastAsia="Times New Roman" w:cs="Times New Roman"/>
                <w:szCs w:val="24"/>
                <w:lang w:eastAsia="lv-LV"/>
              </w:rPr>
              <w:t> </w:t>
            </w:r>
            <w:r w:rsidRPr="00B12B88">
              <w:rPr>
                <w:rFonts w:eastAsia="Times New Roman" w:cs="Times New Roman"/>
                <w:szCs w:val="24"/>
                <w:lang w:eastAsia="lv-LV"/>
              </w:rPr>
              <w:t xml:space="preserve">gada prioritārajam pasākumam “Prokuratūras drošības sistēmu un to tehnisko risinājumu atjaunošana Nacionālās drošības koncepcijā izvirzīto Latvijas prioritāšu īstenošanas veicināšanai un normatīvo aktu prasību drošības jautājumos ievērošanai” saskaņā ar </w:t>
            </w:r>
            <w:r w:rsidRPr="00B12B88">
              <w:rPr>
                <w:rFonts w:eastAsia="Calibri" w:cs="Times New Roman"/>
                <w:szCs w:val="24"/>
              </w:rPr>
              <w:t>Ministru kabineta 2019.</w:t>
            </w:r>
            <w:r>
              <w:rPr>
                <w:rFonts w:eastAsia="Calibri" w:cs="Times New Roman"/>
                <w:szCs w:val="24"/>
              </w:rPr>
              <w:t> </w:t>
            </w:r>
            <w:r w:rsidRPr="00B12B88">
              <w:rPr>
                <w:rFonts w:eastAsia="Calibri" w:cs="Times New Roman"/>
                <w:szCs w:val="24"/>
              </w:rPr>
              <w:t>gada 8.</w:t>
            </w:r>
            <w:r>
              <w:rPr>
                <w:rFonts w:eastAsia="Calibri" w:cs="Times New Roman"/>
                <w:szCs w:val="24"/>
              </w:rPr>
              <w:t> </w:t>
            </w:r>
            <w:r w:rsidRPr="00B12B88">
              <w:rPr>
                <w:rFonts w:eastAsia="Calibri" w:cs="Times New Roman"/>
                <w:szCs w:val="24"/>
              </w:rPr>
              <w:t>februāra sēdes protokola Nr.</w:t>
            </w:r>
            <w:r>
              <w:rPr>
                <w:rFonts w:eastAsia="Calibri" w:cs="Times New Roman"/>
                <w:szCs w:val="24"/>
              </w:rPr>
              <w:t> </w:t>
            </w:r>
            <w:r w:rsidRPr="00B12B88">
              <w:rPr>
                <w:rFonts w:eastAsia="Calibri" w:cs="Times New Roman"/>
                <w:szCs w:val="24"/>
              </w:rPr>
              <w:t>6 1.</w:t>
            </w:r>
            <w:r>
              <w:rPr>
                <w:rFonts w:eastAsia="Calibri" w:cs="Times New Roman"/>
                <w:szCs w:val="24"/>
              </w:rPr>
              <w:t> </w:t>
            </w:r>
            <w:r w:rsidRPr="00B12B88">
              <w:rPr>
                <w:rFonts w:eastAsia="Calibri" w:cs="Times New Roman"/>
                <w:szCs w:val="24"/>
              </w:rPr>
              <w:t>§ 3.</w:t>
            </w:r>
            <w:r>
              <w:rPr>
                <w:rFonts w:eastAsia="Calibri" w:cs="Times New Roman"/>
                <w:szCs w:val="24"/>
              </w:rPr>
              <w:t> </w:t>
            </w:r>
            <w:r w:rsidRPr="00B12B88">
              <w:rPr>
                <w:rFonts w:eastAsia="Calibri" w:cs="Times New Roman"/>
                <w:szCs w:val="24"/>
              </w:rPr>
              <w:t>punktu</w:t>
            </w:r>
          </w:p>
        </w:tc>
        <w:tc>
          <w:tcPr>
            <w:tcW w:w="1701" w:type="dxa"/>
            <w:vAlign w:val="center"/>
          </w:tcPr>
          <w:p w14:paraId="3D4B9415" w14:textId="77777777" w:rsidR="006B1A68" w:rsidRDefault="006B1A68" w:rsidP="006B1A68">
            <w:pPr>
              <w:spacing w:after="0" w:line="240" w:lineRule="auto"/>
              <w:jc w:val="right"/>
              <w:rPr>
                <w:rFonts w:eastAsia="Times New Roman" w:cs="Times New Roman"/>
                <w:szCs w:val="24"/>
              </w:rPr>
            </w:pPr>
          </w:p>
          <w:p w14:paraId="177CAD5E"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51 109</w:t>
            </w:r>
          </w:p>
        </w:tc>
        <w:tc>
          <w:tcPr>
            <w:tcW w:w="1559" w:type="dxa"/>
          </w:tcPr>
          <w:p w14:paraId="2513AA6B" w14:textId="77777777" w:rsidR="006B1A68" w:rsidRPr="00B12B88" w:rsidRDefault="006B1A68" w:rsidP="006B1A68">
            <w:pPr>
              <w:spacing w:after="0" w:line="240" w:lineRule="auto"/>
              <w:rPr>
                <w:rFonts w:eastAsia="Times New Roman" w:cs="Times New Roman"/>
                <w:szCs w:val="24"/>
              </w:rPr>
            </w:pPr>
          </w:p>
          <w:p w14:paraId="7E7D9858" w14:textId="77777777" w:rsidR="006B1A68" w:rsidRDefault="006B1A68" w:rsidP="006B1A68">
            <w:pPr>
              <w:spacing w:after="0" w:line="240" w:lineRule="auto"/>
              <w:jc w:val="center"/>
              <w:rPr>
                <w:rFonts w:eastAsia="Times New Roman" w:cs="Times New Roman"/>
                <w:szCs w:val="24"/>
              </w:rPr>
            </w:pPr>
          </w:p>
          <w:p w14:paraId="7F0D8783" w14:textId="77777777" w:rsidR="006B435D" w:rsidRDefault="006B435D" w:rsidP="006B1A68">
            <w:pPr>
              <w:spacing w:after="0" w:line="240" w:lineRule="auto"/>
              <w:jc w:val="center"/>
              <w:rPr>
                <w:rFonts w:eastAsia="Times New Roman" w:cs="Times New Roman"/>
                <w:szCs w:val="24"/>
              </w:rPr>
            </w:pPr>
          </w:p>
          <w:p w14:paraId="442785A6" w14:textId="77777777" w:rsidR="006B435D" w:rsidRDefault="006B435D" w:rsidP="006B1A68">
            <w:pPr>
              <w:spacing w:after="0" w:line="240" w:lineRule="auto"/>
              <w:jc w:val="center"/>
              <w:rPr>
                <w:rFonts w:eastAsia="Times New Roman" w:cs="Times New Roman"/>
                <w:szCs w:val="24"/>
              </w:rPr>
            </w:pPr>
          </w:p>
          <w:p w14:paraId="7E252A64" w14:textId="77777777" w:rsidR="006B435D" w:rsidRDefault="006B435D" w:rsidP="006B1A68">
            <w:pPr>
              <w:spacing w:after="0" w:line="240" w:lineRule="auto"/>
              <w:jc w:val="center"/>
              <w:rPr>
                <w:rFonts w:eastAsia="Times New Roman" w:cs="Times New Roman"/>
                <w:szCs w:val="24"/>
              </w:rPr>
            </w:pPr>
          </w:p>
          <w:p w14:paraId="334A6121" w14:textId="3B3F1569"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276" w:type="dxa"/>
          </w:tcPr>
          <w:p w14:paraId="477CFDE3" w14:textId="77777777" w:rsidR="006B1A68" w:rsidRPr="00B12B88" w:rsidRDefault="006B1A68" w:rsidP="006B1A68">
            <w:pPr>
              <w:spacing w:after="0" w:line="240" w:lineRule="auto"/>
              <w:rPr>
                <w:rFonts w:eastAsia="Times New Roman" w:cs="Times New Roman"/>
                <w:szCs w:val="24"/>
              </w:rPr>
            </w:pPr>
          </w:p>
          <w:p w14:paraId="2124D192" w14:textId="77777777" w:rsidR="006B1A68" w:rsidRDefault="006B1A68" w:rsidP="006B1A68">
            <w:pPr>
              <w:spacing w:after="0" w:line="240" w:lineRule="auto"/>
              <w:rPr>
                <w:rFonts w:eastAsia="Times New Roman" w:cs="Times New Roman"/>
                <w:szCs w:val="24"/>
              </w:rPr>
            </w:pPr>
          </w:p>
          <w:p w14:paraId="6E734740" w14:textId="77777777" w:rsidR="006B435D" w:rsidRDefault="006B435D" w:rsidP="006B1A68">
            <w:pPr>
              <w:spacing w:after="0" w:line="240" w:lineRule="auto"/>
              <w:jc w:val="right"/>
              <w:rPr>
                <w:rFonts w:eastAsia="Times New Roman" w:cs="Times New Roman"/>
                <w:szCs w:val="24"/>
              </w:rPr>
            </w:pPr>
          </w:p>
          <w:p w14:paraId="1657F42C" w14:textId="77777777" w:rsidR="006B435D" w:rsidRDefault="006B435D" w:rsidP="006B1A68">
            <w:pPr>
              <w:spacing w:after="0" w:line="240" w:lineRule="auto"/>
              <w:jc w:val="right"/>
              <w:rPr>
                <w:rFonts w:eastAsia="Times New Roman" w:cs="Times New Roman"/>
                <w:szCs w:val="24"/>
              </w:rPr>
            </w:pPr>
          </w:p>
          <w:p w14:paraId="544475BD" w14:textId="77777777" w:rsidR="006B435D" w:rsidRDefault="006B435D" w:rsidP="006B1A68">
            <w:pPr>
              <w:spacing w:after="0" w:line="240" w:lineRule="auto"/>
              <w:jc w:val="right"/>
              <w:rPr>
                <w:rFonts w:eastAsia="Times New Roman" w:cs="Times New Roman"/>
                <w:szCs w:val="24"/>
              </w:rPr>
            </w:pPr>
          </w:p>
          <w:p w14:paraId="1C889B4B" w14:textId="473EEE30"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-51 109</w:t>
            </w:r>
          </w:p>
        </w:tc>
      </w:tr>
      <w:tr w:rsidR="006B1A68" w:rsidRPr="00B12B88" w14:paraId="5517FB0F" w14:textId="77777777" w:rsidTr="006B1A68">
        <w:trPr>
          <w:trHeight w:val="142"/>
          <w:jc w:val="center"/>
        </w:trPr>
        <w:tc>
          <w:tcPr>
            <w:tcW w:w="4390" w:type="dxa"/>
          </w:tcPr>
          <w:p w14:paraId="68BAFBE7" w14:textId="77777777" w:rsidR="006B1A68" w:rsidRPr="00B12B88" w:rsidRDefault="006B1A68" w:rsidP="006B1A68">
            <w:pPr>
              <w:spacing w:after="0" w:line="240" w:lineRule="auto"/>
              <w:rPr>
                <w:rFonts w:eastAsia="Times New Roman" w:cs="Times New Roman"/>
                <w:szCs w:val="24"/>
                <w:lang w:eastAsia="lv-LV"/>
              </w:rPr>
            </w:pPr>
            <w:r w:rsidRPr="00B12B88">
              <w:rPr>
                <w:rFonts w:eastAsia="Times New Roman" w:cs="Times New Roman"/>
                <w:bCs/>
                <w:szCs w:val="24"/>
              </w:rPr>
              <w:t>Samazināti izdevumi 2017.</w:t>
            </w:r>
            <w:r>
              <w:rPr>
                <w:rFonts w:eastAsia="Times New Roman" w:cs="Times New Roman"/>
                <w:bCs/>
                <w:szCs w:val="24"/>
              </w:rPr>
              <w:t> </w:t>
            </w:r>
            <w:r w:rsidRPr="00B12B88">
              <w:rPr>
                <w:rFonts w:eastAsia="Times New Roman" w:cs="Times New Roman"/>
                <w:bCs/>
                <w:szCs w:val="24"/>
              </w:rPr>
              <w:t>gada jaunajai politikas iniciatīvai “Prokuratūras drošības sistēmu un to tehnisko risinājumu atjaunošana Nacionālās drošības koncepcijā izvirzīto Latvijas prioritāšu īstenošanas veicināšanai un normatīvo aktu prasību drošības jautājumos ievērošanai”</w:t>
            </w:r>
          </w:p>
        </w:tc>
        <w:tc>
          <w:tcPr>
            <w:tcW w:w="1701" w:type="dxa"/>
          </w:tcPr>
          <w:p w14:paraId="685EA8EE" w14:textId="77777777" w:rsidR="006B1A68" w:rsidRPr="00B12B88" w:rsidRDefault="006B1A68" w:rsidP="006B1A68">
            <w:pPr>
              <w:spacing w:after="0" w:line="240" w:lineRule="auto"/>
              <w:jc w:val="right"/>
              <w:rPr>
                <w:rFonts w:eastAsia="Times New Roman" w:cs="Times New Roman"/>
                <w:szCs w:val="24"/>
              </w:rPr>
            </w:pPr>
          </w:p>
          <w:p w14:paraId="12838E67" w14:textId="77777777" w:rsidR="006B1A68" w:rsidRPr="00B12B88" w:rsidRDefault="006B1A68" w:rsidP="006B1A68">
            <w:pPr>
              <w:spacing w:after="0" w:line="240" w:lineRule="auto"/>
              <w:jc w:val="right"/>
              <w:rPr>
                <w:rFonts w:eastAsia="Times New Roman" w:cs="Times New Roman"/>
                <w:szCs w:val="24"/>
              </w:rPr>
            </w:pPr>
          </w:p>
          <w:p w14:paraId="5BFAB406"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30 363</w:t>
            </w:r>
          </w:p>
        </w:tc>
        <w:tc>
          <w:tcPr>
            <w:tcW w:w="1559" w:type="dxa"/>
          </w:tcPr>
          <w:p w14:paraId="3BD92345" w14:textId="77777777" w:rsidR="006B1A68" w:rsidRPr="00B12B88" w:rsidRDefault="006B1A68" w:rsidP="006B1A68">
            <w:pPr>
              <w:spacing w:after="0" w:line="240" w:lineRule="auto"/>
              <w:jc w:val="right"/>
              <w:rPr>
                <w:rFonts w:eastAsia="Times New Roman" w:cs="Times New Roman"/>
                <w:szCs w:val="24"/>
              </w:rPr>
            </w:pPr>
          </w:p>
          <w:p w14:paraId="142AE6C9" w14:textId="77777777" w:rsidR="006B1A68" w:rsidRPr="00B12B88" w:rsidRDefault="006B1A68" w:rsidP="006B1A68">
            <w:pPr>
              <w:spacing w:after="0" w:line="240" w:lineRule="auto"/>
              <w:jc w:val="right"/>
              <w:rPr>
                <w:rFonts w:eastAsia="Times New Roman" w:cs="Times New Roman"/>
                <w:szCs w:val="24"/>
              </w:rPr>
            </w:pPr>
          </w:p>
          <w:p w14:paraId="4CE462E4" w14:textId="77777777" w:rsidR="006B1A68" w:rsidRPr="00B12B88" w:rsidRDefault="006B1A68" w:rsidP="006B1A68">
            <w:pPr>
              <w:spacing w:after="0" w:line="240" w:lineRule="auto"/>
              <w:jc w:val="center"/>
              <w:rPr>
                <w:rFonts w:eastAsia="Times New Roman" w:cs="Times New Roman"/>
                <w:szCs w:val="24"/>
              </w:rPr>
            </w:pPr>
            <w:r w:rsidRPr="00B12B88">
              <w:rPr>
                <w:rFonts w:eastAsia="Times New Roman" w:cs="Times New Roman"/>
                <w:szCs w:val="24"/>
              </w:rPr>
              <w:t>-</w:t>
            </w:r>
          </w:p>
        </w:tc>
        <w:tc>
          <w:tcPr>
            <w:tcW w:w="1276" w:type="dxa"/>
          </w:tcPr>
          <w:p w14:paraId="70B2B5AB" w14:textId="77777777" w:rsidR="006B1A68" w:rsidRPr="00B12B88" w:rsidRDefault="006B1A68" w:rsidP="006B1A68">
            <w:pPr>
              <w:spacing w:after="0" w:line="240" w:lineRule="auto"/>
              <w:jc w:val="right"/>
              <w:rPr>
                <w:rFonts w:eastAsia="Times New Roman" w:cs="Times New Roman"/>
                <w:szCs w:val="24"/>
              </w:rPr>
            </w:pPr>
          </w:p>
          <w:p w14:paraId="12F05018" w14:textId="77777777" w:rsidR="006B1A68" w:rsidRPr="00B12B88" w:rsidRDefault="006B1A68" w:rsidP="006B1A68">
            <w:pPr>
              <w:spacing w:after="0" w:line="240" w:lineRule="auto"/>
              <w:jc w:val="right"/>
              <w:rPr>
                <w:rFonts w:eastAsia="Times New Roman" w:cs="Times New Roman"/>
                <w:szCs w:val="24"/>
              </w:rPr>
            </w:pPr>
          </w:p>
          <w:p w14:paraId="283D5CA5" w14:textId="77777777" w:rsidR="006B1A68" w:rsidRPr="00B12B88" w:rsidRDefault="006B1A68" w:rsidP="006B1A68">
            <w:pPr>
              <w:spacing w:after="0" w:line="240" w:lineRule="auto"/>
              <w:jc w:val="right"/>
              <w:rPr>
                <w:rFonts w:eastAsia="Times New Roman" w:cs="Times New Roman"/>
                <w:szCs w:val="24"/>
              </w:rPr>
            </w:pPr>
            <w:r w:rsidRPr="00B12B88">
              <w:rPr>
                <w:rFonts w:eastAsia="Times New Roman" w:cs="Times New Roman"/>
                <w:szCs w:val="24"/>
              </w:rPr>
              <w:t>-30 363</w:t>
            </w:r>
          </w:p>
        </w:tc>
      </w:tr>
    </w:tbl>
    <w:p w14:paraId="1407557B" w14:textId="7540AE0A" w:rsidR="00C01ACA" w:rsidRDefault="00C01ACA" w:rsidP="006B1A68">
      <w:pPr>
        <w:spacing w:after="200" w:line="276" w:lineRule="auto"/>
        <w:contextualSpacing/>
        <w:rPr>
          <w:rFonts w:eastAsia="Calibri" w:cs="Times New Roman"/>
          <w:b/>
          <w:bCs/>
          <w:color w:val="000000"/>
          <w:szCs w:val="24"/>
          <w:highlight w:val="yellow"/>
          <w:lang w:eastAsia="lv-LV"/>
        </w:rPr>
      </w:pPr>
    </w:p>
    <w:p w14:paraId="4D61B71C" w14:textId="77777777" w:rsidR="00C01ACA" w:rsidRDefault="00C01ACA">
      <w:pPr>
        <w:rPr>
          <w:rFonts w:eastAsia="Calibri" w:cs="Times New Roman"/>
          <w:b/>
          <w:bCs/>
          <w:color w:val="000000"/>
          <w:szCs w:val="24"/>
          <w:highlight w:val="yellow"/>
          <w:lang w:eastAsia="lv-LV"/>
        </w:rPr>
      </w:pPr>
      <w:r>
        <w:rPr>
          <w:rFonts w:eastAsia="Calibri" w:cs="Times New Roman"/>
          <w:b/>
          <w:bCs/>
          <w:color w:val="000000"/>
          <w:szCs w:val="24"/>
          <w:highlight w:val="yellow"/>
          <w:lang w:eastAsia="lv-LV"/>
        </w:rPr>
        <w:br w:type="page"/>
      </w:r>
    </w:p>
    <w:p w14:paraId="7866F9CA" w14:textId="77777777" w:rsidR="006B1A68" w:rsidRPr="00B12B88" w:rsidRDefault="006B1A68" w:rsidP="006B1A68">
      <w:pPr>
        <w:tabs>
          <w:tab w:val="left" w:pos="6237"/>
        </w:tabs>
        <w:spacing w:after="0" w:line="240" w:lineRule="auto"/>
        <w:jc w:val="center"/>
        <w:rPr>
          <w:rFonts w:eastAsia="Calibri" w:cs="Times New Roman"/>
          <w:b/>
          <w:caps/>
          <w:szCs w:val="24"/>
        </w:rPr>
      </w:pPr>
      <w:r w:rsidRPr="00B12B88">
        <w:rPr>
          <w:rFonts w:eastAsia="Calibri" w:cs="Times New Roman"/>
          <w:b/>
          <w:caps/>
          <w:szCs w:val="24"/>
        </w:rPr>
        <w:lastRenderedPageBreak/>
        <w:t>Paskaidrojums par valsts budžeta izdevumu izpildi 2020. gadĀ</w:t>
      </w:r>
    </w:p>
    <w:p w14:paraId="2189BDBC" w14:textId="77777777" w:rsidR="006B1A68" w:rsidRPr="00B12B88" w:rsidRDefault="006B1A68" w:rsidP="006B1A68">
      <w:pPr>
        <w:tabs>
          <w:tab w:val="left" w:pos="0"/>
        </w:tabs>
        <w:spacing w:after="0" w:line="240" w:lineRule="auto"/>
        <w:rPr>
          <w:rFonts w:eastAsia="Calibri" w:cs="Times New Roman"/>
          <w:szCs w:val="24"/>
          <w:highlight w:val="yellow"/>
        </w:rPr>
      </w:pPr>
    </w:p>
    <w:p w14:paraId="3C4098CF" w14:textId="77777777" w:rsidR="006B1A68" w:rsidRPr="00B12B88" w:rsidRDefault="006B1A68" w:rsidP="006B1A68">
      <w:pPr>
        <w:spacing w:after="0" w:line="240" w:lineRule="auto"/>
        <w:jc w:val="both"/>
        <w:rPr>
          <w:rFonts w:eastAsia="Calibri" w:cs="Times New Roman"/>
          <w:b/>
          <w:szCs w:val="24"/>
        </w:rPr>
      </w:pPr>
      <w:r w:rsidRPr="00B12B88">
        <w:rPr>
          <w:rFonts w:eastAsia="Calibri" w:cs="Times New Roman"/>
          <w:b/>
          <w:szCs w:val="24"/>
        </w:rPr>
        <w:t>Galvenie pārskata perioda pasākumi, kuriem ir novirzīti Prokuratūras izdevumi:</w:t>
      </w:r>
    </w:p>
    <w:p w14:paraId="153309EE" w14:textId="77777777" w:rsidR="006B1A68" w:rsidRPr="00B12B88" w:rsidRDefault="006B1A68" w:rsidP="006B1A68">
      <w:pPr>
        <w:tabs>
          <w:tab w:val="left" w:pos="13892"/>
        </w:tabs>
        <w:spacing w:before="40" w:after="0" w:line="240" w:lineRule="auto"/>
        <w:ind w:firstLine="709"/>
        <w:jc w:val="both"/>
        <w:rPr>
          <w:rFonts w:eastAsia="Calibri" w:cs="Times New Roman"/>
          <w:szCs w:val="24"/>
        </w:rPr>
      </w:pPr>
      <w:r w:rsidRPr="00B12B88">
        <w:rPr>
          <w:rFonts w:eastAsia="Calibri" w:cs="Times New Roman"/>
          <w:szCs w:val="24"/>
        </w:rPr>
        <w:t>1) Prokuroru un darbinieku atalgojuma izmaksa;</w:t>
      </w:r>
    </w:p>
    <w:p w14:paraId="6210A2EF" w14:textId="77777777" w:rsidR="006B1A68" w:rsidRPr="00B12B88" w:rsidRDefault="006B1A68" w:rsidP="006B1A68">
      <w:pPr>
        <w:tabs>
          <w:tab w:val="left" w:pos="13892"/>
        </w:tabs>
        <w:spacing w:before="40" w:after="0" w:line="240" w:lineRule="auto"/>
        <w:ind w:firstLine="709"/>
        <w:jc w:val="both"/>
        <w:rPr>
          <w:rFonts w:eastAsia="Calibri" w:cs="Times New Roman"/>
          <w:szCs w:val="24"/>
        </w:rPr>
      </w:pPr>
      <w:r w:rsidRPr="00B12B88">
        <w:rPr>
          <w:rFonts w:eastAsia="Calibri" w:cs="Times New Roman"/>
          <w:szCs w:val="24"/>
        </w:rPr>
        <w:t>2) Prokuratūras struktūrvienību uzturēšana (telpu noma, komunālie izdevumi, sakaru pakalpojumi</w:t>
      </w:r>
      <w:r>
        <w:rPr>
          <w:rFonts w:eastAsia="Calibri" w:cs="Times New Roman"/>
          <w:szCs w:val="24"/>
        </w:rPr>
        <w:t xml:space="preserve"> </w:t>
      </w:r>
      <w:r w:rsidRPr="00B12B88">
        <w:rPr>
          <w:rFonts w:eastAsia="Calibri" w:cs="Times New Roman"/>
          <w:szCs w:val="24"/>
        </w:rPr>
        <w:t>u.</w:t>
      </w:r>
      <w:r>
        <w:rPr>
          <w:rFonts w:eastAsia="Calibri" w:cs="Times New Roman"/>
          <w:szCs w:val="24"/>
        </w:rPr>
        <w:t> </w:t>
      </w:r>
      <w:r w:rsidRPr="00B12B88">
        <w:rPr>
          <w:rFonts w:eastAsia="Calibri" w:cs="Times New Roman"/>
          <w:szCs w:val="24"/>
        </w:rPr>
        <w:t>c.);</w:t>
      </w:r>
    </w:p>
    <w:p w14:paraId="3347A2DC" w14:textId="77777777" w:rsidR="006B1A68" w:rsidRPr="00B12B88" w:rsidRDefault="006B1A68" w:rsidP="006B1A68">
      <w:pPr>
        <w:tabs>
          <w:tab w:val="left" w:pos="13892"/>
        </w:tabs>
        <w:spacing w:before="40" w:after="0" w:line="240" w:lineRule="auto"/>
        <w:ind w:firstLine="709"/>
        <w:jc w:val="both"/>
        <w:rPr>
          <w:rFonts w:eastAsia="Calibri" w:cs="Times New Roman"/>
          <w:bCs/>
          <w:iCs/>
          <w:szCs w:val="24"/>
        </w:rPr>
      </w:pPr>
      <w:r w:rsidRPr="00B12B88">
        <w:rPr>
          <w:rFonts w:eastAsia="Calibri" w:cs="Times New Roman"/>
          <w:szCs w:val="24"/>
        </w:rPr>
        <w:t xml:space="preserve">3) </w:t>
      </w:r>
      <w:r w:rsidRPr="00B12B88">
        <w:rPr>
          <w:rFonts w:eastAsia="Calibri" w:cs="Times New Roman"/>
          <w:bCs/>
          <w:iCs/>
          <w:szCs w:val="24"/>
        </w:rPr>
        <w:t>Prokuratūras informācijas tehnoloģiju infrastruktūras drošības līmeņa uzturēšana un pilnveidošana;</w:t>
      </w:r>
    </w:p>
    <w:p w14:paraId="5E3FAB4F" w14:textId="77777777" w:rsidR="006B1A68" w:rsidRPr="00B12B88" w:rsidRDefault="006B1A68" w:rsidP="006B1A68">
      <w:pPr>
        <w:tabs>
          <w:tab w:val="left" w:pos="13892"/>
        </w:tabs>
        <w:spacing w:before="40" w:after="0" w:line="240" w:lineRule="auto"/>
        <w:ind w:firstLine="709"/>
        <w:jc w:val="both"/>
        <w:rPr>
          <w:rFonts w:eastAsia="Calibri" w:cs="Times New Roman"/>
          <w:bCs/>
          <w:iCs/>
          <w:szCs w:val="24"/>
        </w:rPr>
      </w:pPr>
      <w:r w:rsidRPr="00B12B88">
        <w:rPr>
          <w:rFonts w:eastAsia="Calibri" w:cs="Times New Roman"/>
          <w:bCs/>
          <w:iCs/>
          <w:szCs w:val="24"/>
        </w:rPr>
        <w:t>4) Prokuratūras informācijas sistēmas PROIS uzturēšana un pilnveidošana;</w:t>
      </w:r>
    </w:p>
    <w:p w14:paraId="4B9BEA4A" w14:textId="77777777" w:rsidR="006B1A68" w:rsidRPr="00B12B88" w:rsidRDefault="006B1A68" w:rsidP="006B1A68">
      <w:pPr>
        <w:tabs>
          <w:tab w:val="left" w:pos="13892"/>
        </w:tabs>
        <w:spacing w:before="40" w:after="0" w:line="240" w:lineRule="auto"/>
        <w:ind w:firstLine="709"/>
        <w:jc w:val="both"/>
        <w:rPr>
          <w:rFonts w:eastAsia="Calibri" w:cs="Times New Roman"/>
          <w:szCs w:val="24"/>
        </w:rPr>
      </w:pPr>
      <w:r w:rsidRPr="00B12B88">
        <w:rPr>
          <w:rFonts w:eastAsia="Calibri" w:cs="Times New Roman"/>
          <w:szCs w:val="24"/>
        </w:rPr>
        <w:t>5) Prokuratūras struktūrvienību materiāltehniskais nodrošinājums, t.sk. veikts jaunas Prokuratūras administratīvās ēkas Aspazijas bulvārī</w:t>
      </w:r>
      <w:r>
        <w:rPr>
          <w:rFonts w:eastAsia="Calibri" w:cs="Times New Roman"/>
          <w:szCs w:val="24"/>
        </w:rPr>
        <w:t> </w:t>
      </w:r>
      <w:r w:rsidRPr="00B12B88">
        <w:rPr>
          <w:rFonts w:eastAsia="Calibri" w:cs="Times New Roman"/>
          <w:szCs w:val="24"/>
        </w:rPr>
        <w:t>7, Rīgā</w:t>
      </w:r>
      <w:r>
        <w:rPr>
          <w:rFonts w:eastAsia="Calibri" w:cs="Times New Roman"/>
          <w:szCs w:val="24"/>
        </w:rPr>
        <w:t>,</w:t>
      </w:r>
      <w:r w:rsidRPr="00B12B88">
        <w:rPr>
          <w:rFonts w:eastAsia="Calibri" w:cs="Times New Roman"/>
          <w:szCs w:val="24"/>
        </w:rPr>
        <w:t xml:space="preserve"> pilns aprīkojums pēc ēkas renovācijas.   </w:t>
      </w:r>
    </w:p>
    <w:p w14:paraId="3777E4A3" w14:textId="77777777" w:rsidR="006B1A68" w:rsidRPr="00B12B88" w:rsidRDefault="006B1A68" w:rsidP="006B1A68">
      <w:pPr>
        <w:spacing w:after="0" w:line="240" w:lineRule="auto"/>
        <w:jc w:val="both"/>
        <w:rPr>
          <w:rFonts w:eastAsia="Calibri" w:cs="Times New Roman"/>
          <w:szCs w:val="24"/>
        </w:rPr>
      </w:pPr>
    </w:p>
    <w:p w14:paraId="0D8B0D32" w14:textId="77777777" w:rsidR="006B1A68" w:rsidRPr="00A73554" w:rsidRDefault="006B1A68" w:rsidP="006B1A68">
      <w:pPr>
        <w:pStyle w:val="ListParagraph"/>
        <w:numPr>
          <w:ilvl w:val="0"/>
          <w:numId w:val="43"/>
        </w:numPr>
        <w:tabs>
          <w:tab w:val="left" w:pos="0"/>
        </w:tabs>
        <w:spacing w:after="0" w:line="240" w:lineRule="auto"/>
        <w:rPr>
          <w:rFonts w:eastAsia="Calibri" w:cs="Times New Roman"/>
          <w:szCs w:val="24"/>
        </w:rPr>
      </w:pPr>
      <w:r w:rsidRPr="00A73554">
        <w:rPr>
          <w:rFonts w:eastAsia="Calibri" w:cs="Times New Roman"/>
          <w:b/>
          <w:szCs w:val="24"/>
        </w:rPr>
        <w:t>Valsts pamatfunkciju īstenošana</w:t>
      </w:r>
    </w:p>
    <w:p w14:paraId="2A85F1AF" w14:textId="77777777" w:rsidR="006B1A68" w:rsidRPr="00B12B88" w:rsidRDefault="006B1A68" w:rsidP="006B1A68">
      <w:pPr>
        <w:tabs>
          <w:tab w:val="left" w:pos="0"/>
        </w:tabs>
        <w:spacing w:after="0" w:line="240" w:lineRule="auto"/>
        <w:rPr>
          <w:rFonts w:eastAsia="Calibri" w:cs="Times New Roman"/>
          <w:szCs w:val="24"/>
        </w:rPr>
      </w:pPr>
    </w:p>
    <w:tbl>
      <w:tblPr>
        <w:tblStyle w:val="TableGrid5"/>
        <w:tblW w:w="8930" w:type="dxa"/>
        <w:tblInd w:w="137" w:type="dxa"/>
        <w:tblLayout w:type="fixed"/>
        <w:tblLook w:val="04A0" w:firstRow="1" w:lastRow="0" w:firstColumn="1" w:lastColumn="0" w:noHBand="0" w:noVBand="1"/>
      </w:tblPr>
      <w:tblGrid>
        <w:gridCol w:w="2835"/>
        <w:gridCol w:w="6095"/>
      </w:tblGrid>
      <w:tr w:rsidR="006B1A68" w:rsidRPr="00B12B88" w14:paraId="36F199EE" w14:textId="77777777" w:rsidTr="006B1A68">
        <w:tc>
          <w:tcPr>
            <w:tcW w:w="2835" w:type="dxa"/>
          </w:tcPr>
          <w:p w14:paraId="6F959B17" w14:textId="77777777" w:rsidR="006B1A68" w:rsidRPr="00B12B88" w:rsidRDefault="006B1A68" w:rsidP="006B1A68">
            <w:pPr>
              <w:tabs>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Pr>
                <w:rFonts w:ascii="Times New Roman" w:eastAsia="Calibri" w:hAnsi="Times New Roman" w:cs="Times New Roman"/>
                <w:b/>
                <w:sz w:val="24"/>
                <w:szCs w:val="24"/>
              </w:rPr>
              <w:t xml:space="preserve"> </w:t>
            </w:r>
            <w:r w:rsidRPr="00B12B88">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w:t>
            </w:r>
            <w:r w:rsidRPr="00B12B88">
              <w:rPr>
                <w:rFonts w:ascii="Times New Roman" w:eastAsia="Calibri" w:hAnsi="Times New Roman" w:cs="Times New Roman"/>
                <w:b/>
                <w:sz w:val="24"/>
                <w:szCs w:val="24"/>
              </w:rPr>
              <w:t>apakšprogrammas kods</w:t>
            </w:r>
          </w:p>
          <w:p w14:paraId="596BBD5C" w14:textId="77777777" w:rsidR="006B1A68" w:rsidRPr="00B12B88" w:rsidRDefault="006B1A68" w:rsidP="006B1A68">
            <w:pPr>
              <w:tabs>
                <w:tab w:val="left" w:pos="6694"/>
              </w:tabs>
              <w:spacing w:before="60" w:after="120"/>
              <w:jc w:val="center"/>
              <w:rPr>
                <w:rFonts w:ascii="Times New Roman" w:eastAsia="Calibri" w:hAnsi="Times New Roman" w:cs="Times New Roman"/>
                <w:b/>
                <w:sz w:val="24"/>
                <w:szCs w:val="24"/>
                <w:u w:val="single"/>
              </w:rPr>
            </w:pPr>
            <w:r w:rsidRPr="00B12B88">
              <w:rPr>
                <w:rFonts w:ascii="Times New Roman" w:eastAsia="Calibri" w:hAnsi="Times New Roman" w:cs="Times New Roman"/>
                <w:b/>
                <w:sz w:val="24"/>
                <w:szCs w:val="24"/>
                <w:u w:val="single"/>
              </w:rPr>
              <w:t>01.00.00</w:t>
            </w:r>
          </w:p>
        </w:tc>
        <w:tc>
          <w:tcPr>
            <w:tcW w:w="6095" w:type="dxa"/>
          </w:tcPr>
          <w:p w14:paraId="154C63F1" w14:textId="77777777" w:rsidR="006B1A68" w:rsidRPr="00B12B88" w:rsidRDefault="006B1A68" w:rsidP="006B1A68">
            <w:pPr>
              <w:tabs>
                <w:tab w:val="left" w:pos="993"/>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sidRPr="00B12B88">
              <w:rPr>
                <w:rFonts w:ascii="Times New Roman" w:eastAsia="Calibri" w:hAnsi="Times New Roman" w:cs="Times New Roman"/>
                <w:sz w:val="24"/>
                <w:szCs w:val="24"/>
              </w:rPr>
              <w:t>/</w:t>
            </w:r>
            <w:r w:rsidRPr="00B12B88">
              <w:rPr>
                <w:rFonts w:ascii="Times New Roman" w:eastAsia="Calibri" w:hAnsi="Times New Roman" w:cs="Times New Roman"/>
                <w:b/>
                <w:sz w:val="24"/>
                <w:szCs w:val="24"/>
              </w:rPr>
              <w:t>apakšprogrammas nosaukums</w:t>
            </w:r>
          </w:p>
          <w:p w14:paraId="2EA2CF25" w14:textId="77777777" w:rsidR="006B1A68" w:rsidRPr="00B12B88" w:rsidRDefault="006B1A68" w:rsidP="006B1A68">
            <w:pPr>
              <w:tabs>
                <w:tab w:val="left" w:pos="6812"/>
              </w:tabs>
              <w:spacing w:before="60" w:after="12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u w:val="single"/>
              </w:rPr>
              <w:t>Prokuratūras iestāžu uzturēšana</w:t>
            </w:r>
          </w:p>
        </w:tc>
      </w:tr>
      <w:tr w:rsidR="006B1A68" w:rsidRPr="00B12B88" w14:paraId="53C4598B" w14:textId="77777777" w:rsidTr="006B1A68">
        <w:tc>
          <w:tcPr>
            <w:tcW w:w="2835" w:type="dxa"/>
          </w:tcPr>
          <w:p w14:paraId="6DAB10FB" w14:textId="77777777" w:rsidR="006B1A68" w:rsidRPr="00B12B88"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Paveiktais</w:t>
            </w:r>
          </w:p>
        </w:tc>
        <w:tc>
          <w:tcPr>
            <w:tcW w:w="6095" w:type="dxa"/>
          </w:tcPr>
          <w:p w14:paraId="56B75F00" w14:textId="77777777" w:rsidR="006B1A68" w:rsidRPr="00B12B88" w:rsidRDefault="006B1A68" w:rsidP="006B1A68">
            <w:pPr>
              <w:tabs>
                <w:tab w:val="left" w:pos="993"/>
              </w:tabs>
              <w:spacing w:before="40" w:after="40"/>
              <w:rPr>
                <w:rFonts w:ascii="Times New Roman" w:eastAsia="Calibri" w:hAnsi="Times New Roman" w:cs="Times New Roman"/>
                <w:b/>
                <w:sz w:val="24"/>
                <w:szCs w:val="24"/>
              </w:rPr>
            </w:pPr>
          </w:p>
        </w:tc>
      </w:tr>
      <w:tr w:rsidR="006B1A68" w:rsidRPr="00B12B88" w14:paraId="45806B6D" w14:textId="77777777" w:rsidTr="006B1A68">
        <w:tc>
          <w:tcPr>
            <w:tcW w:w="2835" w:type="dxa"/>
          </w:tcPr>
          <w:p w14:paraId="2EABFB78" w14:textId="77777777" w:rsidR="006B1A68" w:rsidRPr="00B12B88" w:rsidRDefault="006B1A68" w:rsidP="006B1A68">
            <w:pPr>
              <w:numPr>
                <w:ilvl w:val="0"/>
                <w:numId w:val="31"/>
              </w:numPr>
              <w:tabs>
                <w:tab w:val="left" w:pos="993"/>
              </w:tabs>
              <w:ind w:left="286" w:hanging="283"/>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t>Pārskata periodā paveiktais – pasākumi/aktivitātes, kas ir bijušas būtiskas ministrijas mērķu sasniegšanai un aptver būtisku daļu no kopējā pārskata periodā izlietotā finansējuma, uzsverot lietderību un ieguldījumu sabiedrības un nozares interesēs</w:t>
            </w:r>
          </w:p>
        </w:tc>
        <w:tc>
          <w:tcPr>
            <w:tcW w:w="6095" w:type="dxa"/>
          </w:tcPr>
          <w:p w14:paraId="16DAF97F" w14:textId="77777777" w:rsidR="006B1A68" w:rsidRPr="00B12B88" w:rsidRDefault="006B1A68" w:rsidP="006B1A68">
            <w:pPr>
              <w:numPr>
                <w:ilvl w:val="0"/>
                <w:numId w:val="30"/>
              </w:numPr>
              <w:tabs>
                <w:tab w:val="left" w:pos="993"/>
              </w:tabs>
              <w:ind w:left="463" w:hanging="284"/>
              <w:contextualSpacing/>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Nodrošināta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struktūrvienību uzturēšana, tād</w:t>
            </w:r>
            <w:r>
              <w:rPr>
                <w:rFonts w:ascii="Times New Roman" w:eastAsia="Calibri" w:hAnsi="Times New Roman" w:cs="Times New Roman"/>
                <w:sz w:val="24"/>
                <w:szCs w:val="24"/>
              </w:rPr>
              <w:t>ē</w:t>
            </w:r>
            <w:r w:rsidRPr="00B12B88">
              <w:rPr>
                <w:rFonts w:ascii="Times New Roman" w:eastAsia="Calibri" w:hAnsi="Times New Roman" w:cs="Times New Roman"/>
                <w:sz w:val="24"/>
                <w:szCs w:val="24"/>
              </w:rPr>
              <w:t xml:space="preserve">jādi veicinot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pamatfunkciju izpildi;</w:t>
            </w:r>
          </w:p>
          <w:p w14:paraId="69A23AE0" w14:textId="77777777" w:rsidR="006B1A68" w:rsidRPr="00B12B88" w:rsidRDefault="006B1A68" w:rsidP="006B1A68">
            <w:pPr>
              <w:numPr>
                <w:ilvl w:val="0"/>
                <w:numId w:val="30"/>
              </w:numPr>
              <w:tabs>
                <w:tab w:val="left" w:pos="993"/>
              </w:tabs>
              <w:ind w:left="463" w:hanging="284"/>
              <w:contextualSpacing/>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Veikts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 xml:space="preserve">rokuratūras struktūrvienību materiāltehniskais nodrošinājums, tādējādi veicinot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pamatfunkciju izpildi;</w:t>
            </w:r>
          </w:p>
          <w:p w14:paraId="0FB996FE" w14:textId="77777777" w:rsidR="006B1A68" w:rsidRPr="00B12B88" w:rsidRDefault="006B1A68" w:rsidP="006B1A68">
            <w:pPr>
              <w:numPr>
                <w:ilvl w:val="0"/>
                <w:numId w:val="30"/>
              </w:numPr>
              <w:tabs>
                <w:tab w:val="left" w:pos="993"/>
              </w:tabs>
              <w:ind w:left="463" w:hanging="284"/>
              <w:contextualSpacing/>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Prioritāro pasākumu ietvaros veikta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 xml:space="preserve">rokuratūras IT infrastruktūras drošības pilnveidošana, kā arī veikta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autoparka daļēja atjaunošana;</w:t>
            </w:r>
          </w:p>
          <w:p w14:paraId="5DE24C2A" w14:textId="77777777" w:rsidR="006B1A68" w:rsidRPr="00B12B88" w:rsidRDefault="006B1A68" w:rsidP="006B1A68">
            <w:pPr>
              <w:numPr>
                <w:ilvl w:val="0"/>
                <w:numId w:val="30"/>
              </w:numPr>
              <w:tabs>
                <w:tab w:val="left" w:pos="993"/>
              </w:tabs>
              <w:ind w:left="463" w:hanging="284"/>
              <w:contextualSpacing/>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Veiktas darbības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rokuratūrā ieviestā projekta „Prokuratūras informācijas sistēmas projekts tiesu sistēmas attīstībai” tālākai attīstībai un pilnvērtīgākai sistēmas darbībai – darba grupā</w:t>
            </w:r>
            <w:r>
              <w:rPr>
                <w:rFonts w:ascii="Times New Roman" w:eastAsia="Calibri" w:hAnsi="Times New Roman" w:cs="Times New Roman"/>
                <w:sz w:val="24"/>
                <w:szCs w:val="24"/>
              </w:rPr>
              <w:t>,</w:t>
            </w:r>
            <w:r w:rsidRPr="00B12B88">
              <w:rPr>
                <w:rFonts w:ascii="Times New Roman" w:eastAsia="Calibri" w:hAnsi="Times New Roman" w:cs="Times New Roman"/>
                <w:sz w:val="24"/>
                <w:szCs w:val="24"/>
              </w:rPr>
              <w:t xml:space="preserve"> sadarbībā ar izstrādātāju</w:t>
            </w:r>
            <w:r>
              <w:rPr>
                <w:rFonts w:ascii="Times New Roman" w:eastAsia="Calibri" w:hAnsi="Times New Roman" w:cs="Times New Roman"/>
                <w:sz w:val="24"/>
                <w:szCs w:val="24"/>
              </w:rPr>
              <w:t xml:space="preserve"> </w:t>
            </w:r>
            <w:r w:rsidRPr="00B12B88">
              <w:rPr>
                <w:rFonts w:ascii="Times New Roman" w:eastAsia="Calibri" w:hAnsi="Times New Roman" w:cs="Times New Roman"/>
                <w:sz w:val="24"/>
                <w:szCs w:val="24"/>
              </w:rPr>
              <w:t xml:space="preserve">regulāri apzinātas, apkopotas un risinātas problēmsituācijas, apzināti un ieviesti nepieciešamie sistēmas uzlabojumi, nodrošinot tās  pilnveidošanu, tādējādi veicinot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pamatfunkciju izpildi;</w:t>
            </w:r>
          </w:p>
          <w:p w14:paraId="4D90C272" w14:textId="77777777" w:rsidR="006B1A68" w:rsidRPr="00B12B88" w:rsidRDefault="006B1A68" w:rsidP="006B1A68">
            <w:pPr>
              <w:numPr>
                <w:ilvl w:val="0"/>
                <w:numId w:val="30"/>
              </w:numPr>
              <w:tabs>
                <w:tab w:val="left" w:pos="993"/>
              </w:tabs>
              <w:ind w:left="463" w:hanging="284"/>
              <w:contextualSpacing/>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t>Pēc renovācijas pabeigšanas nodrošināta jaunas Prokuratūras administratīvās ēkas Aspazijas bulvārī</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7, Rīgā</w:t>
            </w:r>
            <w:r>
              <w:rPr>
                <w:rFonts w:ascii="Times New Roman" w:eastAsia="Calibri" w:hAnsi="Times New Roman" w:cs="Times New Roman"/>
                <w:sz w:val="24"/>
                <w:szCs w:val="24"/>
              </w:rPr>
              <w:t>,</w:t>
            </w:r>
            <w:r w:rsidRPr="00B12B88">
              <w:rPr>
                <w:rFonts w:ascii="Times New Roman" w:eastAsia="Calibri" w:hAnsi="Times New Roman" w:cs="Times New Roman"/>
                <w:sz w:val="24"/>
                <w:szCs w:val="24"/>
              </w:rPr>
              <w:t xml:space="preserve"> telpu aprīkošana, tād</w:t>
            </w:r>
            <w:r>
              <w:rPr>
                <w:rFonts w:ascii="Times New Roman" w:eastAsia="Calibri" w:hAnsi="Times New Roman" w:cs="Times New Roman"/>
                <w:sz w:val="24"/>
                <w:szCs w:val="24"/>
              </w:rPr>
              <w:t>ē</w:t>
            </w:r>
            <w:r w:rsidRPr="00B12B88">
              <w:rPr>
                <w:rFonts w:ascii="Times New Roman" w:eastAsia="Calibri" w:hAnsi="Times New Roman" w:cs="Times New Roman"/>
                <w:sz w:val="24"/>
                <w:szCs w:val="24"/>
              </w:rPr>
              <w:t xml:space="preserve">jādi nodrošinot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struktūrvienību pārcelšanos uz jaunām telpām 2021.</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gada sākumā</w:t>
            </w:r>
            <w:r>
              <w:rPr>
                <w:rFonts w:ascii="Times New Roman" w:eastAsia="Calibri" w:hAnsi="Times New Roman" w:cs="Times New Roman"/>
                <w:sz w:val="24"/>
                <w:szCs w:val="24"/>
              </w:rPr>
              <w:t>,</w:t>
            </w:r>
            <w:r w:rsidRPr="00B12B88">
              <w:rPr>
                <w:rFonts w:ascii="Times New Roman" w:eastAsia="Calibri" w:hAnsi="Times New Roman" w:cs="Times New Roman"/>
                <w:sz w:val="24"/>
                <w:szCs w:val="24"/>
              </w:rPr>
              <w:t xml:space="preserve"> atbilstoši Ministru kabineta 2017.</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gada 21.</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septembra rīkojumā Nr.</w:t>
            </w:r>
            <w:r>
              <w:rPr>
                <w:rFonts w:ascii="Times New Roman" w:eastAsia="Calibri" w:hAnsi="Times New Roman" w:cs="Times New Roman"/>
                <w:sz w:val="24"/>
                <w:szCs w:val="24"/>
              </w:rPr>
              <w:t xml:space="preserve"> </w:t>
            </w:r>
            <w:r w:rsidRPr="00B12B88">
              <w:rPr>
                <w:rFonts w:ascii="Times New Roman" w:eastAsia="Calibri" w:hAnsi="Times New Roman" w:cs="Times New Roman"/>
                <w:sz w:val="24"/>
                <w:szCs w:val="24"/>
              </w:rPr>
              <w:t>525 "Par finansējuma piešķiršanu Latvijas Republikas Prokuratūrai nekustamā īpašuma Aspazijas bulvārī</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 xml:space="preserve">7, Rīgā, nomas maksas, aprīkojuma, pārcelšanās un citu saistīto izdevumu segšanai" noteiktajam. </w:t>
            </w:r>
          </w:p>
        </w:tc>
      </w:tr>
      <w:tr w:rsidR="006B1A68" w:rsidRPr="00B12B88" w14:paraId="302227C0" w14:textId="77777777" w:rsidTr="006B1A68">
        <w:tc>
          <w:tcPr>
            <w:tcW w:w="2835" w:type="dxa"/>
          </w:tcPr>
          <w:p w14:paraId="6AA61088" w14:textId="77777777" w:rsidR="006B1A68" w:rsidRPr="00BF429E" w:rsidRDefault="006B1A68" w:rsidP="006B1A68">
            <w:pPr>
              <w:numPr>
                <w:ilvl w:val="0"/>
                <w:numId w:val="31"/>
              </w:numPr>
              <w:tabs>
                <w:tab w:val="left" w:pos="993"/>
              </w:tabs>
              <w:ind w:left="286" w:hanging="283"/>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Kā minētie pasākumi/aktivitātes ietekmē gadskārtējā valsts budžeta paskaidrojumos plānoto </w:t>
            </w:r>
            <w:r w:rsidRPr="00B12B88">
              <w:rPr>
                <w:rFonts w:ascii="Times New Roman" w:eastAsia="Calibri" w:hAnsi="Times New Roman" w:cs="Times New Roman"/>
                <w:sz w:val="24"/>
                <w:szCs w:val="24"/>
              </w:rPr>
              <w:lastRenderedPageBreak/>
              <w:t>darbības rezultatīvo rādītāju vērtību sasniegšanu</w:t>
            </w:r>
          </w:p>
        </w:tc>
        <w:tc>
          <w:tcPr>
            <w:tcW w:w="6095" w:type="dxa"/>
          </w:tcPr>
          <w:p w14:paraId="7FD52CBC" w14:textId="77777777" w:rsidR="006B1A68" w:rsidRPr="00B12B88" w:rsidRDefault="006B1A68" w:rsidP="006B1A68">
            <w:pPr>
              <w:tabs>
                <w:tab w:val="left" w:pos="993"/>
              </w:tabs>
              <w:ind w:left="3"/>
              <w:jc w:val="both"/>
              <w:rPr>
                <w:rFonts w:ascii="Times New Roman" w:eastAsia="Calibri" w:hAnsi="Times New Roman" w:cs="Times New Roman"/>
                <w:b/>
                <w:sz w:val="24"/>
                <w:szCs w:val="24"/>
              </w:rPr>
            </w:pPr>
            <w:r w:rsidRPr="00B12B88">
              <w:rPr>
                <w:rFonts w:ascii="Times New Roman" w:eastAsia="Calibri" w:hAnsi="Times New Roman" w:cs="Times New Roman"/>
                <w:sz w:val="24"/>
                <w:szCs w:val="24"/>
              </w:rPr>
              <w:lastRenderedPageBreak/>
              <w:t xml:space="preserve">Minēto pasākumu kopums tiešā veidā neietekmē, bet veicina Prokuratūras likumā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 xml:space="preserve">rokuratūrai noteikto funkciju izpildi un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plānoto darbības rezultatīvo rādītāju vērtību sasniegšanu.</w:t>
            </w:r>
          </w:p>
        </w:tc>
      </w:tr>
      <w:tr w:rsidR="006B1A68" w:rsidRPr="00B12B88" w14:paraId="25474DF7" w14:textId="77777777" w:rsidTr="006B1A68">
        <w:tc>
          <w:tcPr>
            <w:tcW w:w="2835" w:type="dxa"/>
          </w:tcPr>
          <w:p w14:paraId="295BC98B" w14:textId="77777777" w:rsidR="006B1A68" w:rsidRPr="00B12B88"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Izmaiņas</w:t>
            </w:r>
          </w:p>
        </w:tc>
        <w:tc>
          <w:tcPr>
            <w:tcW w:w="6095" w:type="dxa"/>
          </w:tcPr>
          <w:p w14:paraId="414F9657" w14:textId="77777777" w:rsidR="006B1A68" w:rsidRPr="00B12B88" w:rsidRDefault="006B1A68" w:rsidP="006B1A68">
            <w:pPr>
              <w:tabs>
                <w:tab w:val="left" w:pos="993"/>
              </w:tabs>
              <w:contextualSpacing/>
              <w:rPr>
                <w:rFonts w:ascii="Times New Roman" w:eastAsia="Calibri" w:hAnsi="Times New Roman" w:cs="Times New Roman"/>
                <w:i/>
                <w:sz w:val="24"/>
                <w:szCs w:val="24"/>
              </w:rPr>
            </w:pPr>
          </w:p>
        </w:tc>
      </w:tr>
      <w:tr w:rsidR="006B1A68" w:rsidRPr="00B12B88" w14:paraId="0F72E23F" w14:textId="77777777" w:rsidTr="006B1A68">
        <w:tc>
          <w:tcPr>
            <w:tcW w:w="2835" w:type="dxa"/>
          </w:tcPr>
          <w:p w14:paraId="3B86C5B6" w14:textId="77777777" w:rsidR="006B1A68" w:rsidRPr="00B12B88" w:rsidRDefault="006B1A68" w:rsidP="006B1A68">
            <w:pPr>
              <w:numPr>
                <w:ilvl w:val="1"/>
                <w:numId w:val="32"/>
              </w:numPr>
              <w:tabs>
                <w:tab w:val="left" w:pos="993"/>
              </w:tabs>
              <w:ind w:left="315" w:hanging="315"/>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t>Pārskata perioda izpildes izmaiņas pret iepriekšējā gada atbilstošā pārskata perioda izpildi </w:t>
            </w:r>
            <w:r w:rsidRPr="00B12B88">
              <w:rPr>
                <w:rFonts w:ascii="Times New Roman" w:eastAsia="Calibri" w:hAnsi="Times New Roman" w:cs="Times New Roman"/>
                <w:sz w:val="24"/>
                <w:szCs w:val="24"/>
              </w:rPr>
              <w:br/>
            </w:r>
          </w:p>
        </w:tc>
        <w:tc>
          <w:tcPr>
            <w:tcW w:w="6095" w:type="dxa"/>
          </w:tcPr>
          <w:p w14:paraId="3C5BADCF" w14:textId="13ACC576"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Izdevumu izpilde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 mēnešos – 34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357,7</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sidR="006B435D">
              <w:rPr>
                <w:rFonts w:ascii="Times New Roman" w:eastAsia="Times New Roman" w:hAnsi="Times New Roman" w:cs="Times New Roman"/>
                <w:sz w:val="24"/>
                <w:szCs w:val="24"/>
                <w:lang w:eastAsia="lv-LV"/>
              </w:rPr>
              <w:t> </w:t>
            </w:r>
            <w:r w:rsidRPr="00B459A2">
              <w:rPr>
                <w:rFonts w:ascii="Times New Roman" w:eastAsia="Times New Roman" w:hAnsi="Times New Roman" w:cs="Times New Roman"/>
                <w:i/>
                <w:iCs/>
                <w:sz w:val="24"/>
                <w:szCs w:val="24"/>
                <w:lang w:eastAsia="lv-LV"/>
              </w:rPr>
              <w:t>euro</w:t>
            </w:r>
          </w:p>
          <w:p w14:paraId="2427BE1C" w14:textId="73E3DBD6"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Izdevumu izpilde 2019.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 mēnešos – 31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714,2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sidR="006B435D">
              <w:rPr>
                <w:rFonts w:ascii="Times New Roman" w:eastAsia="Times New Roman" w:hAnsi="Times New Roman" w:cs="Times New Roman"/>
                <w:sz w:val="24"/>
                <w:szCs w:val="24"/>
                <w:lang w:eastAsia="lv-LV"/>
              </w:rPr>
              <w:t> </w:t>
            </w:r>
            <w:r w:rsidRPr="00B459A2">
              <w:rPr>
                <w:rFonts w:ascii="Times New Roman" w:eastAsia="Times New Roman" w:hAnsi="Times New Roman" w:cs="Times New Roman"/>
                <w:i/>
                <w:iCs/>
                <w:sz w:val="24"/>
                <w:szCs w:val="24"/>
                <w:lang w:eastAsia="lv-LV"/>
              </w:rPr>
              <w:t>euro</w:t>
            </w:r>
          </w:p>
          <w:p w14:paraId="23B4FED5" w14:textId="77777777" w:rsidR="006B1A68" w:rsidRPr="00B12B88" w:rsidRDefault="006B1A68" w:rsidP="006B1A68">
            <w:pPr>
              <w:tabs>
                <w:tab w:val="left" w:pos="284"/>
              </w:tabs>
              <w:ind w:left="323"/>
              <w:jc w:val="both"/>
              <w:rPr>
                <w:rFonts w:ascii="Times New Roman" w:eastAsia="Times New Roman" w:hAnsi="Times New Roman" w:cs="Times New Roman"/>
                <w:sz w:val="24"/>
                <w:szCs w:val="24"/>
                <w:lang w:eastAsia="lv-LV"/>
              </w:rPr>
            </w:pPr>
          </w:p>
          <w:p w14:paraId="71A0EFDE" w14:textId="77777777"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Izdevumi palielinājās kopsummā par 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643,5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B459A2">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(8,3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t.sk.:</w:t>
            </w:r>
          </w:p>
          <w:p w14:paraId="461F0438" w14:textId="77777777" w:rsidR="006B1A68" w:rsidRPr="00B12B88" w:rsidRDefault="006B1A68" w:rsidP="006B1A68">
            <w:pPr>
              <w:numPr>
                <w:ilvl w:val="0"/>
                <w:numId w:val="27"/>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Izdevumi atlīdzībai (KK 1000) palielinājās par 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519,9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B459A2">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(5,5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sakarā ar 2018.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6.</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decembrī Saeimā pieņemtajiem Grozījumiem Valsts un pašvaldību institūciju amatpersonu un darbinieku atlīdzības likumā</w:t>
            </w:r>
            <w:r>
              <w:rPr>
                <w:rFonts w:ascii="Times New Roman" w:eastAsia="Times New Roman" w:hAnsi="Times New Roman" w:cs="Times New Roman"/>
                <w:sz w:val="24"/>
                <w:szCs w:val="24"/>
                <w:lang w:eastAsia="lv-LV"/>
              </w:rPr>
              <w:t>, pēc kā,</w:t>
            </w:r>
            <w:r w:rsidRPr="00B12B88">
              <w:rPr>
                <w:rFonts w:ascii="Times New Roman" w:eastAsia="Times New Roman" w:hAnsi="Times New Roman" w:cs="Times New Roman"/>
                <w:sz w:val="24"/>
                <w:szCs w:val="24"/>
                <w:lang w:eastAsia="lv-LV"/>
              </w:rPr>
              <w:t xml:space="preserve"> sākot ar 2019.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gadu</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 xml:space="preserve"> Prokuratūrai tika piešķirts papildu finansējums jaunajai politikas iniciatīvai “Tiesnešu un prokuroru atalgojuma palielināšana”, līdz ar to no 01.01.2020. prokuroriem tika noteikts un maksāts lielāks atalgojums, kā arī sakarā ar to, ka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gadam un turpmākajiem gadiem tika piešķirts papildu finansējums prioritārajam pasākumam “Prokuratūras darbinieku mēnešalgas palielināšana”,</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paredzot mēnešalgas palielinājumu amatu kategorijām, kuras tiešā veidā iesaistītas prokuroru darbā.</w:t>
            </w:r>
          </w:p>
          <w:p w14:paraId="2EF1B9D4" w14:textId="77777777"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p>
          <w:p w14:paraId="0A72B98F" w14:textId="77777777" w:rsidR="006B1A68" w:rsidRPr="00B12B88" w:rsidRDefault="006B1A68" w:rsidP="006B1A68">
            <w:pPr>
              <w:numPr>
                <w:ilvl w:val="0"/>
                <w:numId w:val="27"/>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Izdevumi pakalpojumiem (KK 2000) palielinājās par 655,4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xml:space="preserve">tūkst. </w:t>
            </w:r>
            <w:r w:rsidRPr="00A54D89">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(19,7</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atbilstoši M</w:t>
            </w:r>
            <w:r>
              <w:rPr>
                <w:rFonts w:ascii="Times New Roman" w:eastAsia="Times New Roman" w:hAnsi="Times New Roman" w:cs="Times New Roman"/>
                <w:sz w:val="24"/>
                <w:szCs w:val="24"/>
                <w:lang w:eastAsia="lv-LV"/>
              </w:rPr>
              <w:t>inistru kabineta</w:t>
            </w:r>
            <w:r w:rsidRPr="00B12B88">
              <w:rPr>
                <w:rFonts w:ascii="Times New Roman" w:eastAsia="Times New Roman" w:hAnsi="Times New Roman" w:cs="Times New Roman"/>
                <w:sz w:val="24"/>
                <w:szCs w:val="24"/>
                <w:lang w:eastAsia="lv-LV"/>
              </w:rPr>
              <w:t xml:space="preserve"> 2017.</w:t>
            </w:r>
            <w:r>
              <w:rPr>
                <w:rFonts w:ascii="Times New Roman" w:eastAsia="Times New Roman" w:hAnsi="Times New Roman" w:cs="Times New Roman"/>
                <w:sz w:val="24"/>
                <w:szCs w:val="24"/>
                <w:lang w:eastAsia="lv-LV"/>
              </w:rPr>
              <w:t xml:space="preserve"> gada 21. septembra </w:t>
            </w:r>
            <w:r w:rsidRPr="00B12B88">
              <w:rPr>
                <w:rFonts w:ascii="Times New Roman" w:eastAsia="Times New Roman" w:hAnsi="Times New Roman" w:cs="Times New Roman"/>
                <w:sz w:val="24"/>
                <w:szCs w:val="24"/>
                <w:lang w:eastAsia="lv-LV"/>
              </w:rPr>
              <w:t>rīkojumā Nr.</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525 "Par finansējuma piešķiršanu Latvijas Republikas Prokuratūrai nekustamā īpašuma Aspazijas bulvārī</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7, Rīgā, nomas maksas, aprīkojuma, pārcelšanās un citu saistīto izdevumu segšanai" noteiktajam Prokuratūrai tika piešķirts un apgūts papildu finansējums jaunas</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Prokuratūras administratīvās ēkas Aspazijas bulvārī</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7, Rīgā</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 xml:space="preserve"> telpu aprīkošanai. </w:t>
            </w:r>
          </w:p>
          <w:p w14:paraId="6E45579F" w14:textId="77777777"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p>
          <w:p w14:paraId="753F6333" w14:textId="77777777" w:rsidR="006B1A68" w:rsidRPr="00B12B88" w:rsidRDefault="006B1A68" w:rsidP="006B1A68">
            <w:pPr>
              <w:numPr>
                <w:ilvl w:val="0"/>
                <w:numId w:val="27"/>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 xml:space="preserve">Izdevumi valsts budžeta </w:t>
            </w:r>
            <w:proofErr w:type="spellStart"/>
            <w:r w:rsidRPr="00B12B88">
              <w:rPr>
                <w:rFonts w:ascii="Times New Roman" w:eastAsia="Times New Roman" w:hAnsi="Times New Roman" w:cs="Times New Roman"/>
                <w:sz w:val="24"/>
                <w:szCs w:val="24"/>
                <w:lang w:eastAsia="lv-LV"/>
              </w:rPr>
              <w:t>transfertiem</w:t>
            </w:r>
            <w:proofErr w:type="spellEnd"/>
            <w:r w:rsidRPr="00B12B88">
              <w:rPr>
                <w:rFonts w:ascii="Times New Roman" w:eastAsia="Times New Roman" w:hAnsi="Times New Roman" w:cs="Times New Roman"/>
                <w:sz w:val="24"/>
                <w:szCs w:val="24"/>
                <w:lang w:eastAsia="lv-LV"/>
              </w:rPr>
              <w:t xml:space="preserve"> un uzturēšanas izdevumu </w:t>
            </w:r>
            <w:proofErr w:type="spellStart"/>
            <w:r w:rsidRPr="00B12B88">
              <w:rPr>
                <w:rFonts w:ascii="Times New Roman" w:eastAsia="Times New Roman" w:hAnsi="Times New Roman" w:cs="Times New Roman"/>
                <w:sz w:val="24"/>
                <w:szCs w:val="24"/>
                <w:lang w:eastAsia="lv-LV"/>
              </w:rPr>
              <w:t>transfertiem</w:t>
            </w:r>
            <w:proofErr w:type="spellEnd"/>
            <w:r w:rsidRPr="00B12B88">
              <w:rPr>
                <w:rFonts w:ascii="Times New Roman" w:eastAsia="Times New Roman" w:hAnsi="Times New Roman" w:cs="Times New Roman"/>
                <w:sz w:val="24"/>
                <w:szCs w:val="24"/>
                <w:lang w:eastAsia="lv-LV"/>
              </w:rPr>
              <w:t xml:space="preserve">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samazinājās par 2,4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A54D89">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(-92,8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 2019.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Prokuratūrai par visu iepriekšējo periodu bija jāveic valsts sociālās apdrošināšanas obligātās iemaksas par personu, kura uzturas attiecīgajā ārvalstī kā tādas personas laulātais, kurai piešķirts diplomātiskais rangs saskaņā ar Diplomātiskā un konsulārā dienesta likumu un kura pilda diplomātisko un konsulāro dienestu ārvalstī. Savukārt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tika veiktas valsts sociālās apdrošināšanas obligātās iemaksas par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gadu.</w:t>
            </w:r>
          </w:p>
          <w:p w14:paraId="1BCD7FDC" w14:textId="77777777" w:rsidR="006B1A68" w:rsidRPr="00B12B88" w:rsidRDefault="006B1A68" w:rsidP="006B1A68">
            <w:pPr>
              <w:tabs>
                <w:tab w:val="left" w:pos="284"/>
              </w:tabs>
              <w:ind w:left="323"/>
              <w:jc w:val="both"/>
              <w:rPr>
                <w:rFonts w:ascii="Times New Roman" w:eastAsia="Times New Roman" w:hAnsi="Times New Roman" w:cs="Times New Roman"/>
                <w:sz w:val="24"/>
                <w:szCs w:val="24"/>
                <w:lang w:eastAsia="lv-LV"/>
              </w:rPr>
            </w:pPr>
          </w:p>
          <w:p w14:paraId="35AED6CA" w14:textId="07758826" w:rsidR="006B1A68" w:rsidRPr="00B12B88" w:rsidRDefault="006B1A68" w:rsidP="006B1A68">
            <w:pPr>
              <w:numPr>
                <w:ilvl w:val="0"/>
                <w:numId w:val="27"/>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Izdevumi kapitālajiem izdevumiem (KK 5000) palielinājās par 470,5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A54D89">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(58,8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xml:space="preserve">gadā </w:t>
            </w:r>
            <w:r w:rsidRPr="00B12B88">
              <w:rPr>
                <w:rFonts w:ascii="Times New Roman" w:eastAsia="Times New Roman" w:hAnsi="Times New Roman" w:cs="Times New Roman"/>
                <w:sz w:val="24"/>
                <w:szCs w:val="24"/>
                <w:lang w:eastAsia="lv-LV"/>
              </w:rPr>
              <w:lastRenderedPageBreak/>
              <w:t>atbilstoši Ministru kabineta  2017.</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21.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septembra rīkojumā Nr.</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525 "Par finansējuma piešķiršanu Latvijas Republikas Prokuratūrai nekustamā īpašuma Aspazijas bulvārī</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7, Rīgā, nomas maksas, aprīkojuma, pārcelšanās un citu saistīto izdevumu segšanai" noteiktajam Prokuratūrai tika piešķirts un apgūts papildu finansējums jaunas Prokuratūras administratīvās ēkas Aspazijas bulvārī</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7, Rīgā</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 xml:space="preserve"> telpu aprīkošanai. </w:t>
            </w:r>
          </w:p>
        </w:tc>
      </w:tr>
      <w:tr w:rsidR="006B1A68" w:rsidRPr="00B12B88" w14:paraId="3F34134D" w14:textId="77777777" w:rsidTr="006B1A68">
        <w:tc>
          <w:tcPr>
            <w:tcW w:w="2835" w:type="dxa"/>
          </w:tcPr>
          <w:p w14:paraId="455E3CB7" w14:textId="77777777" w:rsidR="006B1A68" w:rsidRPr="00BF429E" w:rsidRDefault="006B1A68" w:rsidP="006B1A68">
            <w:pPr>
              <w:numPr>
                <w:ilvl w:val="1"/>
                <w:numId w:val="32"/>
              </w:numPr>
              <w:tabs>
                <w:tab w:val="left" w:pos="993"/>
              </w:tabs>
              <w:ind w:left="315" w:hanging="284"/>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lastRenderedPageBreak/>
              <w:t>Kā minētās izmaiņas ietekmē gadskārtējā valsts budžeta paskaidrojumos plānoto darbības rezultatīvo rādītāju vērtību sasniegšanu</w:t>
            </w:r>
          </w:p>
        </w:tc>
        <w:tc>
          <w:tcPr>
            <w:tcW w:w="6095" w:type="dxa"/>
          </w:tcPr>
          <w:p w14:paraId="4B4C0A4D" w14:textId="77777777" w:rsidR="006B1A68" w:rsidRPr="00B12B88" w:rsidRDefault="006B1A68" w:rsidP="006B1A68">
            <w:pPr>
              <w:tabs>
                <w:tab w:val="left" w:pos="993"/>
              </w:tabs>
              <w:ind w:left="3"/>
              <w:jc w:val="both"/>
              <w:rPr>
                <w:rFonts w:ascii="Times New Roman" w:eastAsia="Calibri" w:hAnsi="Times New Roman" w:cs="Times New Roman"/>
                <w:b/>
                <w:sz w:val="24"/>
                <w:szCs w:val="24"/>
              </w:rPr>
            </w:pPr>
            <w:r w:rsidRPr="00B12B88">
              <w:rPr>
                <w:rFonts w:ascii="Times New Roman" w:eastAsia="Calibri" w:hAnsi="Times New Roman" w:cs="Times New Roman"/>
                <w:sz w:val="24"/>
                <w:szCs w:val="24"/>
              </w:rPr>
              <w:t xml:space="preserve">Papildu piešķirtais finansējums tiešā veidā neietekmē, bet veicina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 xml:space="preserve">rokuratūras plānoto darbības rezultatīvo rādītāju vērtību sasniegšanu. </w:t>
            </w:r>
          </w:p>
        </w:tc>
      </w:tr>
      <w:tr w:rsidR="006B1A68" w:rsidRPr="00B12B88" w14:paraId="12D43D2A" w14:textId="77777777" w:rsidTr="006B1A68">
        <w:tc>
          <w:tcPr>
            <w:tcW w:w="2835" w:type="dxa"/>
          </w:tcPr>
          <w:p w14:paraId="4BD536F5" w14:textId="77777777" w:rsidR="006B1A68" w:rsidRPr="00B12B88" w:rsidDel="004F1B57"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Neizpilde</w:t>
            </w:r>
          </w:p>
        </w:tc>
        <w:tc>
          <w:tcPr>
            <w:tcW w:w="6095" w:type="dxa"/>
          </w:tcPr>
          <w:p w14:paraId="4DAA2181" w14:textId="77777777" w:rsidR="006B1A68" w:rsidRPr="00B12B88" w:rsidDel="004F1B57" w:rsidRDefault="006B1A68" w:rsidP="006B1A68">
            <w:pPr>
              <w:tabs>
                <w:tab w:val="left" w:pos="993"/>
              </w:tabs>
              <w:rPr>
                <w:rFonts w:ascii="Times New Roman" w:eastAsia="Calibri" w:hAnsi="Times New Roman" w:cs="Times New Roman"/>
                <w:i/>
                <w:sz w:val="24"/>
                <w:szCs w:val="24"/>
              </w:rPr>
            </w:pPr>
          </w:p>
        </w:tc>
      </w:tr>
      <w:tr w:rsidR="006B1A68" w:rsidRPr="00B12B88" w14:paraId="313E617E" w14:textId="77777777" w:rsidTr="006B1A68">
        <w:tc>
          <w:tcPr>
            <w:tcW w:w="2835" w:type="dxa"/>
          </w:tcPr>
          <w:p w14:paraId="733B2BED" w14:textId="77777777" w:rsidR="006B1A68" w:rsidRPr="00B12B88" w:rsidRDefault="006B1A68" w:rsidP="006B1A68">
            <w:pPr>
              <w:numPr>
                <w:ilvl w:val="0"/>
                <w:numId w:val="34"/>
              </w:numPr>
              <w:ind w:left="286" w:hanging="283"/>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Kāds ir neizpildes sadalījums pa izdevumu ekonomiskās klasifikācijas kodiem atbilstoši gadskārtējā valsts budžeta likuma struktūrai un kādi ir būtiskākie neizpildes iemesli. </w:t>
            </w:r>
          </w:p>
          <w:p w14:paraId="401121BA" w14:textId="77777777" w:rsidR="006B1A68" w:rsidRPr="00B12B88" w:rsidRDefault="006B1A68" w:rsidP="006B1A68">
            <w:pPr>
              <w:ind w:left="286"/>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t>Ja neizpildes iemesli ir saistīti ar apropriāciju izmaiņām, norāda attiecīgo Finanšu ministrijas rīkojumu numurus.</w:t>
            </w:r>
          </w:p>
        </w:tc>
        <w:tc>
          <w:tcPr>
            <w:tcW w:w="6095" w:type="dxa"/>
          </w:tcPr>
          <w:p w14:paraId="6C47B582" w14:textId="77777777"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Izdevumu izpilde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 mēnešos – 34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357,7</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131F83">
              <w:rPr>
                <w:rFonts w:ascii="Times New Roman" w:eastAsia="Times New Roman" w:hAnsi="Times New Roman" w:cs="Times New Roman"/>
                <w:i/>
                <w:iCs/>
                <w:sz w:val="24"/>
                <w:szCs w:val="24"/>
                <w:lang w:eastAsia="lv-LV"/>
              </w:rPr>
              <w:t xml:space="preserve">euro </w:t>
            </w:r>
          </w:p>
          <w:p w14:paraId="160B2D5F" w14:textId="77777777"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 mēnešu plāns – 35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924,1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131F83">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w:t>
            </w:r>
          </w:p>
          <w:p w14:paraId="45D853C7" w14:textId="77777777"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Starpība, salīdzinot ar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 mēnešu plānu – 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566,4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131F83">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(neizpilde 4,4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t.</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sk.:</w:t>
            </w:r>
          </w:p>
          <w:p w14:paraId="1712D0F6" w14:textId="77777777" w:rsidR="006B1A68" w:rsidRPr="00B12B88" w:rsidRDefault="006B1A68" w:rsidP="006B1A68">
            <w:pPr>
              <w:numPr>
                <w:ilvl w:val="0"/>
                <w:numId w:val="38"/>
              </w:numPr>
              <w:spacing w:before="130" w:line="260" w:lineRule="exact"/>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Izdevumi atlīdzībai (KK 1000) mazāki par 23,5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9E796E">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(neizpilde 0,1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 saskaņā ar likuma “Par valsts budžetu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gadam” 51.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pantu un Ministru kabineta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29.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septembra sēdes protokola Nr.</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56 51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“Rīkojuma projekts “Par pasākumu plānu noziedzīgi iegūtu līdzekļu legalizācijas, terorisma un proliferācijas finansēšanas novēršanai laikposmam no 2020. līdz 2022.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gadam”” 2. un 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punktu, un saskaņā ar Finanšu ministrijas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28.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oktobra rīkojumu Nr.</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426 “Par apropriāciju izmaiņām” tika veikta apropriācijas pārdale no budžeta resora “74.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Gadskārtējā valsts budžeta izpildes procesā pārdalāmais finansējums” programmas 10.00.00 “Noziedzīgi iegūtu līdzekļu legalizācijas un terorisma finansēšanas novēršana”        23,5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9E796E">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apmērā uz Prokuratūras budžeta programmu 01.00.00 “Prokuratūras iestāžu uzturēšana”,</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lai nodrošinātu Pasākumu plānā noziedzīgi iegūtu līdzekļu legalizācijas, terorisma un proliferācijas finansēšanas novēršanai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Prokuratūrai paredzēto aktivitāšu izpildi, t.</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i., divu jaunu amata vietu (analītiķi</w:t>
            </w:r>
            <w:r>
              <w:rPr>
                <w:rFonts w:ascii="Times New Roman" w:eastAsia="Times New Roman" w:hAnsi="Times New Roman" w:cs="Times New Roman"/>
                <w:sz w:val="24"/>
                <w:szCs w:val="24"/>
                <w:lang w:eastAsia="lv-LV"/>
              </w:rPr>
              <w:t>s</w:t>
            </w:r>
            <w:r w:rsidRPr="00B12B88">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izveidi</w:t>
            </w:r>
            <w:r w:rsidRPr="00B12B88">
              <w:rPr>
                <w:rFonts w:ascii="Times New Roman" w:eastAsia="Times New Roman" w:hAnsi="Times New Roman" w:cs="Times New Roman"/>
                <w:sz w:val="24"/>
                <w:szCs w:val="24"/>
                <w:lang w:eastAsia="lv-LV"/>
              </w:rPr>
              <w:t>, tād</w:t>
            </w:r>
            <w:r>
              <w:rPr>
                <w:rFonts w:ascii="Times New Roman" w:eastAsia="Times New Roman" w:hAnsi="Times New Roman" w:cs="Times New Roman"/>
                <w:sz w:val="24"/>
                <w:szCs w:val="24"/>
                <w:lang w:eastAsia="lv-LV"/>
              </w:rPr>
              <w:t>ē</w:t>
            </w:r>
            <w:r w:rsidRPr="00B12B88">
              <w:rPr>
                <w:rFonts w:ascii="Times New Roman" w:eastAsia="Times New Roman" w:hAnsi="Times New Roman" w:cs="Times New Roman"/>
                <w:sz w:val="24"/>
                <w:szCs w:val="24"/>
                <w:lang w:eastAsia="lv-LV"/>
              </w:rPr>
              <w:t xml:space="preserve">jādi stiprinot </w:t>
            </w:r>
            <w:r>
              <w:rPr>
                <w:rFonts w:ascii="Times New Roman" w:eastAsia="Times New Roman" w:hAnsi="Times New Roman" w:cs="Times New Roman"/>
                <w:sz w:val="24"/>
                <w:szCs w:val="24"/>
                <w:lang w:eastAsia="lv-LV"/>
              </w:rPr>
              <w:t>P</w:t>
            </w:r>
            <w:r w:rsidRPr="00B12B88">
              <w:rPr>
                <w:rFonts w:ascii="Times New Roman" w:eastAsia="Times New Roman" w:hAnsi="Times New Roman" w:cs="Times New Roman"/>
                <w:sz w:val="24"/>
                <w:szCs w:val="24"/>
                <w:lang w:eastAsia="lv-LV"/>
              </w:rPr>
              <w:t>rokuratūras darba resursu kapacitāti un spēju pilnvērtīgi apstrādāt, izmeklēt un iztiesāt potenciāli pieaugušo pārbaudāmās informācijas apjomu un kriminālprocesu skaitu NILL jomā. Ņemot vērā, ka izsludinātā konkursa rezu</w:t>
            </w:r>
            <w:r>
              <w:rPr>
                <w:rFonts w:ascii="Times New Roman" w:eastAsia="Times New Roman" w:hAnsi="Times New Roman" w:cs="Times New Roman"/>
                <w:sz w:val="24"/>
                <w:szCs w:val="24"/>
                <w:lang w:eastAsia="lv-LV"/>
              </w:rPr>
              <w:t>l</w:t>
            </w:r>
            <w:r w:rsidRPr="00B12B88">
              <w:rPr>
                <w:rFonts w:ascii="Times New Roman" w:eastAsia="Times New Roman" w:hAnsi="Times New Roman" w:cs="Times New Roman"/>
                <w:sz w:val="24"/>
                <w:szCs w:val="24"/>
                <w:lang w:eastAsia="lv-LV"/>
              </w:rPr>
              <w:t>tātā divas jaun</w:t>
            </w:r>
            <w:r>
              <w:rPr>
                <w:rFonts w:ascii="Times New Roman" w:eastAsia="Times New Roman" w:hAnsi="Times New Roman" w:cs="Times New Roman"/>
                <w:sz w:val="24"/>
                <w:szCs w:val="24"/>
                <w:lang w:eastAsia="lv-LV"/>
              </w:rPr>
              <w:t>ā</w:t>
            </w:r>
            <w:r w:rsidRPr="00B12B88">
              <w:rPr>
                <w:rFonts w:ascii="Times New Roman" w:eastAsia="Times New Roman" w:hAnsi="Times New Roman" w:cs="Times New Roman"/>
                <w:sz w:val="24"/>
                <w:szCs w:val="24"/>
                <w:lang w:eastAsia="lv-LV"/>
              </w:rPr>
              <w:t>s amat</w:t>
            </w:r>
            <w:r>
              <w:rPr>
                <w:rFonts w:ascii="Times New Roman" w:eastAsia="Times New Roman" w:hAnsi="Times New Roman" w:cs="Times New Roman"/>
                <w:sz w:val="24"/>
                <w:szCs w:val="24"/>
                <w:lang w:eastAsia="lv-LV"/>
              </w:rPr>
              <w:t>a</w:t>
            </w:r>
            <w:r w:rsidRPr="00B12B88">
              <w:rPr>
                <w:rFonts w:ascii="Times New Roman" w:eastAsia="Times New Roman" w:hAnsi="Times New Roman" w:cs="Times New Roman"/>
                <w:sz w:val="24"/>
                <w:szCs w:val="24"/>
                <w:lang w:eastAsia="lv-LV"/>
              </w:rPr>
              <w:t xml:space="preserve"> vietas līdz gada beigām vēl nebija aizpildītas, pārdalītais finansējums netika apgūts.</w:t>
            </w:r>
          </w:p>
          <w:p w14:paraId="47E734C6" w14:textId="77777777" w:rsidR="006B1A68" w:rsidRPr="00B12B88" w:rsidRDefault="006B1A68" w:rsidP="006B1A68">
            <w:pPr>
              <w:ind w:left="321"/>
              <w:jc w:val="both"/>
              <w:rPr>
                <w:rFonts w:ascii="Times New Roman" w:eastAsia="Times New Roman" w:hAnsi="Times New Roman" w:cs="Times New Roman"/>
                <w:sz w:val="24"/>
                <w:szCs w:val="24"/>
                <w:lang w:eastAsia="lv-LV"/>
              </w:rPr>
            </w:pPr>
          </w:p>
          <w:p w14:paraId="0BE06DBE" w14:textId="77777777" w:rsidR="006B1A68" w:rsidRPr="00B12B88" w:rsidRDefault="006B1A68" w:rsidP="006B1A68">
            <w:pPr>
              <w:ind w:left="321"/>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Izdevumi precēm un pakalpojumiem (KK 2000) mazāki par 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254,3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84660E">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(neizpilde 23,9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w:t>
            </w:r>
          </w:p>
          <w:p w14:paraId="3BDED562" w14:textId="77777777" w:rsidR="006B1A68" w:rsidRPr="00B12B88" w:rsidRDefault="006B1A68" w:rsidP="006B1A68">
            <w:pPr>
              <w:numPr>
                <w:ilvl w:val="0"/>
                <w:numId w:val="38"/>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lastRenderedPageBreak/>
              <w:t>Saskaņā ar VAS "Valsts nekustamie īpašumi" ēkas Kalpaka bulvārī</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6, Rīgā</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 xml:space="preserve"> veikto apsekošanu 2018.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konstatēts, ka nepieciešams veikt ēkas pilnu rekonstrukciju. Līdz ar to primāri būtu jāizstrādā ēkas pilnas rekonstrukcijas projekts. Šajā sakarā sākotnēji plānoto atsevišķu remontdarbu veikšana Ģenerālprokuratūras ēkā Kalpaka bulvārī</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6, Rīgā</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 xml:space="preserve"> nebūtu lietderīga un ekonomiski pamatota, līdz ar to</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plānotie remontdarbi netika veikti. Tād</w:t>
            </w:r>
            <w:r>
              <w:rPr>
                <w:rFonts w:ascii="Times New Roman" w:eastAsia="Times New Roman" w:hAnsi="Times New Roman" w:cs="Times New Roman"/>
                <w:sz w:val="24"/>
                <w:szCs w:val="24"/>
                <w:lang w:eastAsia="lv-LV"/>
              </w:rPr>
              <w:t>ē</w:t>
            </w:r>
            <w:r w:rsidRPr="00B12B88">
              <w:rPr>
                <w:rFonts w:ascii="Times New Roman" w:eastAsia="Times New Roman" w:hAnsi="Times New Roman" w:cs="Times New Roman"/>
                <w:sz w:val="24"/>
                <w:szCs w:val="24"/>
                <w:lang w:eastAsia="lv-LV"/>
              </w:rPr>
              <w:t>jādi</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prioritārā pasākuma ietvaros remontdarbiem piešķirtais papildu finansējums 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191,3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3E267A">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apmērā netika apgūts.</w:t>
            </w:r>
          </w:p>
          <w:p w14:paraId="6EACF5C1" w14:textId="77777777" w:rsidR="006B1A68" w:rsidRPr="00B12B88" w:rsidRDefault="006B1A68" w:rsidP="006B1A68">
            <w:pPr>
              <w:numPr>
                <w:ilvl w:val="0"/>
                <w:numId w:val="38"/>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Saistībā ar tiesu teritoriālo reformu plānotais izdevumu pieaugums Prokuratūras vieglo automobiļu degvielas iegādei un a/m uzturēšanas izdevumiem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sakarā ar C</w:t>
            </w:r>
            <w:r>
              <w:rPr>
                <w:rFonts w:ascii="Times New Roman" w:eastAsia="Times New Roman" w:hAnsi="Times New Roman" w:cs="Times New Roman"/>
                <w:sz w:val="24"/>
                <w:szCs w:val="24"/>
                <w:lang w:eastAsia="lv-LV"/>
              </w:rPr>
              <w:t>ovid</w:t>
            </w:r>
            <w:r w:rsidRPr="00B12B88">
              <w:rPr>
                <w:rFonts w:ascii="Times New Roman" w:eastAsia="Times New Roman" w:hAnsi="Times New Roman" w:cs="Times New Roman"/>
                <w:sz w:val="24"/>
                <w:szCs w:val="24"/>
                <w:lang w:eastAsia="lv-LV"/>
              </w:rPr>
              <w:t xml:space="preserve">-19 pandēmiju nav bijis. Liela daļa </w:t>
            </w:r>
            <w:r>
              <w:rPr>
                <w:rFonts w:ascii="Times New Roman" w:eastAsia="Times New Roman" w:hAnsi="Times New Roman" w:cs="Times New Roman"/>
                <w:sz w:val="24"/>
                <w:szCs w:val="24"/>
                <w:lang w:eastAsia="lv-LV"/>
              </w:rPr>
              <w:t>P</w:t>
            </w:r>
            <w:r w:rsidRPr="00B12B88">
              <w:rPr>
                <w:rFonts w:ascii="Times New Roman" w:eastAsia="Times New Roman" w:hAnsi="Times New Roman" w:cs="Times New Roman"/>
                <w:sz w:val="24"/>
                <w:szCs w:val="24"/>
                <w:lang w:eastAsia="lv-LV"/>
              </w:rPr>
              <w:t>rokuratūras struktūrvienību</w:t>
            </w:r>
            <w:r>
              <w:rPr>
                <w:rFonts w:ascii="Times New Roman" w:eastAsia="Times New Roman" w:hAnsi="Times New Roman" w:cs="Times New Roman"/>
                <w:sz w:val="24"/>
                <w:szCs w:val="24"/>
                <w:lang w:eastAsia="lv-LV"/>
              </w:rPr>
              <w:t xml:space="preserve"> sanāksmes</w:t>
            </w:r>
            <w:r w:rsidRPr="00B12B88">
              <w:rPr>
                <w:rFonts w:ascii="Times New Roman" w:eastAsia="Times New Roman" w:hAnsi="Times New Roman" w:cs="Times New Roman"/>
                <w:sz w:val="24"/>
                <w:szCs w:val="24"/>
                <w:lang w:eastAsia="lv-LV"/>
              </w:rPr>
              <w:t>, kā arī starpinstit</w:t>
            </w:r>
            <w:r>
              <w:rPr>
                <w:rFonts w:ascii="Times New Roman" w:eastAsia="Times New Roman" w:hAnsi="Times New Roman" w:cs="Times New Roman"/>
                <w:sz w:val="24"/>
                <w:szCs w:val="24"/>
                <w:lang w:eastAsia="lv-LV"/>
              </w:rPr>
              <w:t>ūciju</w:t>
            </w:r>
            <w:r w:rsidRPr="00B12B88">
              <w:rPr>
                <w:rFonts w:ascii="Times New Roman" w:eastAsia="Times New Roman" w:hAnsi="Times New Roman" w:cs="Times New Roman"/>
                <w:sz w:val="24"/>
                <w:szCs w:val="24"/>
                <w:lang w:eastAsia="lv-LV"/>
              </w:rPr>
              <w:t xml:space="preserve"> sē</w:t>
            </w:r>
            <w:r>
              <w:rPr>
                <w:rFonts w:ascii="Times New Roman" w:eastAsia="Times New Roman" w:hAnsi="Times New Roman" w:cs="Times New Roman"/>
                <w:sz w:val="24"/>
                <w:szCs w:val="24"/>
                <w:lang w:eastAsia="lv-LV"/>
              </w:rPr>
              <w:t>des</w:t>
            </w:r>
            <w:r w:rsidRPr="00B12B88">
              <w:rPr>
                <w:rFonts w:ascii="Times New Roman" w:eastAsia="Times New Roman" w:hAnsi="Times New Roman" w:cs="Times New Roman"/>
                <w:sz w:val="24"/>
                <w:szCs w:val="24"/>
                <w:lang w:eastAsia="lv-LV"/>
              </w:rPr>
              <w:t xml:space="preserve"> notika attālināti, tād</w:t>
            </w:r>
            <w:r>
              <w:rPr>
                <w:rFonts w:ascii="Times New Roman" w:eastAsia="Times New Roman" w:hAnsi="Times New Roman" w:cs="Times New Roman"/>
                <w:sz w:val="24"/>
                <w:szCs w:val="24"/>
                <w:lang w:eastAsia="lv-LV"/>
              </w:rPr>
              <w:t>ē</w:t>
            </w:r>
            <w:r w:rsidRPr="00B12B88">
              <w:rPr>
                <w:rFonts w:ascii="Times New Roman" w:eastAsia="Times New Roman" w:hAnsi="Times New Roman" w:cs="Times New Roman"/>
                <w:sz w:val="24"/>
                <w:szCs w:val="24"/>
                <w:lang w:eastAsia="lv-LV"/>
              </w:rPr>
              <w:t>jādi autoparks netika noslogots sākotnēji plānotā apmērā. Līdz ar to prioritārā pasākuma “Materiāltehniskais nodrošinājums Prokuratūrai noteikto funkciju izpildei” ietvaros papildu piešķirtais finansējums 36,8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471D48">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apmērā netika apgūts.</w:t>
            </w:r>
          </w:p>
          <w:p w14:paraId="7C5CCF31" w14:textId="77777777" w:rsidR="006B1A68" w:rsidRPr="00B12B88" w:rsidRDefault="006B1A68" w:rsidP="006B1A68">
            <w:pPr>
              <w:numPr>
                <w:ilvl w:val="0"/>
                <w:numId w:val="38"/>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netika pilnībā apgūts no</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Tieslietu ministrijas programmas 10.00.00 “Noziedzīgi iegūtu līdzekļu konfiskācijas fonds” līdzekļiem piešķirtais papildu finansējums prokuroru apmācībām (finansējumu 19,6</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471D48">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apmērā plānots apgūt 2021.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w:t>
            </w:r>
          </w:p>
          <w:p w14:paraId="0F85822A" w14:textId="77777777" w:rsidR="006B1A68" w:rsidRPr="00B12B88" w:rsidRDefault="006B1A68" w:rsidP="006B1A68">
            <w:pPr>
              <w:numPr>
                <w:ilvl w:val="0"/>
                <w:numId w:val="38"/>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netika pilnībā apgūts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gadam papildu piešķirtais finansējums projektam “Ēkas Rīgā, Kalnciema ielā 14</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 xml:space="preserve"> telpu nomas maksa” (ilgtermiņa saistības) un projektam “Telpu Rīgā, Talejas ielā</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1, nomas maksas izdevumu segšana” (ilgtermiņa saistības).</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Neapgūts asignējums 6,6</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AE07DF">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apmērā gada beigās tika slēgts.</w:t>
            </w:r>
          </w:p>
          <w:p w14:paraId="0FDF4660" w14:textId="77777777" w:rsidR="006B1A68" w:rsidRPr="00B12B88" w:rsidRDefault="006B1A68" w:rsidP="006B1A68">
            <w:pPr>
              <w:tabs>
                <w:tab w:val="left" w:pos="284"/>
              </w:tabs>
              <w:ind w:left="321"/>
              <w:jc w:val="both"/>
              <w:rPr>
                <w:rFonts w:ascii="Times New Roman" w:eastAsia="Times New Roman" w:hAnsi="Times New Roman" w:cs="Times New Roman"/>
                <w:sz w:val="24"/>
                <w:szCs w:val="24"/>
                <w:lang w:eastAsia="lv-LV"/>
              </w:rPr>
            </w:pPr>
          </w:p>
          <w:p w14:paraId="039B7E6F" w14:textId="77777777" w:rsidR="006B1A68" w:rsidRPr="00B12B88" w:rsidRDefault="006B1A68" w:rsidP="006B1A68">
            <w:pPr>
              <w:numPr>
                <w:ilvl w:val="0"/>
                <w:numId w:val="38"/>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Izdevumi kapitālajiem izdevumiem (KK 5000) mazāki par 288,6</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AE07DF">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(neizpilde 18,5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w:t>
            </w:r>
          </w:p>
          <w:p w14:paraId="7F4E2C95" w14:textId="77777777" w:rsidR="006B1A68" w:rsidRPr="00B12B88" w:rsidRDefault="006B1A68" w:rsidP="006B1A68">
            <w:pPr>
              <w:numPr>
                <w:ilvl w:val="0"/>
                <w:numId w:val="38"/>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netika pilnībā apgūts Prokuratūras administratīvās ēkas Aspazijas bulvārī</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7, Rīgā</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 xml:space="preserve"> aprīkojumam piešķirtais papildu finansējums (daļu no neapgūtā finansējuma plānots vēl apgūt 2021.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 jo plānoto  iepirkumu savlaicīgu izpildi ietekmēja Covid</w:t>
            </w:r>
            <w:r>
              <w:rPr>
                <w:rFonts w:ascii="Times New Roman" w:eastAsia="Times New Roman" w:hAnsi="Times New Roman" w:cs="Times New Roman"/>
                <w:sz w:val="24"/>
                <w:szCs w:val="24"/>
                <w:lang w:eastAsia="lv-LV"/>
              </w:rPr>
              <w:t>-</w:t>
            </w:r>
            <w:r w:rsidRPr="00B12B88">
              <w:rPr>
                <w:rFonts w:ascii="Times New Roman" w:eastAsia="Times New Roman" w:hAnsi="Times New Roman" w:cs="Times New Roman"/>
                <w:sz w:val="24"/>
                <w:szCs w:val="24"/>
                <w:lang w:eastAsia="lv-LV"/>
              </w:rPr>
              <w:t>19 pandēmija); netika pilnībā apgūts 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vieglo a/m iegādei prioritārā pasākuma ietvaros papildu piešķirtais finansējums</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sakarā ar to, ka iepirkumu rezultātā a/m tika iepirkt</w:t>
            </w:r>
            <w:r>
              <w:rPr>
                <w:rFonts w:ascii="Times New Roman" w:eastAsia="Times New Roman" w:hAnsi="Times New Roman" w:cs="Times New Roman"/>
                <w:sz w:val="24"/>
                <w:szCs w:val="24"/>
                <w:lang w:eastAsia="lv-LV"/>
              </w:rPr>
              <w:t>as</w:t>
            </w:r>
            <w:r w:rsidRPr="00B12B88">
              <w:rPr>
                <w:rFonts w:ascii="Times New Roman" w:eastAsia="Times New Roman" w:hAnsi="Times New Roman" w:cs="Times New Roman"/>
                <w:sz w:val="24"/>
                <w:szCs w:val="24"/>
                <w:lang w:eastAsia="lv-LV"/>
              </w:rPr>
              <w:t xml:space="preserve"> par zemāku cenu</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nekā sākotnēji plānots  (neapgūti 8,3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093210">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netika apgūts saskaņā ar Ministru kabineta 2019.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augusta protokola Nr.</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35 26.</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22.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xml:space="preserve">punktu atbalstītais finansējums  gaisa kondicionieru uzstādīšanai </w:t>
            </w:r>
            <w:r>
              <w:rPr>
                <w:rFonts w:ascii="Times New Roman" w:eastAsia="Times New Roman" w:hAnsi="Times New Roman" w:cs="Times New Roman"/>
                <w:sz w:val="24"/>
                <w:szCs w:val="24"/>
                <w:lang w:eastAsia="lv-LV"/>
              </w:rPr>
              <w:t>P</w:t>
            </w:r>
            <w:r w:rsidRPr="00B12B88">
              <w:rPr>
                <w:rFonts w:ascii="Times New Roman" w:eastAsia="Times New Roman" w:hAnsi="Times New Roman" w:cs="Times New Roman"/>
                <w:sz w:val="24"/>
                <w:szCs w:val="24"/>
                <w:lang w:eastAsia="lv-LV"/>
              </w:rPr>
              <w:t>rokuratūras struktūrvienību telpās piemērotu darba apstākļu nodrošināšanai sakarā ar iepirkuma laikā konstatētaj</w:t>
            </w:r>
            <w:r>
              <w:rPr>
                <w:rFonts w:ascii="Times New Roman" w:eastAsia="Times New Roman" w:hAnsi="Times New Roman" w:cs="Times New Roman"/>
                <w:sz w:val="24"/>
                <w:szCs w:val="24"/>
                <w:lang w:eastAsia="lv-LV"/>
              </w:rPr>
              <w:t>ā</w:t>
            </w:r>
            <w:r w:rsidRPr="00B12B88">
              <w:rPr>
                <w:rFonts w:ascii="Times New Roman" w:eastAsia="Times New Roman" w:hAnsi="Times New Roman" w:cs="Times New Roman"/>
                <w:sz w:val="24"/>
                <w:szCs w:val="24"/>
                <w:lang w:eastAsia="lv-LV"/>
              </w:rPr>
              <w:t>m tehniskajām neatbilstībām ēkās, kurās tika plānots uzstādīt kondicionierus (neapgūti 32,3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093210">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 xml:space="preserve">kā arī netika pilnībā apgūts saimniecības </w:t>
            </w:r>
            <w:r w:rsidRPr="00B12B88">
              <w:rPr>
                <w:rFonts w:ascii="Times New Roman" w:eastAsia="Times New Roman" w:hAnsi="Times New Roman" w:cs="Times New Roman"/>
                <w:sz w:val="24"/>
                <w:szCs w:val="24"/>
                <w:lang w:eastAsia="lv-LV"/>
              </w:rPr>
              <w:lastRenderedPageBreak/>
              <w:t>pamatlīdzekļu iegādēm plānotais finansējums. Kopsummā netika apgūti 238,2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093210">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w:t>
            </w:r>
          </w:p>
          <w:p w14:paraId="75113C2C" w14:textId="77777777" w:rsidR="006B1A68" w:rsidRPr="00A04EA4" w:rsidRDefault="006B1A68" w:rsidP="006B1A68">
            <w:pPr>
              <w:numPr>
                <w:ilvl w:val="0"/>
                <w:numId w:val="38"/>
              </w:numPr>
              <w:tabs>
                <w:tab w:val="left" w:pos="284"/>
              </w:tabs>
              <w:ind w:left="321" w:hanging="284"/>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netika apgūts no Tieslietu ministrijas programmas 10.00.00 “Noziedzīgi iegūtu līdzekļu konfiskācijas fonds” līdzekļiem piešķirtais papildu finansējums 50,4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093210">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apmērā, lai nodrošinātu pasākuma “Prokuratūras kapacitātes stiprināšanai finanšu un ekonomisko noziegumu apkarošanas veicināšanai” īstenošanu sakarā ar to, ka saskaņā ar Finanšu ministrijas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23.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decembra rīkojumu Nr.</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578 ‘Par apropriāciju izmaiņām” apropriācijas pārdale veikta tikai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23.</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decembrī (finansējumu plānots apgūt 2021.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gadā).</w:t>
            </w:r>
          </w:p>
        </w:tc>
      </w:tr>
      <w:tr w:rsidR="006B1A68" w:rsidRPr="00B12B88" w14:paraId="214170CE" w14:textId="77777777" w:rsidTr="006B1A68">
        <w:tc>
          <w:tcPr>
            <w:tcW w:w="2835" w:type="dxa"/>
          </w:tcPr>
          <w:p w14:paraId="412EDBD7" w14:textId="77777777" w:rsidR="006B1A68" w:rsidRPr="00B12B88" w:rsidRDefault="006B1A68" w:rsidP="006B1A68">
            <w:pPr>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lastRenderedPageBreak/>
              <w:t>2.Kādi ir iemesli, kāpēc slēgtie asignējumi budžeta izpildes laikā netika pārvirzīti citiem mērķiem, kur finansējums ir bijis nepietiekams</w:t>
            </w:r>
          </w:p>
          <w:p w14:paraId="3DB4A25E" w14:textId="77777777" w:rsidR="006B1A68" w:rsidRPr="00B12B88" w:rsidRDefault="006B1A68" w:rsidP="006B1A68">
            <w:pPr>
              <w:ind w:left="286"/>
              <w:contextualSpacing/>
              <w:rPr>
                <w:rFonts w:ascii="Times New Roman" w:eastAsia="Calibri" w:hAnsi="Times New Roman" w:cs="Times New Roman"/>
                <w:sz w:val="24"/>
                <w:szCs w:val="24"/>
              </w:rPr>
            </w:pPr>
          </w:p>
        </w:tc>
        <w:tc>
          <w:tcPr>
            <w:tcW w:w="6095" w:type="dxa"/>
          </w:tcPr>
          <w:p w14:paraId="55C5D321" w14:textId="77777777" w:rsidR="006B1A68" w:rsidRPr="00A04EA4" w:rsidRDefault="006B1A68" w:rsidP="006B1A68">
            <w:pPr>
              <w:tabs>
                <w:tab w:val="left" w:pos="993"/>
              </w:tabs>
              <w:ind w:left="3"/>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t>Slēgtie asignējumi 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gadā – pamatā tas ir prioritārajiem pasākumiem “Prokuratūras struktūrvienību ēkas Kalpaka bulvārī</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6, Rīgā</w:t>
            </w:r>
            <w:r>
              <w:rPr>
                <w:rFonts w:ascii="Times New Roman" w:eastAsia="Calibri" w:hAnsi="Times New Roman" w:cs="Times New Roman"/>
                <w:sz w:val="24"/>
                <w:szCs w:val="24"/>
              </w:rPr>
              <w:t>,</w:t>
            </w:r>
            <w:r w:rsidRPr="00B12B88">
              <w:rPr>
                <w:rFonts w:ascii="Times New Roman" w:eastAsia="Calibri" w:hAnsi="Times New Roman" w:cs="Times New Roman"/>
                <w:sz w:val="24"/>
                <w:szCs w:val="24"/>
              </w:rPr>
              <w:t xml:space="preserve"> remontdarbi”, </w:t>
            </w:r>
            <w:r w:rsidRPr="00B12B88">
              <w:rPr>
                <w:rFonts w:ascii="Times New Roman" w:eastAsia="Calibri" w:hAnsi="Times New Roman" w:cs="Times New Roman"/>
                <w:iCs/>
                <w:sz w:val="24"/>
                <w:szCs w:val="24"/>
              </w:rPr>
              <w:t xml:space="preserve">“Materiāltehniskais nodrošinājums Prokuratūrai noteikto funkciju izpildei” vai ar Ministru kabineta lēmumiem </w:t>
            </w:r>
            <w:r w:rsidRPr="00B12B88">
              <w:rPr>
                <w:rFonts w:ascii="Times New Roman" w:eastAsia="Calibri" w:hAnsi="Times New Roman" w:cs="Times New Roman"/>
                <w:sz w:val="24"/>
                <w:szCs w:val="24"/>
              </w:rPr>
              <w:t>piešķirtais un neapgūt</w:t>
            </w:r>
            <w:r>
              <w:rPr>
                <w:rFonts w:ascii="Times New Roman" w:eastAsia="Calibri" w:hAnsi="Times New Roman" w:cs="Times New Roman"/>
                <w:sz w:val="24"/>
                <w:szCs w:val="24"/>
              </w:rPr>
              <w:t>ai</w:t>
            </w:r>
            <w:r w:rsidRPr="00B12B88">
              <w:rPr>
                <w:rFonts w:ascii="Times New Roman" w:eastAsia="Calibri" w:hAnsi="Times New Roman" w:cs="Times New Roman"/>
                <w:sz w:val="24"/>
                <w:szCs w:val="24"/>
              </w:rPr>
              <w:t>s papildu finansējums, kā arī 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 xml:space="preserve">gada decembrī piešķirtais Tieslietu ministrijas </w:t>
            </w:r>
            <w:proofErr w:type="spellStart"/>
            <w:r w:rsidRPr="00B12B88">
              <w:rPr>
                <w:rFonts w:ascii="Times New Roman" w:eastAsia="Calibri" w:hAnsi="Times New Roman" w:cs="Times New Roman"/>
                <w:sz w:val="24"/>
                <w:szCs w:val="24"/>
              </w:rPr>
              <w:t>transferts</w:t>
            </w:r>
            <w:proofErr w:type="spellEnd"/>
            <w:r w:rsidRPr="00B12B88">
              <w:rPr>
                <w:rFonts w:ascii="Times New Roman" w:eastAsia="Calibri" w:hAnsi="Times New Roman" w:cs="Times New Roman"/>
                <w:sz w:val="24"/>
                <w:szCs w:val="24"/>
              </w:rPr>
              <w:t xml:space="preserve"> no </w:t>
            </w:r>
            <w:r w:rsidRPr="00B12B88">
              <w:rPr>
                <w:rFonts w:ascii="Times New Roman" w:eastAsia="Calibri" w:hAnsi="Times New Roman" w:cs="Times New Roman"/>
                <w:bCs/>
                <w:sz w:val="24"/>
                <w:szCs w:val="24"/>
              </w:rPr>
              <w:t>programmas 10.00.00 “Noziedzīgi iegūtu līdzekļu konfiskācijas fonds” līdzekļiem</w:t>
            </w:r>
            <w:r w:rsidRPr="00B12B88">
              <w:rPr>
                <w:rFonts w:ascii="Times New Roman" w:eastAsia="Calibri" w:hAnsi="Times New Roman" w:cs="Times New Roman"/>
                <w:sz w:val="24"/>
                <w:szCs w:val="24"/>
              </w:rPr>
              <w:t>, kurš līdz gada beigām fiziski nevarēja tikt apgūts. Pamatā Prokuratūra varēja sasniegt 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gadam plānoto mērķu sasniegšanu piešķirtā finansējuma ietvaros.</w:t>
            </w:r>
          </w:p>
        </w:tc>
      </w:tr>
    </w:tbl>
    <w:p w14:paraId="6691642D" w14:textId="77777777" w:rsidR="006B1A68" w:rsidRPr="00B12B88" w:rsidRDefault="006B1A68" w:rsidP="006B1A68">
      <w:pPr>
        <w:tabs>
          <w:tab w:val="left" w:pos="993"/>
        </w:tabs>
        <w:spacing w:after="0" w:line="240" w:lineRule="auto"/>
        <w:rPr>
          <w:rFonts w:eastAsia="Calibri" w:cs="Times New Roman"/>
          <w:szCs w:val="24"/>
        </w:rPr>
      </w:pPr>
    </w:p>
    <w:p w14:paraId="72BD0E47" w14:textId="77777777" w:rsidR="006B1A68" w:rsidRPr="00A73554" w:rsidRDefault="006B1A68" w:rsidP="006B1A68">
      <w:pPr>
        <w:pStyle w:val="ListParagraph"/>
        <w:numPr>
          <w:ilvl w:val="0"/>
          <w:numId w:val="43"/>
        </w:numPr>
        <w:tabs>
          <w:tab w:val="left" w:pos="993"/>
        </w:tabs>
        <w:spacing w:after="0" w:line="240" w:lineRule="auto"/>
        <w:rPr>
          <w:rFonts w:eastAsia="Calibri" w:cs="Times New Roman"/>
          <w:b/>
          <w:szCs w:val="24"/>
        </w:rPr>
      </w:pPr>
      <w:r w:rsidRPr="00A73554">
        <w:rPr>
          <w:rFonts w:eastAsia="Calibri" w:cs="Times New Roman"/>
          <w:b/>
          <w:szCs w:val="24"/>
        </w:rPr>
        <w:t>Eiropas Savienības politiku instrumentu un pārējās ārvalstu finanšu palīdzības līdzfinansēto un  finansēto projektu un pasākumu īstenošana</w:t>
      </w:r>
    </w:p>
    <w:p w14:paraId="59D9A444" w14:textId="77777777" w:rsidR="006B1A68" w:rsidRPr="00B12B88" w:rsidRDefault="006B1A68" w:rsidP="006B1A68">
      <w:pPr>
        <w:tabs>
          <w:tab w:val="left" w:pos="993"/>
        </w:tabs>
        <w:spacing w:after="0" w:line="240" w:lineRule="auto"/>
        <w:jc w:val="center"/>
        <w:rPr>
          <w:rFonts w:eastAsia="Calibri" w:cs="Times New Roman"/>
          <w:b/>
          <w:szCs w:val="24"/>
        </w:rPr>
      </w:pPr>
    </w:p>
    <w:tbl>
      <w:tblPr>
        <w:tblStyle w:val="TableGrid5"/>
        <w:tblW w:w="8930" w:type="dxa"/>
        <w:tblInd w:w="137" w:type="dxa"/>
        <w:tblLayout w:type="fixed"/>
        <w:tblLook w:val="04A0" w:firstRow="1" w:lastRow="0" w:firstColumn="1" w:lastColumn="0" w:noHBand="0" w:noVBand="1"/>
      </w:tblPr>
      <w:tblGrid>
        <w:gridCol w:w="2835"/>
        <w:gridCol w:w="6095"/>
      </w:tblGrid>
      <w:tr w:rsidR="006B1A68" w:rsidRPr="00B12B88" w14:paraId="1DA25674" w14:textId="77777777" w:rsidTr="006B1A68">
        <w:tc>
          <w:tcPr>
            <w:tcW w:w="2835" w:type="dxa"/>
          </w:tcPr>
          <w:p w14:paraId="0D7FA2E4" w14:textId="77777777" w:rsidR="006B1A68" w:rsidRPr="00B12B88" w:rsidRDefault="006B1A68" w:rsidP="006B1A68">
            <w:pPr>
              <w:tabs>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Pr>
                <w:rFonts w:ascii="Times New Roman" w:eastAsia="Calibri" w:hAnsi="Times New Roman" w:cs="Times New Roman"/>
                <w:b/>
                <w:sz w:val="24"/>
                <w:szCs w:val="24"/>
              </w:rPr>
              <w:t xml:space="preserve"> </w:t>
            </w:r>
            <w:r w:rsidRPr="00B12B88">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w:t>
            </w:r>
            <w:r w:rsidRPr="00B12B88">
              <w:rPr>
                <w:rFonts w:ascii="Times New Roman" w:eastAsia="Calibri" w:hAnsi="Times New Roman" w:cs="Times New Roman"/>
                <w:b/>
                <w:sz w:val="24"/>
                <w:szCs w:val="24"/>
              </w:rPr>
              <w:t>apakšprogrammas kods</w:t>
            </w:r>
          </w:p>
          <w:p w14:paraId="7498C4AA" w14:textId="77777777" w:rsidR="006B1A68" w:rsidRPr="00843F96" w:rsidRDefault="006B1A68" w:rsidP="006B1A68">
            <w:pPr>
              <w:tabs>
                <w:tab w:val="left" w:pos="6812"/>
              </w:tabs>
              <w:spacing w:before="60"/>
              <w:jc w:val="center"/>
              <w:rPr>
                <w:rFonts w:ascii="Times New Roman" w:eastAsia="Calibri" w:hAnsi="Times New Roman" w:cs="Times New Roman"/>
                <w:b/>
                <w:sz w:val="24"/>
                <w:szCs w:val="24"/>
                <w:u w:val="single"/>
              </w:rPr>
            </w:pPr>
            <w:r w:rsidRPr="00B12B88">
              <w:rPr>
                <w:rFonts w:ascii="Times New Roman" w:eastAsia="Calibri" w:hAnsi="Times New Roman" w:cs="Times New Roman"/>
                <w:b/>
                <w:sz w:val="24"/>
                <w:szCs w:val="24"/>
                <w:u w:val="single"/>
              </w:rPr>
              <w:t>62.07.00</w:t>
            </w:r>
          </w:p>
        </w:tc>
        <w:tc>
          <w:tcPr>
            <w:tcW w:w="6095" w:type="dxa"/>
          </w:tcPr>
          <w:p w14:paraId="23BDA4AC" w14:textId="77777777" w:rsidR="006B1A68" w:rsidRPr="00B12B88" w:rsidRDefault="006B1A68" w:rsidP="006B1A68">
            <w:pPr>
              <w:tabs>
                <w:tab w:val="left" w:pos="993"/>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sidRPr="00B12B88">
              <w:rPr>
                <w:rFonts w:ascii="Times New Roman" w:eastAsia="Calibri" w:hAnsi="Times New Roman" w:cs="Times New Roman"/>
                <w:sz w:val="24"/>
                <w:szCs w:val="24"/>
              </w:rPr>
              <w:t>/</w:t>
            </w:r>
            <w:r w:rsidRPr="00B12B88">
              <w:rPr>
                <w:rFonts w:ascii="Times New Roman" w:eastAsia="Calibri" w:hAnsi="Times New Roman" w:cs="Times New Roman"/>
                <w:b/>
                <w:sz w:val="24"/>
                <w:szCs w:val="24"/>
              </w:rPr>
              <w:t>apakšprogrammas nosaukums</w:t>
            </w:r>
          </w:p>
          <w:p w14:paraId="3D631827" w14:textId="77777777" w:rsidR="006B1A68" w:rsidRPr="00B12B88" w:rsidRDefault="006B1A68" w:rsidP="006B1A68">
            <w:pPr>
              <w:tabs>
                <w:tab w:val="left" w:pos="6812"/>
              </w:tabs>
              <w:spacing w:before="60" w:after="120"/>
              <w:jc w:val="center"/>
              <w:rPr>
                <w:rFonts w:ascii="Times New Roman" w:eastAsia="Calibri" w:hAnsi="Times New Roman" w:cs="Times New Roman"/>
                <w:b/>
                <w:sz w:val="24"/>
                <w:szCs w:val="24"/>
                <w:highlight w:val="yellow"/>
                <w:u w:val="single"/>
              </w:rPr>
            </w:pPr>
            <w:r w:rsidRPr="00B12B88">
              <w:rPr>
                <w:rFonts w:ascii="Times New Roman" w:eastAsia="Calibri" w:hAnsi="Times New Roman" w:cs="Times New Roman"/>
                <w:b/>
                <w:sz w:val="24"/>
                <w:szCs w:val="24"/>
                <w:u w:val="single"/>
              </w:rPr>
              <w:t>Eiropas Reģionālās attīstības fonda (ERAF) projektu un pasākumu īstenošana (2014-2020)</w:t>
            </w:r>
          </w:p>
        </w:tc>
      </w:tr>
      <w:tr w:rsidR="006B1A68" w:rsidRPr="00B12B88" w14:paraId="680318B7" w14:textId="77777777" w:rsidTr="006B1A68">
        <w:tc>
          <w:tcPr>
            <w:tcW w:w="2835" w:type="dxa"/>
          </w:tcPr>
          <w:p w14:paraId="77DB6226" w14:textId="77777777" w:rsidR="006B1A68" w:rsidRPr="00B12B88"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Paveiktais</w:t>
            </w:r>
          </w:p>
        </w:tc>
        <w:tc>
          <w:tcPr>
            <w:tcW w:w="6095" w:type="dxa"/>
          </w:tcPr>
          <w:p w14:paraId="36514CFB" w14:textId="77777777" w:rsidR="006B1A68" w:rsidRPr="00B12B88" w:rsidRDefault="006B1A68" w:rsidP="006B1A68">
            <w:pPr>
              <w:tabs>
                <w:tab w:val="left" w:pos="993"/>
              </w:tabs>
              <w:spacing w:before="40" w:after="40"/>
              <w:rPr>
                <w:rFonts w:ascii="Times New Roman" w:eastAsia="Calibri" w:hAnsi="Times New Roman" w:cs="Times New Roman"/>
                <w:b/>
                <w:sz w:val="24"/>
                <w:szCs w:val="24"/>
              </w:rPr>
            </w:pPr>
          </w:p>
        </w:tc>
      </w:tr>
      <w:tr w:rsidR="006B1A68" w:rsidRPr="00B12B88" w14:paraId="02B103D6" w14:textId="77777777" w:rsidTr="006B1A68">
        <w:tc>
          <w:tcPr>
            <w:tcW w:w="2835" w:type="dxa"/>
          </w:tcPr>
          <w:p w14:paraId="59D81506" w14:textId="77777777" w:rsidR="006B1A68" w:rsidRPr="00B12B88" w:rsidRDefault="006B1A68" w:rsidP="006B1A68">
            <w:pPr>
              <w:numPr>
                <w:ilvl w:val="0"/>
                <w:numId w:val="35"/>
              </w:numPr>
              <w:tabs>
                <w:tab w:val="left" w:pos="993"/>
              </w:tabs>
              <w:ind w:left="315" w:hanging="284"/>
              <w:contextualSpacing/>
              <w:rPr>
                <w:rFonts w:ascii="Times New Roman" w:eastAsia="Calibri" w:hAnsi="Times New Roman" w:cs="Times New Roman"/>
                <w:sz w:val="24"/>
                <w:szCs w:val="24"/>
              </w:rPr>
            </w:pPr>
            <w:r w:rsidRPr="00B12B88">
              <w:rPr>
                <w:rFonts w:ascii="Times New Roman" w:eastAsia="Calibri" w:hAnsi="Times New Roman" w:cs="Times New Roman"/>
                <w:spacing w:val="-2"/>
                <w:sz w:val="24"/>
                <w:szCs w:val="24"/>
              </w:rPr>
              <w:t>Pārskata periodā paveiktais – specifiskā atbalsta mērķi/pasākumi/projekti</w:t>
            </w:r>
            <w:r w:rsidRPr="00B12B88">
              <w:rPr>
                <w:rFonts w:ascii="Times New Roman" w:eastAsia="Calibri" w:hAnsi="Times New Roman" w:cs="Times New Roman"/>
                <w:sz w:val="24"/>
                <w:szCs w:val="24"/>
              </w:rPr>
              <w:t>, kas visuzskatāmāk sniedz informāciju par finansējuma izlietojumu, un apraksts par pārskata periodā tajos paveiktām darbībām/sasniegumiem, aptverot būtisku daļu no kopējā pārskata periodā izlietotā finansējuma un uzsverot lietderību un ieguldījumu sabiedrības un nozares interesēs</w:t>
            </w:r>
          </w:p>
        </w:tc>
        <w:tc>
          <w:tcPr>
            <w:tcW w:w="6095" w:type="dxa"/>
            <w:shd w:val="clear" w:color="auto" w:fill="FFFFFF"/>
          </w:tcPr>
          <w:p w14:paraId="51AB5A46" w14:textId="77777777" w:rsidR="006B1A68" w:rsidRPr="00B12B88" w:rsidRDefault="006B1A68" w:rsidP="006B1A68">
            <w:pPr>
              <w:tabs>
                <w:tab w:val="left" w:pos="217"/>
              </w:tabs>
              <w:ind w:left="217"/>
              <w:contextualSpacing/>
              <w:jc w:val="both"/>
              <w:rPr>
                <w:rFonts w:ascii="Times New Roman" w:eastAsia="Times New Roman" w:hAnsi="Times New Roman" w:cs="Times New Roman"/>
                <w:color w:val="353838"/>
                <w:sz w:val="24"/>
                <w:szCs w:val="24"/>
                <w:lang w:eastAsia="lv-LV"/>
              </w:rPr>
            </w:pPr>
            <w:r w:rsidRPr="00B12B88">
              <w:rPr>
                <w:rFonts w:ascii="Times New Roman" w:eastAsia="Times New Roman" w:hAnsi="Times New Roman" w:cs="Times New Roman"/>
                <w:color w:val="353838"/>
                <w:sz w:val="24"/>
                <w:szCs w:val="24"/>
                <w:lang w:eastAsia="lv-LV"/>
              </w:rPr>
              <w:t>Projekta "Prokuratūras informācijas sistēmas attīstība" Nr.</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2.2.1.1/17/I/010 ietvaros 2020.</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gada 12</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 xml:space="preserve">mēnešos tika īstenotas </w:t>
            </w:r>
            <w:r>
              <w:rPr>
                <w:rFonts w:ascii="Times New Roman" w:eastAsia="Times New Roman" w:hAnsi="Times New Roman" w:cs="Times New Roman"/>
                <w:color w:val="353838"/>
                <w:sz w:val="24"/>
                <w:szCs w:val="24"/>
                <w:lang w:eastAsia="lv-LV"/>
              </w:rPr>
              <w:t>šādas</w:t>
            </w:r>
            <w:r w:rsidRPr="00B12B88">
              <w:rPr>
                <w:rFonts w:ascii="Times New Roman" w:eastAsia="Times New Roman" w:hAnsi="Times New Roman" w:cs="Times New Roman"/>
                <w:color w:val="353838"/>
                <w:sz w:val="24"/>
                <w:szCs w:val="24"/>
                <w:lang w:eastAsia="lv-LV"/>
              </w:rPr>
              <w:t xml:space="preserve"> aktivitātes:</w:t>
            </w:r>
          </w:p>
          <w:p w14:paraId="35B31A21" w14:textId="77777777" w:rsidR="006B1A68" w:rsidRPr="00B12B88" w:rsidRDefault="006B1A68" w:rsidP="006B1A68">
            <w:pPr>
              <w:numPr>
                <w:ilvl w:val="0"/>
                <w:numId w:val="39"/>
              </w:numPr>
              <w:tabs>
                <w:tab w:val="left" w:pos="217"/>
              </w:tabs>
              <w:ind w:left="217" w:hanging="217"/>
              <w:contextualSpacing/>
              <w:jc w:val="both"/>
              <w:rPr>
                <w:rFonts w:ascii="Times New Roman" w:eastAsia="Times New Roman" w:hAnsi="Times New Roman" w:cs="Times New Roman"/>
                <w:color w:val="353838"/>
                <w:sz w:val="24"/>
                <w:szCs w:val="24"/>
                <w:lang w:eastAsia="lv-LV"/>
              </w:rPr>
            </w:pPr>
            <w:r w:rsidRPr="00B12B88">
              <w:rPr>
                <w:rFonts w:ascii="Times New Roman" w:eastAsia="Times New Roman" w:hAnsi="Times New Roman" w:cs="Times New Roman"/>
                <w:color w:val="353838"/>
                <w:sz w:val="24"/>
                <w:szCs w:val="24"/>
                <w:lang w:eastAsia="lv-LV"/>
              </w:rPr>
              <w:t>Līguma</w:t>
            </w:r>
            <w:r>
              <w:rPr>
                <w:rFonts w:ascii="Times New Roman" w:eastAsia="Times New Roman" w:hAnsi="Times New Roman" w:cs="Times New Roman"/>
                <w:color w:val="353838"/>
                <w:sz w:val="24"/>
                <w:szCs w:val="24"/>
                <w:lang w:eastAsia="lv-LV"/>
              </w:rPr>
              <w:t xml:space="preserve"> </w:t>
            </w:r>
            <w:r w:rsidRPr="00B12B88">
              <w:rPr>
                <w:rFonts w:ascii="Times New Roman" w:eastAsia="Times New Roman" w:hAnsi="Times New Roman" w:cs="Times New Roman"/>
                <w:color w:val="353838"/>
                <w:sz w:val="24"/>
                <w:szCs w:val="24"/>
                <w:lang w:eastAsia="lv-LV"/>
              </w:rPr>
              <w:t>"Par Prokuratūras informācijas sistēmas pilnveidojumu un dokumentu skenēšanas aplikācijas izstrādi un administratoru, lietotāju apmācībām" Nr.</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LRP 2019/33 noteiktās aktivitātes, proti, projekta 1.</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 xml:space="preserve">kārtas izstrādāto funkcionālo prasību akcepttestēšana, kā arī uzsākti turpmākie izstrādes darbi, kas noteikti noslēgtajā līgumā ar SIA “ZZ DATS”; </w:t>
            </w:r>
          </w:p>
          <w:p w14:paraId="32FE30A4" w14:textId="77777777" w:rsidR="006B1A68" w:rsidRPr="00B12B88" w:rsidRDefault="006B1A68" w:rsidP="006B1A68">
            <w:pPr>
              <w:numPr>
                <w:ilvl w:val="0"/>
                <w:numId w:val="39"/>
              </w:numPr>
              <w:tabs>
                <w:tab w:val="left" w:pos="217"/>
              </w:tabs>
              <w:ind w:left="217" w:hanging="217"/>
              <w:contextualSpacing/>
              <w:jc w:val="both"/>
              <w:rPr>
                <w:rFonts w:ascii="Times New Roman" w:eastAsia="Times New Roman" w:hAnsi="Times New Roman" w:cs="Times New Roman"/>
                <w:color w:val="353838"/>
                <w:sz w:val="24"/>
                <w:szCs w:val="24"/>
                <w:lang w:eastAsia="lv-LV"/>
              </w:rPr>
            </w:pPr>
            <w:r w:rsidRPr="00B12B88">
              <w:rPr>
                <w:rFonts w:ascii="Times New Roman" w:eastAsia="Times New Roman" w:hAnsi="Times New Roman" w:cs="Times New Roman"/>
                <w:color w:val="353838"/>
                <w:sz w:val="24"/>
                <w:szCs w:val="24"/>
                <w:lang w:eastAsia="lv-LV"/>
              </w:rPr>
              <w:t>Līguma "Par E-lietas risinājuma arhitektūras un tehnisko specifikāciju izstrādi un kvalitātes kontroles pakalpojumiem" Nr.</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4.2-18/46-18 noteiktās aktivitātes</w:t>
            </w:r>
            <w:r>
              <w:rPr>
                <w:rFonts w:ascii="Times New Roman" w:eastAsia="Times New Roman" w:hAnsi="Times New Roman" w:cs="Times New Roman"/>
                <w:color w:val="353838"/>
                <w:sz w:val="24"/>
                <w:szCs w:val="24"/>
                <w:lang w:eastAsia="lv-LV"/>
              </w:rPr>
              <w:t xml:space="preserve"> – </w:t>
            </w:r>
            <w:r w:rsidRPr="00B12B88">
              <w:rPr>
                <w:rFonts w:ascii="Times New Roman" w:eastAsia="Times New Roman" w:hAnsi="Times New Roman" w:cs="Times New Roman"/>
                <w:color w:val="353838"/>
                <w:sz w:val="24"/>
                <w:szCs w:val="24"/>
                <w:lang w:eastAsia="lv-LV"/>
              </w:rPr>
              <w:t>sadarbībā ar kvalitātes uzraugiem veikta projekta uzraudzība un sadarbības plāna sastādīšana kopēj</w:t>
            </w:r>
            <w:r>
              <w:rPr>
                <w:rFonts w:ascii="Times New Roman" w:eastAsia="Times New Roman" w:hAnsi="Times New Roman" w:cs="Times New Roman"/>
                <w:color w:val="353838"/>
                <w:sz w:val="24"/>
                <w:szCs w:val="24"/>
                <w:lang w:eastAsia="lv-LV"/>
              </w:rPr>
              <w:t>o</w:t>
            </w:r>
            <w:r w:rsidRPr="00B12B88">
              <w:rPr>
                <w:rFonts w:ascii="Times New Roman" w:eastAsia="Times New Roman" w:hAnsi="Times New Roman" w:cs="Times New Roman"/>
                <w:color w:val="353838"/>
                <w:sz w:val="24"/>
                <w:szCs w:val="24"/>
                <w:lang w:eastAsia="lv-LV"/>
              </w:rPr>
              <w:t xml:space="preserve"> E-lietas projekt</w:t>
            </w:r>
            <w:r>
              <w:rPr>
                <w:rFonts w:ascii="Times New Roman" w:eastAsia="Times New Roman" w:hAnsi="Times New Roman" w:cs="Times New Roman"/>
                <w:color w:val="353838"/>
                <w:sz w:val="24"/>
                <w:szCs w:val="24"/>
                <w:lang w:eastAsia="lv-LV"/>
              </w:rPr>
              <w:t>u</w:t>
            </w:r>
            <w:r w:rsidRPr="00B12B88">
              <w:rPr>
                <w:rFonts w:ascii="Times New Roman" w:eastAsia="Times New Roman" w:hAnsi="Times New Roman" w:cs="Times New Roman"/>
                <w:color w:val="353838"/>
                <w:sz w:val="24"/>
                <w:szCs w:val="24"/>
                <w:lang w:eastAsia="lv-LV"/>
              </w:rPr>
              <w:t xml:space="preserve"> integrācijas saskaņošanā;</w:t>
            </w:r>
          </w:p>
          <w:p w14:paraId="5C9CD673" w14:textId="77777777" w:rsidR="006B1A68" w:rsidRPr="00B12B88" w:rsidRDefault="006B1A68" w:rsidP="006B1A68">
            <w:pPr>
              <w:numPr>
                <w:ilvl w:val="0"/>
                <w:numId w:val="39"/>
              </w:numPr>
              <w:tabs>
                <w:tab w:val="left" w:pos="217"/>
              </w:tabs>
              <w:ind w:left="217" w:hanging="217"/>
              <w:contextualSpacing/>
              <w:jc w:val="both"/>
              <w:rPr>
                <w:rFonts w:ascii="Times New Roman" w:eastAsia="Times New Roman" w:hAnsi="Times New Roman" w:cs="Times New Roman"/>
                <w:color w:val="353838"/>
                <w:sz w:val="24"/>
                <w:szCs w:val="24"/>
                <w:lang w:eastAsia="lv-LV"/>
              </w:rPr>
            </w:pPr>
            <w:r w:rsidRPr="00B12B88">
              <w:rPr>
                <w:rFonts w:ascii="Times New Roman" w:eastAsia="Times New Roman" w:hAnsi="Times New Roman" w:cs="Times New Roman"/>
                <w:color w:val="353838"/>
                <w:sz w:val="24"/>
                <w:szCs w:val="24"/>
                <w:lang w:eastAsia="lv-LV"/>
              </w:rPr>
              <w:t xml:space="preserve">Līguma "Par E-lietas programmas informācijas sistēmu (TIS, PLUS, PROIS, IIS) un E-lietas platformas veiktspējas </w:t>
            </w:r>
            <w:r w:rsidRPr="00B12B88">
              <w:rPr>
                <w:rFonts w:ascii="Times New Roman" w:eastAsia="Times New Roman" w:hAnsi="Times New Roman" w:cs="Times New Roman"/>
                <w:color w:val="353838"/>
                <w:sz w:val="24"/>
                <w:szCs w:val="24"/>
                <w:lang w:eastAsia="lv-LV"/>
              </w:rPr>
              <w:lastRenderedPageBreak/>
              <w:t>un drošības auditu" Nr.</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4.2</w:t>
            </w:r>
            <w:r>
              <w:rPr>
                <w:rFonts w:ascii="Times New Roman" w:eastAsia="Times New Roman" w:hAnsi="Times New Roman" w:cs="Times New Roman"/>
                <w:color w:val="353838"/>
                <w:sz w:val="24"/>
                <w:szCs w:val="24"/>
                <w:lang w:eastAsia="lv-LV"/>
              </w:rPr>
              <w:t>-</w:t>
            </w:r>
            <w:r w:rsidRPr="00B12B88">
              <w:rPr>
                <w:rFonts w:ascii="Times New Roman" w:eastAsia="Times New Roman" w:hAnsi="Times New Roman" w:cs="Times New Roman"/>
                <w:color w:val="353838"/>
                <w:sz w:val="24"/>
                <w:szCs w:val="24"/>
                <w:lang w:eastAsia="lv-LV"/>
              </w:rPr>
              <w:t>18/132-20 ietvaros tika organizēts drošības audits projekta 1.</w:t>
            </w:r>
            <w:r>
              <w:rPr>
                <w:rFonts w:ascii="Times New Roman" w:eastAsia="Times New Roman" w:hAnsi="Times New Roman" w:cs="Times New Roman"/>
                <w:color w:val="353838"/>
                <w:sz w:val="24"/>
                <w:szCs w:val="24"/>
                <w:lang w:eastAsia="lv-LV"/>
              </w:rPr>
              <w:t> </w:t>
            </w:r>
            <w:r w:rsidRPr="00B12B88">
              <w:rPr>
                <w:rFonts w:ascii="Times New Roman" w:eastAsia="Times New Roman" w:hAnsi="Times New Roman" w:cs="Times New Roman"/>
                <w:color w:val="353838"/>
                <w:sz w:val="24"/>
                <w:szCs w:val="24"/>
                <w:lang w:eastAsia="lv-LV"/>
              </w:rPr>
              <w:t>kārtas testēšanai</w:t>
            </w:r>
            <w:r>
              <w:rPr>
                <w:rFonts w:ascii="Times New Roman" w:eastAsia="Times New Roman" w:hAnsi="Times New Roman" w:cs="Times New Roman"/>
                <w:color w:val="353838"/>
                <w:sz w:val="24"/>
                <w:szCs w:val="24"/>
                <w:lang w:eastAsia="lv-LV"/>
              </w:rPr>
              <w:t>;</w:t>
            </w:r>
          </w:p>
          <w:p w14:paraId="07DBCF93" w14:textId="77777777" w:rsidR="006B1A68" w:rsidRPr="00B12B88" w:rsidRDefault="006B1A68" w:rsidP="006B1A68">
            <w:pPr>
              <w:numPr>
                <w:ilvl w:val="0"/>
                <w:numId w:val="39"/>
              </w:numPr>
              <w:tabs>
                <w:tab w:val="left" w:pos="217"/>
              </w:tabs>
              <w:ind w:left="217" w:hanging="217"/>
              <w:contextualSpacing/>
              <w:jc w:val="both"/>
              <w:rPr>
                <w:rFonts w:ascii="Times New Roman" w:eastAsia="Times New Roman" w:hAnsi="Times New Roman" w:cs="Times New Roman"/>
                <w:color w:val="353838"/>
                <w:sz w:val="24"/>
                <w:szCs w:val="24"/>
                <w:lang w:eastAsia="lv-LV"/>
              </w:rPr>
            </w:pPr>
            <w:r w:rsidRPr="00B12B88">
              <w:rPr>
                <w:rFonts w:ascii="Times New Roman" w:eastAsia="Times New Roman" w:hAnsi="Times New Roman" w:cs="Times New Roman"/>
                <w:color w:val="353838"/>
                <w:sz w:val="24"/>
                <w:szCs w:val="24"/>
                <w:lang w:eastAsia="lv-LV"/>
              </w:rPr>
              <w:t xml:space="preserve">Nolūkā īstenot projektā noteiktās aktivitātes tika noslēgti sadarbības līgumi ar mērķi nodrošināt integrācijas ar Valsts ieņēmumu dienestu, Uzņēmumu reģistru, grāmatvedības programmu </w:t>
            </w:r>
            <w:proofErr w:type="spellStart"/>
            <w:r w:rsidRPr="00B12B88">
              <w:rPr>
                <w:rFonts w:ascii="Times New Roman" w:eastAsia="Times New Roman" w:hAnsi="Times New Roman" w:cs="Times New Roman"/>
                <w:color w:val="353838"/>
                <w:sz w:val="24"/>
                <w:szCs w:val="24"/>
                <w:lang w:eastAsia="lv-LV"/>
              </w:rPr>
              <w:t>Horizon</w:t>
            </w:r>
            <w:proofErr w:type="spellEnd"/>
            <w:r>
              <w:rPr>
                <w:rFonts w:ascii="Times New Roman" w:eastAsia="Times New Roman" w:hAnsi="Times New Roman" w:cs="Times New Roman"/>
                <w:color w:val="353838"/>
                <w:sz w:val="24"/>
                <w:szCs w:val="24"/>
                <w:lang w:eastAsia="lv-LV"/>
              </w:rPr>
              <w:t>;</w:t>
            </w:r>
            <w:r w:rsidRPr="00B12B88">
              <w:rPr>
                <w:rFonts w:ascii="Times New Roman" w:eastAsia="Times New Roman" w:hAnsi="Times New Roman" w:cs="Times New Roman"/>
                <w:color w:val="353838"/>
                <w:sz w:val="24"/>
                <w:szCs w:val="24"/>
                <w:lang w:eastAsia="lv-LV"/>
              </w:rPr>
              <w:t xml:space="preserve"> </w:t>
            </w:r>
          </w:p>
          <w:p w14:paraId="16B6ED0F" w14:textId="77777777" w:rsidR="006B1A68" w:rsidRPr="00B12B88" w:rsidRDefault="006B1A68" w:rsidP="006B1A68">
            <w:pPr>
              <w:numPr>
                <w:ilvl w:val="0"/>
                <w:numId w:val="39"/>
              </w:numPr>
              <w:tabs>
                <w:tab w:val="left" w:pos="217"/>
              </w:tabs>
              <w:ind w:left="217" w:hanging="217"/>
              <w:contextualSpacing/>
              <w:jc w:val="both"/>
              <w:rPr>
                <w:rFonts w:ascii="Times New Roman" w:eastAsia="Times New Roman" w:hAnsi="Times New Roman" w:cs="Times New Roman"/>
                <w:color w:val="353838"/>
                <w:sz w:val="24"/>
                <w:szCs w:val="24"/>
                <w:lang w:eastAsia="lv-LV"/>
              </w:rPr>
            </w:pPr>
            <w:r w:rsidRPr="00B12B88">
              <w:rPr>
                <w:rFonts w:ascii="Times New Roman" w:eastAsia="Times New Roman" w:hAnsi="Times New Roman" w:cs="Times New Roman"/>
                <w:color w:val="353838"/>
                <w:sz w:val="24"/>
                <w:szCs w:val="24"/>
                <w:lang w:eastAsia="lv-LV"/>
              </w:rPr>
              <w:t xml:space="preserve">Projekta ietvaros tika turpināts darbs pie Kriminālprocesa veidlapu izstrādes, kuras ir paredzēts izvietot PROIS kā </w:t>
            </w:r>
            <w:proofErr w:type="spellStart"/>
            <w:r w:rsidRPr="00B12B88">
              <w:rPr>
                <w:rFonts w:ascii="Times New Roman" w:eastAsia="Times New Roman" w:hAnsi="Times New Roman" w:cs="Times New Roman"/>
                <w:color w:val="353838"/>
                <w:sz w:val="24"/>
                <w:szCs w:val="24"/>
                <w:lang w:eastAsia="lv-LV"/>
              </w:rPr>
              <w:t>web</w:t>
            </w:r>
            <w:proofErr w:type="spellEnd"/>
            <w:r w:rsidRPr="00B12B88">
              <w:rPr>
                <w:rFonts w:ascii="Times New Roman" w:eastAsia="Times New Roman" w:hAnsi="Times New Roman" w:cs="Times New Roman"/>
                <w:color w:val="353838"/>
                <w:sz w:val="24"/>
                <w:szCs w:val="24"/>
                <w:lang w:eastAsia="lv-LV"/>
              </w:rPr>
              <w:t>-formas.</w:t>
            </w:r>
          </w:p>
        </w:tc>
      </w:tr>
      <w:tr w:rsidR="006B1A68" w:rsidRPr="00B12B88" w14:paraId="4118E055" w14:textId="77777777" w:rsidTr="006B1A68">
        <w:tc>
          <w:tcPr>
            <w:tcW w:w="2835" w:type="dxa"/>
          </w:tcPr>
          <w:p w14:paraId="5BECE2BC" w14:textId="77777777" w:rsidR="006B1A68" w:rsidRPr="00B12B88"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lastRenderedPageBreak/>
              <w:t>Neizpilde</w:t>
            </w:r>
          </w:p>
        </w:tc>
        <w:tc>
          <w:tcPr>
            <w:tcW w:w="6095" w:type="dxa"/>
          </w:tcPr>
          <w:p w14:paraId="29C336C5" w14:textId="77777777" w:rsidR="006B1A68" w:rsidRPr="00B12B88" w:rsidRDefault="006B1A68" w:rsidP="006B1A68">
            <w:pPr>
              <w:tabs>
                <w:tab w:val="left" w:pos="993"/>
              </w:tabs>
              <w:spacing w:before="40" w:after="40"/>
              <w:jc w:val="both"/>
              <w:rPr>
                <w:rFonts w:ascii="Times New Roman" w:eastAsia="Calibri" w:hAnsi="Times New Roman" w:cs="Times New Roman"/>
                <w:b/>
                <w:sz w:val="24"/>
                <w:szCs w:val="24"/>
              </w:rPr>
            </w:pPr>
          </w:p>
        </w:tc>
      </w:tr>
      <w:tr w:rsidR="006B1A68" w:rsidRPr="00B12B88" w14:paraId="20922907" w14:textId="77777777" w:rsidTr="006B1A68">
        <w:tc>
          <w:tcPr>
            <w:tcW w:w="2835" w:type="dxa"/>
          </w:tcPr>
          <w:p w14:paraId="726302A1" w14:textId="77777777" w:rsidR="006B1A68" w:rsidRPr="00B12B88" w:rsidRDefault="006B1A68" w:rsidP="006B1A68">
            <w:pPr>
              <w:numPr>
                <w:ilvl w:val="0"/>
                <w:numId w:val="33"/>
              </w:numPr>
              <w:ind w:left="321"/>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Kāds ir </w:t>
            </w:r>
            <w:r w:rsidRPr="00B12B88">
              <w:rPr>
                <w:rFonts w:ascii="Times New Roman" w:eastAsia="Times New Roman" w:hAnsi="Times New Roman" w:cs="Times New Roman"/>
                <w:sz w:val="24"/>
                <w:szCs w:val="24"/>
                <w:lang w:eastAsia="lv-LV"/>
              </w:rPr>
              <w:t>neapgūto asignējumu sadalījums pa izdevumu ekonomiskās klasifikācijas kodiem atbilstoši gadskārtējā valsts budžeta likuma struktūrai</w:t>
            </w:r>
          </w:p>
          <w:p w14:paraId="5B68CDF4" w14:textId="77777777" w:rsidR="006B1A68" w:rsidRPr="00B12B88" w:rsidRDefault="006B1A68" w:rsidP="006B1A68">
            <w:pPr>
              <w:ind w:left="321"/>
              <w:contextualSpacing/>
              <w:rPr>
                <w:rFonts w:ascii="Times New Roman" w:eastAsia="Calibri" w:hAnsi="Times New Roman" w:cs="Times New Roman"/>
                <w:sz w:val="24"/>
                <w:szCs w:val="24"/>
              </w:rPr>
            </w:pPr>
          </w:p>
        </w:tc>
        <w:tc>
          <w:tcPr>
            <w:tcW w:w="6095" w:type="dxa"/>
          </w:tcPr>
          <w:p w14:paraId="5EB1E008"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Izdevumu izpilde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mēnešos</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w:t>
            </w:r>
            <w:r w:rsidRPr="00B12B88">
              <w:rPr>
                <w:rFonts w:ascii="Times New Roman" w:eastAsia="Times New Roman" w:hAnsi="Times New Roman" w:cs="Times New Roman"/>
                <w:sz w:val="24"/>
                <w:szCs w:val="24"/>
                <w:lang w:eastAsia="lv-LV"/>
              </w:rPr>
              <w:t xml:space="preserve"> 292,8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C24E22">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w:t>
            </w:r>
          </w:p>
          <w:p w14:paraId="68EC7D4D" w14:textId="77777777" w:rsidR="006B1A68" w:rsidRDefault="006B1A68" w:rsidP="006B1A68">
            <w:pPr>
              <w:tabs>
                <w:tab w:val="left" w:pos="284"/>
              </w:tabs>
              <w:jc w:val="both"/>
              <w:rPr>
                <w:rFonts w:ascii="Times New Roman" w:eastAsia="Times New Roman" w:hAnsi="Times New Roman" w:cs="Times New Roman"/>
                <w:i/>
                <w:iCs/>
                <w:sz w:val="24"/>
                <w:szCs w:val="24"/>
                <w:lang w:eastAsia="lv-LV"/>
              </w:rPr>
            </w:pPr>
            <w:r w:rsidRPr="00B12B88">
              <w:rPr>
                <w:rFonts w:ascii="Times New Roman" w:eastAsia="Times New Roman" w:hAnsi="Times New Roman" w:cs="Times New Roman"/>
                <w:sz w:val="24"/>
                <w:szCs w:val="24"/>
                <w:lang w:eastAsia="lv-LV"/>
              </w:rPr>
              <w:t>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mēnešu plāns – 446,7</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C24E22">
              <w:rPr>
                <w:rFonts w:ascii="Times New Roman" w:eastAsia="Times New Roman" w:hAnsi="Times New Roman" w:cs="Times New Roman"/>
                <w:i/>
                <w:iCs/>
                <w:sz w:val="24"/>
                <w:szCs w:val="24"/>
                <w:lang w:eastAsia="lv-LV"/>
              </w:rPr>
              <w:t>euro</w:t>
            </w:r>
          </w:p>
          <w:p w14:paraId="538FF07A"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p>
          <w:p w14:paraId="54095BAD" w14:textId="77777777" w:rsidR="006B1A68" w:rsidRDefault="006B1A68" w:rsidP="006B1A68">
            <w:pPr>
              <w:tabs>
                <w:tab w:val="left" w:pos="993"/>
              </w:tabs>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Neapgūts finansējums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mēnešos – 153,9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C24ADC">
              <w:rPr>
                <w:rFonts w:ascii="Times New Roman" w:eastAsia="Times New Roman" w:hAnsi="Times New Roman" w:cs="Times New Roman"/>
                <w:i/>
                <w:iCs/>
                <w:sz w:val="24"/>
                <w:szCs w:val="24"/>
                <w:lang w:eastAsia="lv-LV"/>
              </w:rPr>
              <w:t xml:space="preserve">euro </w:t>
            </w:r>
            <w:r w:rsidRPr="00B12B88">
              <w:rPr>
                <w:rFonts w:ascii="Times New Roman" w:eastAsia="Times New Roman" w:hAnsi="Times New Roman" w:cs="Times New Roman"/>
                <w:sz w:val="24"/>
                <w:szCs w:val="24"/>
                <w:lang w:eastAsia="lv-LV"/>
              </w:rPr>
              <w:t>(neizpilde 34,5</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t.</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xml:space="preserve">sk.: </w:t>
            </w:r>
          </w:p>
          <w:p w14:paraId="060ED025" w14:textId="77777777" w:rsidR="006B1A68" w:rsidRPr="00B12B88" w:rsidRDefault="006B1A68" w:rsidP="006B1A68">
            <w:pPr>
              <w:tabs>
                <w:tab w:val="left" w:pos="993"/>
              </w:tabs>
              <w:jc w:val="both"/>
              <w:rPr>
                <w:rFonts w:ascii="Times New Roman" w:eastAsia="Times New Roman" w:hAnsi="Times New Roman" w:cs="Times New Roman"/>
                <w:sz w:val="24"/>
                <w:szCs w:val="24"/>
                <w:lang w:eastAsia="lv-LV"/>
              </w:rPr>
            </w:pPr>
          </w:p>
          <w:p w14:paraId="0153DC2F"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 Izdevumi atlīdzībai (KK 1000) mazāki par 8,0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8D4D70">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(neizpilde 32,4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xml:space="preserve">%) sakarā ar to, ka divu plānoto darbinieku vietā faktiski bija tikai viens darbinieks, kuram projekta ietvaros tika veikta daļēja atlīdzība no projekta līdzekļiem;  </w:t>
            </w:r>
          </w:p>
          <w:p w14:paraId="0932A828"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p>
          <w:p w14:paraId="7769B908"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 Izdevumi precēm un pakalpojumiem (KK 2000) mazāki par 10,0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8D4D70">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(neizpilde 66,9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 E-lietas projektu programmas 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posma projektu izstrādē iestājās nepārvaramas varas apstākļi - Covid-19 pandēmija, kā rezultātā tika kavēti projektu izstrādes termiņi un finansējuma apguve. Līdz ar to netika veiktas plānotās aktivitātes, t.</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sk. plānotajā termiņā nevarēja tikt veikts drošības veiktspējas audits.</w:t>
            </w:r>
          </w:p>
          <w:p w14:paraId="2DEC5D95"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p>
          <w:p w14:paraId="5FCEEE20"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 Izdevumi kapitālajiem izdevumiem (KK 5000) mazāki par 135,9</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8D4D70">
              <w:rPr>
                <w:rFonts w:ascii="Times New Roman" w:eastAsia="Times New Roman" w:hAnsi="Times New Roman" w:cs="Times New Roman"/>
                <w:i/>
                <w:iCs/>
                <w:sz w:val="24"/>
                <w:szCs w:val="24"/>
                <w:lang w:eastAsia="lv-LV"/>
              </w:rPr>
              <w:t>euro</w:t>
            </w:r>
            <w:r w:rsidRPr="00B12B88">
              <w:rPr>
                <w:rFonts w:ascii="Times New Roman" w:eastAsia="Times New Roman" w:hAnsi="Times New Roman" w:cs="Times New Roman"/>
                <w:sz w:val="24"/>
                <w:szCs w:val="24"/>
                <w:lang w:eastAsia="lv-LV"/>
              </w:rPr>
              <w:t xml:space="preserve"> (neizpilde 33,4</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 sakarā ar to, ka E-lietas projektu programmas 1.</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posma projektu izstrādē iestājās nepārvaramas varas apstākļi - Covid-19 pandēmija, kā rezultātā tika kavēti projektu izstrādes termiņi un finansējuma apguve, t.</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sk. plānotajā termiņā nevarēja tikt nodrošināta programmatūras izstrāde.</w:t>
            </w:r>
          </w:p>
        </w:tc>
      </w:tr>
      <w:tr w:rsidR="006B1A68" w:rsidRPr="00B12B88" w14:paraId="62FA143D" w14:textId="77777777" w:rsidTr="006B1A68">
        <w:tc>
          <w:tcPr>
            <w:tcW w:w="2835" w:type="dxa"/>
          </w:tcPr>
          <w:p w14:paraId="223CBE7F" w14:textId="77777777" w:rsidR="006B1A68" w:rsidRPr="00B12B88" w:rsidRDefault="006B1A68" w:rsidP="006B1A68">
            <w:pPr>
              <w:numPr>
                <w:ilvl w:val="0"/>
                <w:numId w:val="33"/>
              </w:numPr>
              <w:spacing w:before="100" w:beforeAutospacing="1" w:after="100" w:afterAutospacing="1"/>
              <w:ind w:left="321"/>
              <w:contextualSpacing/>
              <w:rPr>
                <w:rFonts w:ascii="Times New Roman" w:eastAsia="Times New Roman" w:hAnsi="Times New Roman" w:cs="Times New Roman"/>
                <w:i/>
                <w:iCs/>
                <w:sz w:val="24"/>
                <w:szCs w:val="24"/>
                <w:lang w:eastAsia="lv-LV"/>
              </w:rPr>
            </w:pPr>
            <w:r w:rsidRPr="00B12B88">
              <w:rPr>
                <w:rFonts w:ascii="Times New Roman" w:eastAsia="Times New Roman" w:hAnsi="Times New Roman" w:cs="Times New Roman"/>
                <w:sz w:val="24"/>
                <w:szCs w:val="24"/>
                <w:lang w:eastAsia="lv-LV"/>
              </w:rPr>
              <w:t xml:space="preserve">Kādi ir iemesli, kāpēc slēgtie asignējumi budžeta izpildes laikā netika pārvirzīti citiem mērķiem, kur finansējums ir bijis nepietiekams </w:t>
            </w:r>
          </w:p>
          <w:p w14:paraId="0F64D685" w14:textId="77777777" w:rsidR="006B1A68" w:rsidRPr="00B12B88" w:rsidRDefault="006B1A68" w:rsidP="006B1A68">
            <w:pPr>
              <w:spacing w:before="100" w:beforeAutospacing="1" w:after="100" w:afterAutospacing="1"/>
              <w:ind w:left="321"/>
              <w:contextualSpacing/>
              <w:rPr>
                <w:rFonts w:ascii="Times New Roman" w:eastAsia="Calibri" w:hAnsi="Times New Roman" w:cs="Times New Roman"/>
                <w:sz w:val="24"/>
                <w:szCs w:val="24"/>
              </w:rPr>
            </w:pPr>
          </w:p>
        </w:tc>
        <w:tc>
          <w:tcPr>
            <w:tcW w:w="6095" w:type="dxa"/>
          </w:tcPr>
          <w:p w14:paraId="2A8671A0" w14:textId="77777777" w:rsidR="006B1A68" w:rsidRPr="00B12B88" w:rsidRDefault="006B1A68" w:rsidP="006B1A68">
            <w:pPr>
              <w:tabs>
                <w:tab w:val="left" w:pos="3969"/>
                <w:tab w:val="right" w:leader="underscore" w:pos="6804"/>
                <w:tab w:val="right" w:pos="9639"/>
              </w:tabs>
              <w:suppressAutoHyphens/>
              <w:contextualSpacing/>
              <w:jc w:val="both"/>
              <w:rPr>
                <w:rFonts w:ascii="Times New Roman" w:eastAsia="SimSun" w:hAnsi="Times New Roman" w:cs="Times New Roman"/>
                <w:iCs/>
                <w:kern w:val="1"/>
                <w:sz w:val="24"/>
                <w:szCs w:val="24"/>
                <w:lang w:eastAsia="hi-IN" w:bidi="hi-IN"/>
              </w:rPr>
            </w:pPr>
            <w:r w:rsidRPr="00B12B88">
              <w:rPr>
                <w:rFonts w:ascii="Times New Roman" w:eastAsia="Calibri" w:hAnsi="Times New Roman" w:cs="Times New Roman"/>
                <w:sz w:val="24"/>
                <w:szCs w:val="24"/>
              </w:rPr>
              <w:t>Ņemot vērā, ka Prokuratūrai 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gadā nebija citu realizējamo ERAF projektu, izņemot projektu “Prokuratūras informācijas sistēmas attīstība”, līdzekļi netika pārvirzīti citiem mērķiem. Turklāt 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gadā neapgūtais līdzekļu atlikums būs nepieciešams projekta realizācijai un pabeigšanai 2021.</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gadā. 2021.</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gada 2.</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februārī Tiesu administrācija ir sagatavojusi vēstuli VARAM “</w:t>
            </w:r>
            <w:r w:rsidRPr="00B12B88">
              <w:rPr>
                <w:rFonts w:ascii="Times New Roman" w:eastAsia="SimSun" w:hAnsi="Times New Roman" w:cs="Times New Roman"/>
                <w:iCs/>
                <w:kern w:val="1"/>
                <w:sz w:val="24"/>
                <w:szCs w:val="24"/>
                <w:lang w:eastAsia="hi-IN" w:bidi="hi-IN"/>
              </w:rPr>
              <w:t>Par E-lietas programmas projektu 1.</w:t>
            </w:r>
            <w:r>
              <w:rPr>
                <w:rFonts w:ascii="Times New Roman" w:eastAsia="SimSun" w:hAnsi="Times New Roman" w:cs="Times New Roman"/>
                <w:iCs/>
                <w:kern w:val="1"/>
                <w:sz w:val="24"/>
                <w:szCs w:val="24"/>
                <w:lang w:eastAsia="hi-IN" w:bidi="hi-IN"/>
              </w:rPr>
              <w:t> </w:t>
            </w:r>
            <w:r w:rsidRPr="00B12B88">
              <w:rPr>
                <w:rFonts w:ascii="Times New Roman" w:eastAsia="SimSun" w:hAnsi="Times New Roman" w:cs="Times New Roman"/>
                <w:iCs/>
                <w:kern w:val="1"/>
                <w:sz w:val="24"/>
                <w:szCs w:val="24"/>
                <w:lang w:eastAsia="hi-IN" w:bidi="hi-IN"/>
              </w:rPr>
              <w:t xml:space="preserve">posma termiņu pagarināšanu”, kurā tika aprakstīta situācija, </w:t>
            </w:r>
            <w:r w:rsidRPr="00B12B88">
              <w:rPr>
                <w:rFonts w:ascii="Times New Roman" w:eastAsia="SimSun" w:hAnsi="Times New Roman" w:cs="Times New Roman"/>
                <w:kern w:val="1"/>
                <w:sz w:val="24"/>
                <w:szCs w:val="24"/>
                <w:lang w:eastAsia="hi-IN" w:bidi="hi-IN"/>
              </w:rPr>
              <w:t>izklāstīti apstākļi un riski, kas ietekmējuši projekta īstenošanu sākotnēji plānotajā termiņā, ar lūgumu izskatīt iespēju piešķirt projektu termiņa pagarinājumu līdz 2021.</w:t>
            </w:r>
            <w:r>
              <w:rPr>
                <w:rFonts w:ascii="Times New Roman" w:eastAsia="SimSun" w:hAnsi="Times New Roman" w:cs="Times New Roman"/>
                <w:kern w:val="1"/>
                <w:sz w:val="24"/>
                <w:szCs w:val="24"/>
                <w:lang w:eastAsia="hi-IN" w:bidi="hi-IN"/>
              </w:rPr>
              <w:t> </w:t>
            </w:r>
            <w:r w:rsidRPr="00B12B88">
              <w:rPr>
                <w:rFonts w:ascii="Times New Roman" w:eastAsia="SimSun" w:hAnsi="Times New Roman" w:cs="Times New Roman"/>
                <w:kern w:val="1"/>
                <w:sz w:val="24"/>
                <w:szCs w:val="24"/>
                <w:lang w:eastAsia="hi-IN" w:bidi="hi-IN"/>
              </w:rPr>
              <w:t>gada 30.</w:t>
            </w:r>
            <w:r>
              <w:rPr>
                <w:rFonts w:ascii="Times New Roman" w:eastAsia="SimSun" w:hAnsi="Times New Roman" w:cs="Times New Roman"/>
                <w:kern w:val="1"/>
                <w:sz w:val="24"/>
                <w:szCs w:val="24"/>
                <w:lang w:eastAsia="hi-IN" w:bidi="hi-IN"/>
              </w:rPr>
              <w:t> </w:t>
            </w:r>
            <w:r w:rsidRPr="00B12B88">
              <w:rPr>
                <w:rFonts w:ascii="Times New Roman" w:eastAsia="SimSun" w:hAnsi="Times New Roman" w:cs="Times New Roman"/>
                <w:kern w:val="1"/>
                <w:sz w:val="24"/>
                <w:szCs w:val="24"/>
                <w:lang w:eastAsia="hi-IN" w:bidi="hi-IN"/>
              </w:rPr>
              <w:t>novembrim.</w:t>
            </w:r>
            <w:r w:rsidRPr="00B12B88">
              <w:rPr>
                <w:rFonts w:ascii="Times New Roman" w:eastAsia="SimSun" w:hAnsi="Times New Roman" w:cs="Times New Roman"/>
                <w:iCs/>
                <w:kern w:val="1"/>
                <w:sz w:val="24"/>
                <w:szCs w:val="24"/>
                <w:lang w:eastAsia="hi-IN" w:bidi="hi-IN"/>
              </w:rPr>
              <w:t xml:space="preserve"> </w:t>
            </w:r>
          </w:p>
          <w:p w14:paraId="02C1E1A4" w14:textId="77777777" w:rsidR="006B1A68" w:rsidRPr="00B12B88" w:rsidRDefault="006B1A68" w:rsidP="006B1A68">
            <w:pPr>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lastRenderedPageBreak/>
              <w:t xml:space="preserve">Līdz ar to, ja no VARAM tiks saņemts termiņa pagarinājuma saskaņojums,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 lūgs slēgtos asignējumus 2021.</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gadā  pārdalīt no 80.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programmas – iecerētā projekta pilnīgai pabeigšanai 2021.</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gadā.</w:t>
            </w:r>
          </w:p>
        </w:tc>
      </w:tr>
    </w:tbl>
    <w:p w14:paraId="2EE742D4" w14:textId="77777777" w:rsidR="006B1A68" w:rsidRPr="00B12B88" w:rsidRDefault="006B1A68" w:rsidP="006B1A68">
      <w:pPr>
        <w:tabs>
          <w:tab w:val="left" w:pos="993"/>
        </w:tabs>
        <w:spacing w:after="0" w:line="240" w:lineRule="auto"/>
        <w:rPr>
          <w:rFonts w:eastAsia="Calibri" w:cs="Times New Roman"/>
          <w:b/>
          <w:szCs w:val="24"/>
        </w:rPr>
      </w:pPr>
    </w:p>
    <w:p w14:paraId="78FB8140" w14:textId="77777777" w:rsidR="006B1A68" w:rsidRPr="005A5948" w:rsidRDefault="006B1A68" w:rsidP="006B1A68">
      <w:pPr>
        <w:pStyle w:val="ListParagraph"/>
        <w:numPr>
          <w:ilvl w:val="0"/>
          <w:numId w:val="43"/>
        </w:numPr>
        <w:tabs>
          <w:tab w:val="left" w:pos="993"/>
        </w:tabs>
        <w:spacing w:after="0" w:line="240" w:lineRule="auto"/>
        <w:rPr>
          <w:rFonts w:eastAsia="Calibri" w:cs="Times New Roman"/>
          <w:b/>
          <w:szCs w:val="24"/>
        </w:rPr>
      </w:pPr>
      <w:r w:rsidRPr="005A5948">
        <w:rPr>
          <w:rFonts w:eastAsia="Calibri" w:cs="Times New Roman"/>
          <w:b/>
          <w:szCs w:val="24"/>
        </w:rPr>
        <w:t>Latvijas pārstāvju ceļa izdevumu kompensācija, dodoties uz Eiropas Savienības Padomes darba grupu sanāksmēm un Padomes sanāksmēm</w:t>
      </w:r>
    </w:p>
    <w:p w14:paraId="639A63F7" w14:textId="77777777" w:rsidR="006B1A68" w:rsidRPr="00B12B88" w:rsidRDefault="006B1A68" w:rsidP="006B1A68">
      <w:pPr>
        <w:tabs>
          <w:tab w:val="left" w:pos="0"/>
        </w:tabs>
        <w:spacing w:after="0" w:line="240" w:lineRule="auto"/>
        <w:rPr>
          <w:rFonts w:eastAsia="Calibri" w:cs="Times New Roman"/>
          <w:szCs w:val="24"/>
        </w:rPr>
      </w:pPr>
    </w:p>
    <w:tbl>
      <w:tblPr>
        <w:tblStyle w:val="TableGrid5"/>
        <w:tblW w:w="8930" w:type="dxa"/>
        <w:tblInd w:w="137" w:type="dxa"/>
        <w:tblLook w:val="04A0" w:firstRow="1" w:lastRow="0" w:firstColumn="1" w:lastColumn="0" w:noHBand="0" w:noVBand="1"/>
      </w:tblPr>
      <w:tblGrid>
        <w:gridCol w:w="2929"/>
        <w:gridCol w:w="6001"/>
      </w:tblGrid>
      <w:tr w:rsidR="006B1A68" w:rsidRPr="00B12B88" w14:paraId="6A792C4A" w14:textId="77777777" w:rsidTr="006B1A68">
        <w:tc>
          <w:tcPr>
            <w:tcW w:w="2835" w:type="dxa"/>
          </w:tcPr>
          <w:p w14:paraId="34F9F457" w14:textId="77777777" w:rsidR="006B1A68" w:rsidRPr="00D35259" w:rsidRDefault="006B1A68" w:rsidP="006B1A68">
            <w:pPr>
              <w:tabs>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Pr>
                <w:rFonts w:ascii="Times New Roman" w:eastAsia="Calibri" w:hAnsi="Times New Roman" w:cs="Times New Roman"/>
                <w:b/>
                <w:sz w:val="24"/>
                <w:szCs w:val="24"/>
              </w:rPr>
              <w:t xml:space="preserve"> </w:t>
            </w:r>
            <w:r w:rsidRPr="00B12B88">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w:t>
            </w:r>
            <w:r w:rsidRPr="00B12B88">
              <w:rPr>
                <w:rFonts w:ascii="Times New Roman" w:eastAsia="Calibri" w:hAnsi="Times New Roman" w:cs="Times New Roman"/>
                <w:b/>
                <w:sz w:val="24"/>
                <w:szCs w:val="24"/>
              </w:rPr>
              <w:t>apakšprogrammas kods</w:t>
            </w:r>
          </w:p>
          <w:p w14:paraId="741F7FE0" w14:textId="77777777" w:rsidR="006B1A68" w:rsidRPr="00B12B88" w:rsidRDefault="006B1A68" w:rsidP="006B1A68">
            <w:pPr>
              <w:tabs>
                <w:tab w:val="left" w:pos="6694"/>
              </w:tabs>
              <w:spacing w:before="60" w:after="120"/>
              <w:jc w:val="center"/>
              <w:rPr>
                <w:rFonts w:ascii="Times New Roman" w:eastAsia="Calibri" w:hAnsi="Times New Roman" w:cs="Times New Roman"/>
                <w:sz w:val="24"/>
                <w:szCs w:val="24"/>
                <w:u w:val="single"/>
              </w:rPr>
            </w:pPr>
            <w:r w:rsidRPr="00B12B88">
              <w:rPr>
                <w:rFonts w:ascii="Times New Roman" w:eastAsia="Calibri" w:hAnsi="Times New Roman" w:cs="Times New Roman"/>
                <w:b/>
                <w:sz w:val="24"/>
                <w:szCs w:val="24"/>
                <w:u w:val="single"/>
              </w:rPr>
              <w:t>70.06.00</w:t>
            </w:r>
          </w:p>
        </w:tc>
        <w:tc>
          <w:tcPr>
            <w:tcW w:w="6095" w:type="dxa"/>
          </w:tcPr>
          <w:p w14:paraId="77799F25" w14:textId="77777777" w:rsidR="006B1A68" w:rsidRPr="00B12B88" w:rsidRDefault="006B1A68" w:rsidP="006B1A68">
            <w:pPr>
              <w:tabs>
                <w:tab w:val="left" w:pos="993"/>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sidRPr="00B12B88">
              <w:rPr>
                <w:rFonts w:ascii="Times New Roman" w:eastAsia="Calibri" w:hAnsi="Times New Roman" w:cs="Times New Roman"/>
                <w:sz w:val="24"/>
                <w:szCs w:val="24"/>
              </w:rPr>
              <w:t>/</w:t>
            </w:r>
            <w:r w:rsidRPr="00B12B88">
              <w:rPr>
                <w:rFonts w:ascii="Times New Roman" w:eastAsia="Calibri" w:hAnsi="Times New Roman" w:cs="Times New Roman"/>
                <w:b/>
                <w:sz w:val="24"/>
                <w:szCs w:val="24"/>
              </w:rPr>
              <w:t>apakšprogrammas nosaukums</w:t>
            </w:r>
          </w:p>
          <w:p w14:paraId="0FDB4881" w14:textId="77777777" w:rsidR="006B1A68" w:rsidRPr="00B12B88" w:rsidRDefault="006B1A68" w:rsidP="006B1A68">
            <w:pPr>
              <w:tabs>
                <w:tab w:val="left" w:pos="35"/>
              </w:tabs>
              <w:spacing w:after="120"/>
              <w:ind w:left="35"/>
              <w:jc w:val="center"/>
              <w:rPr>
                <w:rFonts w:ascii="Times New Roman" w:eastAsia="Times New Roman" w:hAnsi="Times New Roman" w:cs="Times New Roman"/>
                <w:sz w:val="24"/>
                <w:szCs w:val="24"/>
                <w:highlight w:val="yellow"/>
                <w:u w:val="single"/>
                <w:lang w:eastAsia="lv-LV"/>
              </w:rPr>
            </w:pPr>
            <w:r w:rsidRPr="00B12B88">
              <w:rPr>
                <w:rFonts w:ascii="Times New Roman" w:eastAsia="Times New Roman" w:hAnsi="Times New Roman" w:cs="Times New Roman"/>
                <w:b/>
                <w:sz w:val="24"/>
                <w:szCs w:val="24"/>
                <w:u w:val="single"/>
                <w:lang w:eastAsia="lv-LV"/>
              </w:rPr>
              <w:t>Latvijas pārstāvju ceļa izdevumu kompensācija, dodoties uz Eiropas Savienības Padomes darba grupu sanāksmēm un Padomes sanāksmēm</w:t>
            </w:r>
          </w:p>
        </w:tc>
      </w:tr>
      <w:tr w:rsidR="006B1A68" w:rsidRPr="00B12B88" w14:paraId="51EB3A59" w14:textId="77777777" w:rsidTr="006B1A68">
        <w:tc>
          <w:tcPr>
            <w:tcW w:w="2835" w:type="dxa"/>
          </w:tcPr>
          <w:p w14:paraId="45A51243" w14:textId="77777777" w:rsidR="006B1A68" w:rsidRPr="00B12B88"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Paveiktais</w:t>
            </w:r>
          </w:p>
        </w:tc>
        <w:tc>
          <w:tcPr>
            <w:tcW w:w="6095" w:type="dxa"/>
          </w:tcPr>
          <w:p w14:paraId="68BA6616" w14:textId="77777777" w:rsidR="006B1A68" w:rsidRPr="00B12B88" w:rsidRDefault="006B1A68" w:rsidP="006B1A68">
            <w:pPr>
              <w:tabs>
                <w:tab w:val="left" w:pos="993"/>
              </w:tabs>
              <w:spacing w:before="40" w:after="40"/>
              <w:rPr>
                <w:rFonts w:ascii="Times New Roman" w:eastAsia="Calibri" w:hAnsi="Times New Roman" w:cs="Times New Roman"/>
                <w:b/>
                <w:sz w:val="24"/>
                <w:szCs w:val="24"/>
              </w:rPr>
            </w:pPr>
          </w:p>
        </w:tc>
      </w:tr>
      <w:tr w:rsidR="006B1A68" w:rsidRPr="00B12B88" w14:paraId="439E757C" w14:textId="77777777" w:rsidTr="006B1A68">
        <w:tc>
          <w:tcPr>
            <w:tcW w:w="2835" w:type="dxa"/>
          </w:tcPr>
          <w:p w14:paraId="482A58CD" w14:textId="77777777" w:rsidR="006B1A68" w:rsidRPr="00B12B88" w:rsidRDefault="006B1A68" w:rsidP="006B1A68">
            <w:pPr>
              <w:numPr>
                <w:ilvl w:val="0"/>
                <w:numId w:val="36"/>
              </w:numPr>
              <w:tabs>
                <w:tab w:val="left" w:pos="993"/>
              </w:tabs>
              <w:ind w:left="306"/>
              <w:contextualSpacing/>
              <w:rPr>
                <w:rFonts w:ascii="Times New Roman" w:eastAsia="Calibri" w:hAnsi="Times New Roman" w:cs="Times New Roman"/>
                <w:sz w:val="24"/>
                <w:szCs w:val="24"/>
              </w:rPr>
            </w:pPr>
            <w:r w:rsidRPr="00B12B88">
              <w:rPr>
                <w:rFonts w:ascii="Times New Roman" w:eastAsia="Calibri" w:hAnsi="Times New Roman" w:cs="Times New Roman"/>
                <w:spacing w:val="-2"/>
                <w:sz w:val="24"/>
                <w:szCs w:val="24"/>
              </w:rPr>
              <w:t>Pārskata periodā paveiktais – specifiskā atbalsta mērķi/pasākumi/projekti</w:t>
            </w:r>
            <w:r w:rsidRPr="00B12B88">
              <w:rPr>
                <w:rFonts w:ascii="Times New Roman" w:eastAsia="Calibri" w:hAnsi="Times New Roman" w:cs="Times New Roman"/>
                <w:sz w:val="24"/>
                <w:szCs w:val="24"/>
              </w:rPr>
              <w:t>, kas visuzskatāmāk sniedz informāciju par finansējuma izlietojumu, un apraksts par pārskata periodā tajos paveiktām darbībām/sasniegumiem, aptverot būtisku daļu no kopējā pārskata periodā izlietotā finansējuma un uzsverot lietderību un ieguldījumu sabiedrības un nozares interesēs</w:t>
            </w:r>
          </w:p>
        </w:tc>
        <w:tc>
          <w:tcPr>
            <w:tcW w:w="6095" w:type="dxa"/>
          </w:tcPr>
          <w:p w14:paraId="1B9D7C9A" w14:textId="77777777" w:rsidR="006B1A68" w:rsidRDefault="006B1A68" w:rsidP="006B1A68">
            <w:pPr>
              <w:jc w:val="both"/>
              <w:rPr>
                <w:rFonts w:ascii="Times New Roman" w:eastAsia="Calibri" w:hAnsi="Times New Roman" w:cs="Times New Roman"/>
                <w:noProof/>
                <w:sz w:val="24"/>
                <w:szCs w:val="24"/>
              </w:rPr>
            </w:pPr>
            <w:r w:rsidRPr="00B12B88">
              <w:rPr>
                <w:rFonts w:ascii="Times New Roman" w:eastAsia="Calibri" w:hAnsi="Times New Roman" w:cs="Times New Roman"/>
                <w:noProof/>
                <w:sz w:val="24"/>
                <w:szCs w:val="24"/>
              </w:rPr>
              <w:t>Finansējums paredzēts Latvijas pārstāvju ceļa izdevumu kompensācijai, dodoties uz Eiropas</w:t>
            </w:r>
          </w:p>
          <w:p w14:paraId="03C1E868" w14:textId="77777777" w:rsidR="006B1A68" w:rsidRPr="00B12B88" w:rsidRDefault="006B1A68" w:rsidP="006B1A68">
            <w:pPr>
              <w:jc w:val="both"/>
              <w:rPr>
                <w:rFonts w:ascii="Times New Roman" w:eastAsia="Calibri" w:hAnsi="Times New Roman" w:cs="Times New Roman"/>
                <w:noProof/>
                <w:sz w:val="24"/>
                <w:szCs w:val="24"/>
              </w:rPr>
            </w:pPr>
            <w:r w:rsidRPr="00B12B88">
              <w:rPr>
                <w:rFonts w:ascii="Times New Roman" w:eastAsia="Calibri" w:hAnsi="Times New Roman" w:cs="Times New Roman"/>
                <w:noProof/>
                <w:sz w:val="24"/>
                <w:szCs w:val="24"/>
              </w:rPr>
              <w:t>Savienības Padomes darba grupu sanāksmēm un Padomes sanāksmēm.</w:t>
            </w:r>
          </w:p>
          <w:p w14:paraId="40FD83B2" w14:textId="77777777" w:rsidR="006B1A68" w:rsidRPr="00B12B88" w:rsidRDefault="006B1A68" w:rsidP="006B1A68">
            <w:pPr>
              <w:jc w:val="both"/>
              <w:rPr>
                <w:rFonts w:ascii="Times New Roman" w:eastAsia="Calibri" w:hAnsi="Times New Roman" w:cs="Times New Roman"/>
                <w:noProof/>
                <w:sz w:val="24"/>
                <w:szCs w:val="24"/>
              </w:rPr>
            </w:pPr>
            <w:r w:rsidRPr="00B12B88">
              <w:rPr>
                <w:rFonts w:ascii="Times New Roman" w:eastAsia="Calibri" w:hAnsi="Times New Roman" w:cs="Times New Roman"/>
                <w:noProof/>
                <w:sz w:val="24"/>
                <w:szCs w:val="24"/>
              </w:rPr>
              <w:t>2020.</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gada 12</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 xml:space="preserve">mēnešos </w:t>
            </w:r>
            <w:r>
              <w:rPr>
                <w:rFonts w:ascii="Times New Roman" w:eastAsia="Calibri" w:hAnsi="Times New Roman" w:cs="Times New Roman"/>
                <w:noProof/>
                <w:sz w:val="24"/>
                <w:szCs w:val="24"/>
              </w:rPr>
              <w:t>P</w:t>
            </w:r>
            <w:r w:rsidRPr="00B12B88">
              <w:rPr>
                <w:rFonts w:ascii="Times New Roman" w:eastAsia="Calibri" w:hAnsi="Times New Roman" w:cs="Times New Roman"/>
                <w:noProof/>
                <w:sz w:val="24"/>
                <w:szCs w:val="24"/>
              </w:rPr>
              <w:t>rokuratūras pārstāvji nepiedalījās darba grupās un nebrauca ārvalstu komandējumos uz Eiropas Savienības Padomes darba grupu sanāksmēm un Padomes sanāksmēm.</w:t>
            </w:r>
          </w:p>
          <w:p w14:paraId="58B21A0E" w14:textId="77777777" w:rsidR="006B1A68" w:rsidRPr="00B12B88" w:rsidRDefault="006B1A68" w:rsidP="006B1A68">
            <w:pPr>
              <w:jc w:val="both"/>
              <w:rPr>
                <w:rFonts w:ascii="Times New Roman" w:eastAsia="Calibri" w:hAnsi="Times New Roman" w:cs="Times New Roman"/>
                <w:noProof/>
                <w:sz w:val="24"/>
                <w:szCs w:val="24"/>
              </w:rPr>
            </w:pPr>
          </w:p>
        </w:tc>
      </w:tr>
      <w:tr w:rsidR="006B1A68" w:rsidRPr="00B12B88" w14:paraId="0B56990B" w14:textId="77777777" w:rsidTr="006B1A68">
        <w:tc>
          <w:tcPr>
            <w:tcW w:w="2835" w:type="dxa"/>
          </w:tcPr>
          <w:p w14:paraId="310DED31" w14:textId="77777777" w:rsidR="006B1A68" w:rsidRPr="00B12B88"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Neizpilde</w:t>
            </w:r>
          </w:p>
        </w:tc>
        <w:tc>
          <w:tcPr>
            <w:tcW w:w="6095" w:type="dxa"/>
          </w:tcPr>
          <w:p w14:paraId="7E512DCA" w14:textId="77777777" w:rsidR="006B1A68" w:rsidRPr="00B12B88" w:rsidRDefault="006B1A68" w:rsidP="006B1A68">
            <w:pPr>
              <w:tabs>
                <w:tab w:val="left" w:pos="993"/>
              </w:tabs>
              <w:spacing w:before="40" w:after="40"/>
              <w:jc w:val="both"/>
              <w:rPr>
                <w:rFonts w:ascii="Times New Roman" w:eastAsia="Calibri" w:hAnsi="Times New Roman" w:cs="Times New Roman"/>
                <w:b/>
                <w:sz w:val="24"/>
                <w:szCs w:val="24"/>
              </w:rPr>
            </w:pPr>
          </w:p>
        </w:tc>
      </w:tr>
      <w:tr w:rsidR="006B1A68" w:rsidRPr="00B12B88" w14:paraId="4151B399" w14:textId="77777777" w:rsidTr="006B1A68">
        <w:tc>
          <w:tcPr>
            <w:tcW w:w="2835" w:type="dxa"/>
          </w:tcPr>
          <w:p w14:paraId="1439FBD0" w14:textId="77777777" w:rsidR="006B1A68" w:rsidRPr="00B12B88" w:rsidRDefault="006B1A68" w:rsidP="006B1A68">
            <w:pPr>
              <w:numPr>
                <w:ilvl w:val="0"/>
                <w:numId w:val="37"/>
              </w:numPr>
              <w:ind w:left="306"/>
              <w:contextualSpacing/>
              <w:rPr>
                <w:rFonts w:ascii="Times New Roman" w:eastAsia="Calibri" w:hAnsi="Times New Roman" w:cs="Times New Roman"/>
                <w:sz w:val="24"/>
                <w:szCs w:val="24"/>
              </w:rPr>
            </w:pPr>
            <w:r w:rsidRPr="00B12B88">
              <w:rPr>
                <w:rFonts w:ascii="Times New Roman" w:eastAsia="Calibri" w:hAnsi="Times New Roman" w:cs="Times New Roman"/>
                <w:sz w:val="24"/>
                <w:szCs w:val="24"/>
              </w:rPr>
              <w:t xml:space="preserve">Kāds ir </w:t>
            </w:r>
            <w:r w:rsidRPr="00B12B88">
              <w:rPr>
                <w:rFonts w:ascii="Times New Roman" w:eastAsia="Times New Roman" w:hAnsi="Times New Roman" w:cs="Times New Roman"/>
                <w:sz w:val="24"/>
                <w:szCs w:val="24"/>
                <w:lang w:eastAsia="lv-LV"/>
              </w:rPr>
              <w:t>neapgūto asignējumu sadalījums pa izdevumu ekonomiskās klasifikācijas kodiem atbilstoši gadskārtējā valsts budžeta likuma struktūrai</w:t>
            </w:r>
          </w:p>
          <w:p w14:paraId="0F7E129D" w14:textId="77777777" w:rsidR="006B1A68" w:rsidRPr="00B12B88" w:rsidRDefault="006B1A68" w:rsidP="006B1A68">
            <w:pPr>
              <w:ind w:left="321"/>
              <w:contextualSpacing/>
              <w:rPr>
                <w:rFonts w:ascii="Times New Roman" w:eastAsia="Calibri" w:hAnsi="Times New Roman" w:cs="Times New Roman"/>
                <w:sz w:val="24"/>
                <w:szCs w:val="24"/>
              </w:rPr>
            </w:pPr>
          </w:p>
          <w:p w14:paraId="729CBF6A" w14:textId="77777777" w:rsidR="006B1A68" w:rsidRPr="00B12B88" w:rsidRDefault="006B1A68" w:rsidP="006B1A68">
            <w:pPr>
              <w:ind w:left="321"/>
              <w:contextualSpacing/>
              <w:rPr>
                <w:rFonts w:ascii="Times New Roman" w:eastAsia="Calibri" w:hAnsi="Times New Roman" w:cs="Times New Roman"/>
                <w:sz w:val="24"/>
                <w:szCs w:val="24"/>
              </w:rPr>
            </w:pPr>
          </w:p>
        </w:tc>
        <w:tc>
          <w:tcPr>
            <w:tcW w:w="6095" w:type="dxa"/>
          </w:tcPr>
          <w:p w14:paraId="0268300F"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Izdevumu izpilde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mēnešos – 0</w:t>
            </w:r>
          </w:p>
          <w:p w14:paraId="72086E50" w14:textId="77777777" w:rsidR="006B1A68" w:rsidRPr="00B12B88" w:rsidRDefault="006B1A68" w:rsidP="006B1A68">
            <w:pPr>
              <w:tabs>
                <w:tab w:val="left" w:pos="284"/>
              </w:tabs>
              <w:jc w:val="both"/>
              <w:rPr>
                <w:rFonts w:ascii="Times New Roman" w:eastAsia="Times New Roman" w:hAnsi="Times New Roman" w:cs="Times New Roman"/>
                <w:i/>
                <w:sz w:val="24"/>
                <w:szCs w:val="24"/>
                <w:lang w:eastAsia="lv-LV"/>
              </w:rPr>
            </w:pPr>
            <w:r w:rsidRPr="00B12B88">
              <w:rPr>
                <w:rFonts w:ascii="Times New Roman" w:eastAsia="Times New Roman" w:hAnsi="Times New Roman" w:cs="Times New Roman"/>
                <w:sz w:val="24"/>
                <w:szCs w:val="24"/>
                <w:lang w:eastAsia="lv-LV"/>
              </w:rPr>
              <w:t>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mēnešu plāns – 2,8</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i/>
                <w:sz w:val="24"/>
                <w:szCs w:val="24"/>
                <w:lang w:eastAsia="lv-LV"/>
              </w:rPr>
              <w:t>euro</w:t>
            </w:r>
          </w:p>
          <w:p w14:paraId="487CDC1D" w14:textId="77777777" w:rsidR="006B1A68" w:rsidRPr="00B12B88" w:rsidRDefault="006B1A68" w:rsidP="006B1A68">
            <w:pPr>
              <w:tabs>
                <w:tab w:val="left" w:pos="993"/>
              </w:tabs>
              <w:jc w:val="both"/>
              <w:rPr>
                <w:rFonts w:ascii="Times New Roman" w:eastAsia="Calibri" w:hAnsi="Times New Roman" w:cs="Times New Roman"/>
                <w:i/>
                <w:color w:val="000000"/>
                <w:sz w:val="24"/>
                <w:szCs w:val="24"/>
                <w14:textFill>
                  <w14:solidFill>
                    <w14:srgbClr w14:val="000000">
                      <w14:tint w14:val="66000"/>
                      <w14:satMod w14:val="160000"/>
                    </w14:srgbClr>
                  </w14:solidFill>
                </w14:textFill>
              </w:rPr>
            </w:pPr>
          </w:p>
          <w:p w14:paraId="79152869" w14:textId="77777777" w:rsidR="006B1A68" w:rsidRPr="00B12B88" w:rsidRDefault="006B1A68" w:rsidP="006B1A68">
            <w:pPr>
              <w:tabs>
                <w:tab w:val="left" w:pos="993"/>
              </w:tabs>
              <w:jc w:val="both"/>
              <w:rPr>
                <w:rFonts w:ascii="Times New Roman" w:eastAsia="Calibri" w:hAnsi="Times New Roman" w:cs="Times New Roman"/>
                <w:iCs/>
                <w:sz w:val="24"/>
                <w:szCs w:val="24"/>
              </w:rPr>
            </w:pPr>
            <w:r w:rsidRPr="00B12B88">
              <w:rPr>
                <w:rFonts w:ascii="Times New Roman" w:eastAsia="Calibri" w:hAnsi="Times New Roman" w:cs="Times New Roman"/>
                <w:sz w:val="24"/>
                <w:szCs w:val="24"/>
              </w:rPr>
              <w:t>Neapgūts finansējums 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gada 12</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mēnešos – 2,8</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tūkst.</w:t>
            </w:r>
            <w:r>
              <w:rPr>
                <w:rFonts w:ascii="Times New Roman" w:eastAsia="Calibri" w:hAnsi="Times New Roman" w:cs="Times New Roman"/>
                <w:sz w:val="24"/>
                <w:szCs w:val="24"/>
              </w:rPr>
              <w:t> </w:t>
            </w:r>
            <w:r w:rsidRPr="00B12B88">
              <w:rPr>
                <w:rFonts w:ascii="Times New Roman" w:eastAsia="Calibri" w:hAnsi="Times New Roman" w:cs="Times New Roman"/>
                <w:i/>
                <w:sz w:val="24"/>
                <w:szCs w:val="24"/>
              </w:rPr>
              <w:t xml:space="preserve">euro </w:t>
            </w:r>
            <w:r w:rsidRPr="00B12B88">
              <w:rPr>
                <w:rFonts w:ascii="Times New Roman" w:eastAsia="Calibri" w:hAnsi="Times New Roman" w:cs="Times New Roman"/>
                <w:iCs/>
                <w:sz w:val="24"/>
                <w:szCs w:val="24"/>
              </w:rPr>
              <w:t>(neizpilde</w:t>
            </w:r>
            <w:r>
              <w:rPr>
                <w:rFonts w:ascii="Times New Roman" w:eastAsia="Calibri" w:hAnsi="Times New Roman" w:cs="Times New Roman"/>
                <w:iCs/>
                <w:sz w:val="24"/>
                <w:szCs w:val="24"/>
              </w:rPr>
              <w:t xml:space="preserve"> </w:t>
            </w:r>
            <w:r w:rsidRPr="00B12B88">
              <w:rPr>
                <w:rFonts w:ascii="Times New Roman" w:eastAsia="Calibri" w:hAnsi="Times New Roman" w:cs="Times New Roman"/>
                <w:iCs/>
                <w:sz w:val="24"/>
                <w:szCs w:val="24"/>
              </w:rPr>
              <w:t>100,0</w:t>
            </w:r>
            <w:r>
              <w:rPr>
                <w:rFonts w:ascii="Times New Roman" w:eastAsia="Calibri" w:hAnsi="Times New Roman" w:cs="Times New Roman"/>
                <w:iCs/>
                <w:sz w:val="24"/>
                <w:szCs w:val="24"/>
              </w:rPr>
              <w:t> </w:t>
            </w:r>
            <w:r w:rsidRPr="00B12B88">
              <w:rPr>
                <w:rFonts w:ascii="Times New Roman" w:eastAsia="Calibri" w:hAnsi="Times New Roman" w:cs="Times New Roman"/>
                <w:iCs/>
                <w:sz w:val="24"/>
                <w:szCs w:val="24"/>
              </w:rPr>
              <w:t>%),</w:t>
            </w:r>
            <w:r>
              <w:rPr>
                <w:rFonts w:ascii="Times New Roman" w:eastAsia="Calibri" w:hAnsi="Times New Roman" w:cs="Times New Roman"/>
                <w:iCs/>
                <w:sz w:val="24"/>
                <w:szCs w:val="24"/>
              </w:rPr>
              <w:t xml:space="preserve"> </w:t>
            </w:r>
            <w:r w:rsidRPr="00B12B88">
              <w:rPr>
                <w:rFonts w:ascii="Times New Roman" w:eastAsia="Calibri" w:hAnsi="Times New Roman" w:cs="Times New Roman"/>
                <w:sz w:val="24"/>
                <w:szCs w:val="24"/>
              </w:rPr>
              <w:t>t.</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sk.</w:t>
            </w:r>
            <w:r>
              <w:rPr>
                <w:rFonts w:ascii="Times New Roman" w:eastAsia="Calibri" w:hAnsi="Times New Roman" w:cs="Times New Roman"/>
                <w:sz w:val="24"/>
                <w:szCs w:val="24"/>
              </w:rPr>
              <w:t xml:space="preserve"> </w:t>
            </w:r>
            <w:r w:rsidRPr="00B12B88">
              <w:rPr>
                <w:rFonts w:ascii="Times New Roman" w:eastAsia="Calibri" w:hAnsi="Times New Roman" w:cs="Times New Roman"/>
                <w:sz w:val="24"/>
                <w:szCs w:val="24"/>
              </w:rPr>
              <w:t xml:space="preserve"> izdevumiem precēm un pakalpojumiem (KK 2000) – 2,8</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tūkst.</w:t>
            </w:r>
            <w:r>
              <w:rPr>
                <w:rFonts w:ascii="Times New Roman" w:eastAsia="Calibri" w:hAnsi="Times New Roman" w:cs="Times New Roman"/>
                <w:sz w:val="24"/>
                <w:szCs w:val="24"/>
              </w:rPr>
              <w:t> </w:t>
            </w:r>
            <w:r w:rsidRPr="00B12B88">
              <w:rPr>
                <w:rFonts w:ascii="Times New Roman" w:eastAsia="Calibri" w:hAnsi="Times New Roman" w:cs="Times New Roman"/>
                <w:i/>
                <w:sz w:val="24"/>
                <w:szCs w:val="24"/>
              </w:rPr>
              <w:t xml:space="preserve">euro </w:t>
            </w:r>
            <w:r w:rsidRPr="00B12B88">
              <w:rPr>
                <w:rFonts w:ascii="Times New Roman" w:eastAsia="Calibri" w:hAnsi="Times New Roman" w:cs="Times New Roman"/>
                <w:sz w:val="24"/>
                <w:szCs w:val="24"/>
              </w:rPr>
              <w:t>(neizpilde 100,0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w:t>
            </w:r>
          </w:p>
          <w:p w14:paraId="3BBC4938" w14:textId="77777777" w:rsidR="006B1A68" w:rsidRPr="00B12B88" w:rsidRDefault="006B1A68" w:rsidP="006B1A68">
            <w:pPr>
              <w:tabs>
                <w:tab w:val="left" w:pos="993"/>
              </w:tabs>
              <w:jc w:val="both"/>
              <w:rPr>
                <w:rFonts w:ascii="Times New Roman" w:eastAsia="Calibri" w:hAnsi="Times New Roman" w:cs="Times New Roman"/>
                <w:sz w:val="24"/>
                <w:szCs w:val="24"/>
              </w:rPr>
            </w:pPr>
            <w:r w:rsidRPr="00B12B88">
              <w:rPr>
                <w:rFonts w:ascii="Times New Roman" w:eastAsia="Calibri" w:hAnsi="Times New Roman" w:cs="Times New Roman"/>
                <w:sz w:val="24"/>
                <w:szCs w:val="24"/>
              </w:rPr>
              <w:t>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gada 12</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 xml:space="preserve">mēnešos </w:t>
            </w:r>
            <w:r>
              <w:rPr>
                <w:rFonts w:ascii="Times New Roman" w:eastAsia="Calibri" w:hAnsi="Times New Roman" w:cs="Times New Roman"/>
                <w:sz w:val="24"/>
                <w:szCs w:val="24"/>
              </w:rPr>
              <w:t>P</w:t>
            </w:r>
            <w:r w:rsidRPr="00B12B88">
              <w:rPr>
                <w:rFonts w:ascii="Times New Roman" w:eastAsia="Calibri" w:hAnsi="Times New Roman" w:cs="Times New Roman"/>
                <w:sz w:val="24"/>
                <w:szCs w:val="24"/>
              </w:rPr>
              <w:t>rokuratūras pārstāvji sakarā ar darba noslodzi, t.</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 xml:space="preserve">sk. saistībā ar ERAF projekta </w:t>
            </w:r>
            <w:r w:rsidRPr="00B12B88">
              <w:rPr>
                <w:rFonts w:ascii="Times New Roman" w:eastAsia="Courier New" w:hAnsi="Times New Roman" w:cs="Times New Roman"/>
                <w:bCs/>
                <w:sz w:val="24"/>
                <w:szCs w:val="24"/>
                <w:lang w:eastAsia="lv-LV"/>
              </w:rPr>
              <w:t xml:space="preserve">“Prokuratūras informācijas sistēmas attīstība” </w:t>
            </w:r>
            <w:r w:rsidRPr="00B12B88">
              <w:rPr>
                <w:rFonts w:ascii="Times New Roman" w:eastAsia="Calibri" w:hAnsi="Times New Roman" w:cs="Times New Roman"/>
                <w:bCs/>
                <w:sz w:val="24"/>
                <w:szCs w:val="24"/>
              </w:rPr>
              <w:t>ieviešanu,  nepiedalījās</w:t>
            </w:r>
            <w:r w:rsidRPr="00B12B88">
              <w:rPr>
                <w:rFonts w:ascii="Times New Roman" w:eastAsia="Calibri" w:hAnsi="Times New Roman" w:cs="Times New Roman"/>
                <w:sz w:val="24"/>
                <w:szCs w:val="24"/>
              </w:rPr>
              <w:t xml:space="preserve"> darba grupās un nebrauca ārvalstu komandējumos uz Eiropas Savienības Padomes darba grupu sanāksmēm un Padomes sanāksmēm.  </w:t>
            </w:r>
          </w:p>
        </w:tc>
      </w:tr>
      <w:tr w:rsidR="006B1A68" w:rsidRPr="00B12B88" w14:paraId="5C507443" w14:textId="77777777" w:rsidTr="006B1A68">
        <w:tc>
          <w:tcPr>
            <w:tcW w:w="2835" w:type="dxa"/>
          </w:tcPr>
          <w:p w14:paraId="6DFB7684" w14:textId="3B9237CB" w:rsidR="006B1A68" w:rsidRPr="0044188A" w:rsidRDefault="006B1A68" w:rsidP="0044188A">
            <w:pPr>
              <w:numPr>
                <w:ilvl w:val="0"/>
                <w:numId w:val="37"/>
              </w:numPr>
              <w:spacing w:before="100" w:beforeAutospacing="1" w:after="100" w:afterAutospacing="1"/>
              <w:ind w:left="306"/>
              <w:contextualSpacing/>
              <w:rPr>
                <w:rFonts w:ascii="Times New Roman" w:eastAsia="Times New Roman" w:hAnsi="Times New Roman" w:cs="Times New Roman"/>
                <w:i/>
                <w:iCs/>
                <w:sz w:val="24"/>
                <w:szCs w:val="24"/>
                <w:lang w:eastAsia="lv-LV"/>
              </w:rPr>
            </w:pPr>
            <w:r w:rsidRPr="00B12B88">
              <w:rPr>
                <w:rFonts w:ascii="Times New Roman" w:eastAsia="Times New Roman" w:hAnsi="Times New Roman" w:cs="Times New Roman"/>
                <w:sz w:val="24"/>
                <w:szCs w:val="24"/>
                <w:lang w:eastAsia="lv-LV"/>
              </w:rPr>
              <w:t xml:space="preserve">Kādi ir iemesli, kāpēc slēgtie asignējumi budžeta izpildes laikā netika pārvirzīti citiem mērķiem, kur finansējums ir bijis nepietiekams </w:t>
            </w:r>
          </w:p>
        </w:tc>
        <w:tc>
          <w:tcPr>
            <w:tcW w:w="6095" w:type="dxa"/>
          </w:tcPr>
          <w:p w14:paraId="62FE996A" w14:textId="77777777" w:rsidR="006B1A68" w:rsidRPr="00B12B88" w:rsidRDefault="006B1A68" w:rsidP="006B1A68">
            <w:pPr>
              <w:jc w:val="both"/>
              <w:rPr>
                <w:rFonts w:ascii="Times New Roman" w:eastAsia="Calibri" w:hAnsi="Times New Roman" w:cs="Times New Roman"/>
                <w:sz w:val="24"/>
                <w:szCs w:val="24"/>
              </w:rPr>
            </w:pPr>
            <w:r w:rsidRPr="00B12B88">
              <w:rPr>
                <w:rFonts w:ascii="Times New Roman" w:eastAsia="Calibri" w:hAnsi="Times New Roman" w:cs="Times New Roman"/>
                <w:noProof/>
                <w:sz w:val="24"/>
                <w:szCs w:val="24"/>
              </w:rPr>
              <w:t xml:space="preserve">Atbilstoši normatīvo aktu prasībām </w:t>
            </w:r>
            <w:r w:rsidRPr="00B12B88">
              <w:rPr>
                <w:rFonts w:ascii="Times New Roman" w:eastAsia="Calibri" w:hAnsi="Times New Roman" w:cs="Times New Roman"/>
                <w:sz w:val="24"/>
                <w:szCs w:val="24"/>
              </w:rPr>
              <w:t xml:space="preserve">neapgūts </w:t>
            </w:r>
            <w:proofErr w:type="spellStart"/>
            <w:r w:rsidRPr="00B12B88">
              <w:rPr>
                <w:rFonts w:ascii="Times New Roman" w:eastAsia="Calibri" w:hAnsi="Times New Roman" w:cs="Times New Roman"/>
                <w:sz w:val="24"/>
                <w:szCs w:val="24"/>
              </w:rPr>
              <w:t>transferts</w:t>
            </w:r>
            <w:proofErr w:type="spellEnd"/>
            <w:r w:rsidRPr="00B12B88">
              <w:rPr>
                <w:rFonts w:ascii="Times New Roman" w:eastAsia="Calibri" w:hAnsi="Times New Roman" w:cs="Times New Roman"/>
                <w:sz w:val="24"/>
                <w:szCs w:val="24"/>
              </w:rPr>
              <w:t xml:space="preserve"> 2,8</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tūkst.</w:t>
            </w:r>
            <w:r>
              <w:rPr>
                <w:rFonts w:ascii="Times New Roman" w:eastAsia="Calibri" w:hAnsi="Times New Roman" w:cs="Times New Roman"/>
                <w:sz w:val="24"/>
                <w:szCs w:val="24"/>
              </w:rPr>
              <w:t> </w:t>
            </w:r>
            <w:proofErr w:type="spellStart"/>
            <w:r w:rsidRPr="00B12B88">
              <w:rPr>
                <w:rFonts w:ascii="Times New Roman" w:eastAsia="Calibri" w:hAnsi="Times New Roman" w:cs="Times New Roman"/>
                <w:i/>
                <w:iCs/>
                <w:sz w:val="24"/>
                <w:szCs w:val="24"/>
              </w:rPr>
              <w:t>euro</w:t>
            </w:r>
            <w:proofErr w:type="spellEnd"/>
            <w:r w:rsidRPr="00B12B88">
              <w:rPr>
                <w:rFonts w:ascii="Times New Roman" w:eastAsia="Calibri" w:hAnsi="Times New Roman" w:cs="Times New Roman"/>
                <w:sz w:val="24"/>
                <w:szCs w:val="24"/>
              </w:rPr>
              <w:t xml:space="preserve"> apmērā 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gada beigās pilnībā tika pārskaitīts Ārlietu ministrijai.</w:t>
            </w:r>
          </w:p>
        </w:tc>
      </w:tr>
    </w:tbl>
    <w:p w14:paraId="158918BE" w14:textId="77777777" w:rsidR="006B1A68" w:rsidRPr="00B12B88" w:rsidRDefault="006B1A68" w:rsidP="006B1A68">
      <w:pPr>
        <w:spacing w:after="0"/>
        <w:jc w:val="both"/>
        <w:rPr>
          <w:rFonts w:eastAsia="Times New Roman" w:cs="Times New Roman"/>
          <w:b/>
          <w:bCs/>
          <w:szCs w:val="24"/>
          <w:lang w:eastAsia="lv-LV"/>
        </w:rPr>
      </w:pPr>
    </w:p>
    <w:p w14:paraId="4786E1CD" w14:textId="77777777" w:rsidR="006B1A68" w:rsidRPr="005A5948" w:rsidRDefault="006B1A68" w:rsidP="006B1A68">
      <w:pPr>
        <w:pStyle w:val="ListParagraph"/>
        <w:numPr>
          <w:ilvl w:val="0"/>
          <w:numId w:val="43"/>
        </w:numPr>
        <w:tabs>
          <w:tab w:val="left" w:pos="993"/>
        </w:tabs>
        <w:spacing w:after="0" w:line="240" w:lineRule="auto"/>
        <w:rPr>
          <w:rFonts w:eastAsia="Calibri" w:cs="Times New Roman"/>
          <w:b/>
          <w:szCs w:val="24"/>
        </w:rPr>
      </w:pPr>
      <w:r w:rsidRPr="005A5948">
        <w:rPr>
          <w:rFonts w:eastAsia="Calibri" w:cs="Times New Roman"/>
          <w:b/>
          <w:szCs w:val="24"/>
        </w:rPr>
        <w:t>Citu ES politiku instrumentu projektu un pasākumu īstenošana (2014-2020)</w:t>
      </w:r>
    </w:p>
    <w:p w14:paraId="1C9158D4" w14:textId="77777777" w:rsidR="006B1A68" w:rsidRPr="00B12B88" w:rsidRDefault="006B1A68" w:rsidP="006B1A68">
      <w:pPr>
        <w:tabs>
          <w:tab w:val="left" w:pos="993"/>
        </w:tabs>
        <w:spacing w:after="0" w:line="240" w:lineRule="auto"/>
        <w:jc w:val="center"/>
        <w:rPr>
          <w:rFonts w:eastAsia="Calibri" w:cs="Times New Roman"/>
          <w:b/>
          <w:szCs w:val="24"/>
        </w:rPr>
      </w:pPr>
    </w:p>
    <w:tbl>
      <w:tblPr>
        <w:tblStyle w:val="TableGrid5"/>
        <w:tblW w:w="8930" w:type="dxa"/>
        <w:tblInd w:w="137" w:type="dxa"/>
        <w:tblLook w:val="04A0" w:firstRow="1" w:lastRow="0" w:firstColumn="1" w:lastColumn="0" w:noHBand="0" w:noVBand="1"/>
      </w:tblPr>
      <w:tblGrid>
        <w:gridCol w:w="2977"/>
        <w:gridCol w:w="5953"/>
      </w:tblGrid>
      <w:tr w:rsidR="006B1A68" w:rsidRPr="00B12B88" w14:paraId="293F330F" w14:textId="77777777" w:rsidTr="006B1A68">
        <w:tc>
          <w:tcPr>
            <w:tcW w:w="2977" w:type="dxa"/>
          </w:tcPr>
          <w:p w14:paraId="0F099150" w14:textId="77777777" w:rsidR="006B1A68" w:rsidRPr="00B12B88" w:rsidRDefault="006B1A68" w:rsidP="006B1A68">
            <w:pPr>
              <w:tabs>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Pr>
                <w:rFonts w:ascii="Times New Roman" w:eastAsia="Calibri" w:hAnsi="Times New Roman" w:cs="Times New Roman"/>
                <w:b/>
                <w:sz w:val="24"/>
                <w:szCs w:val="24"/>
              </w:rPr>
              <w:t xml:space="preserve"> / </w:t>
            </w:r>
            <w:r w:rsidRPr="00B12B88">
              <w:rPr>
                <w:rFonts w:ascii="Times New Roman" w:eastAsia="Calibri" w:hAnsi="Times New Roman" w:cs="Times New Roman"/>
                <w:b/>
                <w:sz w:val="24"/>
                <w:szCs w:val="24"/>
              </w:rPr>
              <w:t>apakšprogrammas kods</w:t>
            </w:r>
          </w:p>
          <w:p w14:paraId="7D186ACC" w14:textId="77777777" w:rsidR="006B1A68" w:rsidRPr="00B12B88" w:rsidRDefault="006B1A68" w:rsidP="006B1A68">
            <w:pPr>
              <w:tabs>
                <w:tab w:val="left" w:pos="6694"/>
              </w:tabs>
              <w:spacing w:before="60" w:after="120"/>
              <w:jc w:val="center"/>
              <w:rPr>
                <w:rFonts w:ascii="Times New Roman" w:eastAsia="Calibri" w:hAnsi="Times New Roman" w:cs="Times New Roman"/>
                <w:sz w:val="24"/>
                <w:szCs w:val="24"/>
                <w:u w:val="single"/>
              </w:rPr>
            </w:pPr>
            <w:r w:rsidRPr="00B12B88">
              <w:rPr>
                <w:rFonts w:ascii="Times New Roman" w:eastAsia="Calibri" w:hAnsi="Times New Roman" w:cs="Times New Roman"/>
                <w:b/>
                <w:sz w:val="24"/>
                <w:szCs w:val="24"/>
                <w:u w:val="single"/>
              </w:rPr>
              <w:t>70.10.00</w:t>
            </w:r>
          </w:p>
        </w:tc>
        <w:tc>
          <w:tcPr>
            <w:tcW w:w="5953" w:type="dxa"/>
          </w:tcPr>
          <w:p w14:paraId="2CC611EA" w14:textId="77777777" w:rsidR="006B1A68" w:rsidRPr="00B12B88" w:rsidRDefault="006B1A68" w:rsidP="006B1A68">
            <w:pPr>
              <w:tabs>
                <w:tab w:val="left" w:pos="993"/>
                <w:tab w:val="left" w:pos="6812"/>
              </w:tabs>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Programmas</w:t>
            </w:r>
            <w:r w:rsidRPr="00B12B88">
              <w:rPr>
                <w:rFonts w:ascii="Times New Roman" w:eastAsia="Calibri" w:hAnsi="Times New Roman" w:cs="Times New Roman"/>
                <w:sz w:val="24"/>
                <w:szCs w:val="24"/>
              </w:rPr>
              <w:t>/</w:t>
            </w:r>
            <w:r w:rsidRPr="00B12B88">
              <w:rPr>
                <w:rFonts w:ascii="Times New Roman" w:eastAsia="Calibri" w:hAnsi="Times New Roman" w:cs="Times New Roman"/>
                <w:b/>
                <w:sz w:val="24"/>
                <w:szCs w:val="24"/>
              </w:rPr>
              <w:t>apakšprogrammas nosaukums</w:t>
            </w:r>
          </w:p>
          <w:p w14:paraId="45AA16F3" w14:textId="77777777" w:rsidR="006B1A68" w:rsidRPr="00B12B88" w:rsidRDefault="006B1A68" w:rsidP="006B1A68">
            <w:pPr>
              <w:tabs>
                <w:tab w:val="left" w:pos="602"/>
              </w:tabs>
              <w:spacing w:after="120"/>
              <w:jc w:val="center"/>
              <w:rPr>
                <w:rFonts w:ascii="Times New Roman" w:eastAsia="Times New Roman" w:hAnsi="Times New Roman" w:cs="Times New Roman"/>
                <w:b/>
                <w:bCs/>
                <w:sz w:val="24"/>
                <w:szCs w:val="24"/>
                <w:highlight w:val="yellow"/>
                <w:u w:val="single"/>
                <w:lang w:eastAsia="lv-LV"/>
              </w:rPr>
            </w:pPr>
            <w:r w:rsidRPr="00B12B88">
              <w:rPr>
                <w:rFonts w:ascii="Times New Roman" w:eastAsia="Times New Roman" w:hAnsi="Times New Roman" w:cs="Times New Roman"/>
                <w:b/>
                <w:bCs/>
                <w:sz w:val="24"/>
                <w:szCs w:val="24"/>
                <w:u w:val="single"/>
                <w:lang w:eastAsia="lv-LV"/>
              </w:rPr>
              <w:t>Citu ES politiku instrumentu projektu un pasākumu īstenošana (2014-2020)</w:t>
            </w:r>
          </w:p>
        </w:tc>
      </w:tr>
      <w:tr w:rsidR="006B1A68" w:rsidRPr="00B12B88" w14:paraId="5FDFFD6E" w14:textId="77777777" w:rsidTr="006B1A68">
        <w:tc>
          <w:tcPr>
            <w:tcW w:w="2977" w:type="dxa"/>
          </w:tcPr>
          <w:p w14:paraId="78968490" w14:textId="77777777" w:rsidR="006B1A68" w:rsidRPr="00B12B88" w:rsidRDefault="006B1A68" w:rsidP="0044188A">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Paveiktais</w:t>
            </w:r>
          </w:p>
        </w:tc>
        <w:tc>
          <w:tcPr>
            <w:tcW w:w="5953" w:type="dxa"/>
          </w:tcPr>
          <w:p w14:paraId="41687868" w14:textId="77777777" w:rsidR="006B1A68" w:rsidRPr="00B12B88" w:rsidRDefault="006B1A68" w:rsidP="006B1A68">
            <w:pPr>
              <w:tabs>
                <w:tab w:val="left" w:pos="993"/>
              </w:tabs>
              <w:spacing w:before="40" w:after="40"/>
              <w:rPr>
                <w:rFonts w:ascii="Times New Roman" w:eastAsia="Calibri" w:hAnsi="Times New Roman" w:cs="Times New Roman"/>
                <w:b/>
                <w:sz w:val="24"/>
                <w:szCs w:val="24"/>
              </w:rPr>
            </w:pPr>
          </w:p>
        </w:tc>
      </w:tr>
      <w:tr w:rsidR="006B1A68" w:rsidRPr="00B12B88" w14:paraId="32E30F38" w14:textId="77777777" w:rsidTr="006B1A68">
        <w:tc>
          <w:tcPr>
            <w:tcW w:w="2977" w:type="dxa"/>
          </w:tcPr>
          <w:p w14:paraId="2F0A4206" w14:textId="77777777" w:rsidR="006B1A68" w:rsidRPr="00B12B88" w:rsidRDefault="006B1A68" w:rsidP="006B1A68">
            <w:pPr>
              <w:pStyle w:val="ListParagraph"/>
              <w:numPr>
                <w:ilvl w:val="0"/>
                <w:numId w:val="40"/>
              </w:numPr>
              <w:spacing w:before="100" w:beforeAutospacing="1" w:after="100" w:afterAutospacing="1"/>
              <w:ind w:left="310" w:hanging="284"/>
              <w:rPr>
                <w:rFonts w:ascii="Times New Roman" w:eastAsia="Calibri" w:hAnsi="Times New Roman" w:cs="Times New Roman"/>
                <w:sz w:val="24"/>
                <w:szCs w:val="24"/>
              </w:rPr>
            </w:pPr>
            <w:r w:rsidRPr="00B12B88">
              <w:rPr>
                <w:rFonts w:ascii="Times New Roman" w:eastAsia="Times New Roman" w:hAnsi="Times New Roman" w:cs="Times New Roman"/>
                <w:sz w:val="24"/>
                <w:szCs w:val="24"/>
                <w:lang w:eastAsia="lv-LV"/>
              </w:rPr>
              <w:t>Pārskata periodā paveiktais – specifiskā atbalsta mērķi/pasākumi/projekti, kas visuzskatāmāk sniedz informāciju par finansējuma izlietojumu, un apraksts par pārskata periodā tajos paveiktām darbībām/sasniegumiem, aptverot būtisku daļu no kopējā pārskata periodā izlietotā finansējuma un uzsverot lietderību un ieguldījumu sabiedrības un nozares interesēs</w:t>
            </w:r>
          </w:p>
        </w:tc>
        <w:tc>
          <w:tcPr>
            <w:tcW w:w="5953" w:type="dxa"/>
          </w:tcPr>
          <w:p w14:paraId="3793AA96" w14:textId="77777777" w:rsidR="006B1A68" w:rsidRPr="00B12B88" w:rsidRDefault="006B1A68" w:rsidP="006B1A68">
            <w:pPr>
              <w:contextualSpacing/>
              <w:jc w:val="both"/>
              <w:rPr>
                <w:rFonts w:ascii="Times New Roman" w:eastAsia="Times New Roman" w:hAnsi="Times New Roman" w:cs="Times New Roman"/>
                <w:noProof/>
                <w:sz w:val="24"/>
                <w:szCs w:val="24"/>
                <w:lang w:eastAsia="lv-LV"/>
              </w:rPr>
            </w:pPr>
            <w:r w:rsidRPr="00B12B88">
              <w:rPr>
                <w:rFonts w:ascii="Times New Roman" w:eastAsia="Calibri" w:hAnsi="Times New Roman" w:cs="Times New Roman"/>
                <w:noProof/>
                <w:sz w:val="24"/>
                <w:szCs w:val="24"/>
              </w:rPr>
              <w:t>Saskaņā ar Ministra kabineta 2020.</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gada 24.</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novembra sēdes protokollēmuma Nr.</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75 34.</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 2.</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 xml:space="preserve">punktu Prokuratūrai tika atļauts uzņemties papildu valsts budžeta ilgtermiņa saistības 228,4 tūkst. </w:t>
            </w:r>
            <w:r w:rsidRPr="00B12B88">
              <w:rPr>
                <w:rFonts w:ascii="Times New Roman" w:eastAsia="Calibri" w:hAnsi="Times New Roman" w:cs="Times New Roman"/>
                <w:i/>
                <w:iCs/>
                <w:noProof/>
                <w:sz w:val="24"/>
                <w:szCs w:val="24"/>
              </w:rPr>
              <w:t>euro</w:t>
            </w:r>
            <w:r w:rsidRPr="00B12B88">
              <w:rPr>
                <w:rFonts w:ascii="Times New Roman" w:eastAsia="Calibri" w:hAnsi="Times New Roman" w:cs="Times New Roman"/>
                <w:noProof/>
                <w:sz w:val="24"/>
                <w:szCs w:val="24"/>
              </w:rPr>
              <w:t xml:space="preserve"> apmērā, lai īstenotu projektu </w:t>
            </w:r>
            <w:r w:rsidRPr="00B12B88">
              <w:rPr>
                <w:rFonts w:ascii="Times New Roman" w:eastAsia="Times New Roman" w:hAnsi="Times New Roman" w:cs="Times New Roman"/>
                <w:noProof/>
                <w:sz w:val="24"/>
                <w:szCs w:val="24"/>
              </w:rPr>
              <w:t xml:space="preserve">“Sadarbības stiprināšana finanšu un ekonomisko noziegumu izmeklēšanā Baltijas valstu tieslietu darbiniekiem”, Eiropas Komisijas Tieslietu </w:t>
            </w:r>
            <w:r w:rsidRPr="00B12B88">
              <w:rPr>
                <w:rFonts w:ascii="Times New Roman" w:eastAsia="Times New Roman" w:hAnsi="Times New Roman" w:cs="Times New Roman"/>
                <w:noProof/>
                <w:sz w:val="24"/>
                <w:szCs w:val="24"/>
                <w:lang w:eastAsia="lv-LV"/>
              </w:rPr>
              <w:t>ģenerāldirektorāta programmas "Tiesiskums 2014-2020" ietvaros.</w:t>
            </w:r>
          </w:p>
          <w:p w14:paraId="3703FE21" w14:textId="77777777" w:rsidR="006B1A68" w:rsidRPr="00B12B88" w:rsidRDefault="006B1A68" w:rsidP="006B1A68">
            <w:pPr>
              <w:contextualSpacing/>
              <w:jc w:val="both"/>
              <w:rPr>
                <w:rFonts w:ascii="Times New Roman" w:eastAsia="Calibri" w:hAnsi="Times New Roman" w:cs="Times New Roman"/>
                <w:noProof/>
                <w:sz w:val="24"/>
                <w:szCs w:val="24"/>
              </w:rPr>
            </w:pPr>
            <w:r w:rsidRPr="00B12B88">
              <w:rPr>
                <w:rFonts w:ascii="Times New Roman" w:eastAsia="Times New Roman" w:hAnsi="Times New Roman" w:cs="Times New Roman"/>
                <w:noProof/>
                <w:sz w:val="24"/>
                <w:szCs w:val="24"/>
                <w:lang w:eastAsia="lv-LV"/>
              </w:rPr>
              <w:t>Projekta vadību ir uzņēmusies Lietuvas Ģenerālprokuratūra, kā partnerus pieaicinot Latvijas Republikas Prokuratūru un Igaunijas Republikas Prokuratūru.</w:t>
            </w:r>
          </w:p>
          <w:p w14:paraId="2F391653" w14:textId="77777777" w:rsidR="006B1A68" w:rsidRPr="00B12B88" w:rsidRDefault="006B1A68" w:rsidP="006B1A68">
            <w:pPr>
              <w:shd w:val="clear" w:color="auto" w:fill="FFFFFF"/>
              <w:contextualSpacing/>
              <w:jc w:val="both"/>
              <w:rPr>
                <w:rFonts w:ascii="Times New Roman" w:eastAsia="Times New Roman" w:hAnsi="Times New Roman" w:cs="Times New Roman"/>
                <w:noProof/>
                <w:sz w:val="24"/>
                <w:szCs w:val="24"/>
                <w:lang w:eastAsia="lv-LV"/>
              </w:rPr>
            </w:pPr>
            <w:r w:rsidRPr="00B12B88">
              <w:rPr>
                <w:rFonts w:ascii="Times New Roman" w:eastAsia="Times New Roman" w:hAnsi="Times New Roman" w:cs="Times New Roman"/>
                <w:noProof/>
                <w:sz w:val="24"/>
                <w:szCs w:val="24"/>
                <w:lang w:eastAsia="lv-LV"/>
              </w:rPr>
              <w:t xml:space="preserve">Projekta mērķis - stiprināt Baltijas valstu sadarbību finanšu un ekonomisko noziegumu izmeklēšanas jomā.  </w:t>
            </w:r>
          </w:p>
          <w:p w14:paraId="3C1A3BEE" w14:textId="77777777" w:rsidR="006B1A68" w:rsidRPr="00B12B88" w:rsidRDefault="006B1A68" w:rsidP="006B1A68">
            <w:pPr>
              <w:shd w:val="clear" w:color="auto" w:fill="FFFFFF"/>
              <w:contextualSpacing/>
              <w:jc w:val="both"/>
              <w:rPr>
                <w:rFonts w:ascii="Times New Roman" w:eastAsia="Times New Roman" w:hAnsi="Times New Roman" w:cs="Times New Roman"/>
                <w:noProof/>
                <w:sz w:val="24"/>
                <w:szCs w:val="24"/>
                <w:lang w:eastAsia="lv-LV"/>
              </w:rPr>
            </w:pPr>
            <w:r w:rsidRPr="00B12B88">
              <w:rPr>
                <w:rFonts w:ascii="Times New Roman" w:eastAsia="Times New Roman" w:hAnsi="Times New Roman" w:cs="Times New Roman"/>
                <w:noProof/>
                <w:sz w:val="24"/>
                <w:szCs w:val="24"/>
                <w:lang w:eastAsia="lv-LV"/>
              </w:rPr>
              <w:t xml:space="preserve">Paredzams, ka </w:t>
            </w:r>
            <w:r>
              <w:rPr>
                <w:rFonts w:ascii="Times New Roman" w:eastAsia="Times New Roman" w:hAnsi="Times New Roman" w:cs="Times New Roman"/>
                <w:noProof/>
                <w:sz w:val="24"/>
                <w:szCs w:val="24"/>
                <w:lang w:eastAsia="lv-LV"/>
              </w:rPr>
              <w:t>p</w:t>
            </w:r>
            <w:r w:rsidRPr="00B12B88">
              <w:rPr>
                <w:rFonts w:ascii="Times New Roman" w:eastAsia="Times New Roman" w:hAnsi="Times New Roman" w:cs="Times New Roman"/>
                <w:noProof/>
                <w:sz w:val="24"/>
                <w:szCs w:val="24"/>
                <w:lang w:eastAsia="lv-LV"/>
              </w:rPr>
              <w:t xml:space="preserve">rojekta ietvaros tiks organizētas starpvalstu apmācības, kurās tiks piesaistīti jomu speciālisti no Eiropas (ERA akadēmija), tiks organizētas mācību vizītes uz katru no projekta dalībvalstīm, lai iepazītos ar esošo situāciju finanšu un ekonomisko noziegumu izmeklēšanā, tiks organizētas konferences, lai pārrunātu labo praksi izmeklēšanas jautājumos, kā arī jomu speciālisti no dalībvalstīm veidos apmācību materiālus un rokasgrāmatu, kura lietošanā tiks izplatīta dalībvalstu jomā strādājošiem profesionāļiem. Projekta ietvaros tiks organizētas arī angļu valodas apmācības. </w:t>
            </w:r>
          </w:p>
          <w:p w14:paraId="5579E1C4" w14:textId="77777777" w:rsidR="006B1A68" w:rsidRPr="00B12B88" w:rsidRDefault="006B1A68" w:rsidP="006B1A68">
            <w:pPr>
              <w:shd w:val="clear" w:color="auto" w:fill="FFFFFF"/>
              <w:contextualSpacing/>
              <w:jc w:val="both"/>
              <w:rPr>
                <w:rFonts w:ascii="Times New Roman" w:eastAsia="Times New Roman" w:hAnsi="Times New Roman" w:cs="Times New Roman"/>
                <w:noProof/>
                <w:sz w:val="24"/>
                <w:szCs w:val="24"/>
                <w:lang w:eastAsia="lv-LV"/>
              </w:rPr>
            </w:pPr>
          </w:p>
          <w:p w14:paraId="3FD700E8" w14:textId="77777777" w:rsidR="006B1A68" w:rsidRPr="00B12B88" w:rsidRDefault="006B1A68" w:rsidP="006B1A68">
            <w:pPr>
              <w:shd w:val="clear" w:color="auto" w:fill="FFFFFF"/>
              <w:contextualSpacing/>
              <w:jc w:val="both"/>
              <w:rPr>
                <w:rFonts w:ascii="Times New Roman" w:eastAsia="Times New Roman" w:hAnsi="Times New Roman" w:cs="Times New Roman"/>
                <w:noProof/>
                <w:sz w:val="24"/>
                <w:szCs w:val="24"/>
                <w:lang w:eastAsia="lv-LV"/>
              </w:rPr>
            </w:pPr>
            <w:r w:rsidRPr="00B12B88">
              <w:rPr>
                <w:rFonts w:ascii="Times New Roman" w:eastAsia="Times New Roman" w:hAnsi="Times New Roman" w:cs="Times New Roman"/>
                <w:noProof/>
                <w:sz w:val="24"/>
                <w:szCs w:val="24"/>
                <w:lang w:eastAsia="lv-LV"/>
              </w:rPr>
              <w:t>Projekta kopējais budžets ir 663,2</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tūkst.</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i/>
                <w:iCs/>
                <w:noProof/>
                <w:sz w:val="24"/>
                <w:szCs w:val="24"/>
                <w:lang w:eastAsia="lv-LV"/>
              </w:rPr>
              <w:t>euro,</w:t>
            </w:r>
            <w:r w:rsidRPr="00B12B88">
              <w:rPr>
                <w:rFonts w:ascii="Times New Roman" w:eastAsia="Times New Roman" w:hAnsi="Times New Roman" w:cs="Times New Roman"/>
                <w:noProof/>
                <w:sz w:val="24"/>
                <w:szCs w:val="24"/>
                <w:lang w:eastAsia="lv-LV"/>
              </w:rPr>
              <w:t xml:space="preserve"> t.</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sk. Prokuratūrai paredzētais budžets sastāda  228,4</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tūkst.</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i/>
                <w:iCs/>
                <w:noProof/>
                <w:sz w:val="24"/>
                <w:szCs w:val="24"/>
                <w:lang w:eastAsia="lv-LV"/>
              </w:rPr>
              <w:t>euro,</w:t>
            </w:r>
            <w:r w:rsidRPr="00B12B88">
              <w:rPr>
                <w:rFonts w:ascii="Times New Roman" w:eastAsia="Times New Roman" w:hAnsi="Times New Roman" w:cs="Times New Roman"/>
                <w:noProof/>
                <w:sz w:val="24"/>
                <w:szCs w:val="24"/>
                <w:lang w:eastAsia="lv-LV"/>
              </w:rPr>
              <w:t xml:space="preserve"> no tā 90</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 jeb 205,5</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tūkst.</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i/>
                <w:iCs/>
                <w:noProof/>
                <w:sz w:val="24"/>
                <w:szCs w:val="24"/>
                <w:lang w:eastAsia="lv-LV"/>
              </w:rPr>
              <w:t xml:space="preserve">euro </w:t>
            </w:r>
            <w:r w:rsidRPr="00B12B88">
              <w:rPr>
                <w:rFonts w:ascii="Times New Roman" w:eastAsia="Times New Roman" w:hAnsi="Times New Roman" w:cs="Times New Roman"/>
                <w:noProof/>
                <w:sz w:val="24"/>
                <w:szCs w:val="24"/>
                <w:lang w:eastAsia="lv-LV"/>
              </w:rPr>
              <w:t>līdzfinansējumu sniedz EK no Eiropas Tieslietu ģenerāldirektorāta projektu programmas “Tiesiskums 2014–2020”, bet nepieciešamais nacionālais finansējums ir 10</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 apmērā jeb 22,9</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tūkst.</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i/>
                <w:iCs/>
                <w:noProof/>
                <w:sz w:val="24"/>
                <w:szCs w:val="24"/>
                <w:lang w:eastAsia="lv-LV"/>
              </w:rPr>
              <w:t xml:space="preserve">euro. </w:t>
            </w:r>
            <w:r w:rsidRPr="00B12B88">
              <w:rPr>
                <w:rFonts w:ascii="Times New Roman" w:eastAsia="Times New Roman" w:hAnsi="Times New Roman" w:cs="Times New Roman"/>
                <w:noProof/>
                <w:sz w:val="24"/>
                <w:szCs w:val="24"/>
                <w:lang w:eastAsia="lv-LV"/>
              </w:rPr>
              <w:t>Projekta ilgums: 30</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 xml:space="preserve">mēneši. </w:t>
            </w:r>
          </w:p>
          <w:p w14:paraId="364AA2EB" w14:textId="77777777" w:rsidR="006B1A68" w:rsidRPr="00B12B88" w:rsidRDefault="006B1A68" w:rsidP="006B1A68">
            <w:pPr>
              <w:tabs>
                <w:tab w:val="left" w:pos="993"/>
              </w:tabs>
              <w:contextualSpacing/>
              <w:jc w:val="both"/>
              <w:rPr>
                <w:rFonts w:ascii="Times New Roman" w:eastAsia="Calibri" w:hAnsi="Times New Roman" w:cs="Times New Roman"/>
                <w:noProof/>
                <w:sz w:val="24"/>
                <w:szCs w:val="24"/>
              </w:rPr>
            </w:pPr>
          </w:p>
          <w:p w14:paraId="6858D4A8" w14:textId="77777777" w:rsidR="006B1A68" w:rsidRPr="00B12B88" w:rsidRDefault="006B1A68" w:rsidP="006B1A68">
            <w:pPr>
              <w:tabs>
                <w:tab w:val="left" w:pos="993"/>
              </w:tabs>
              <w:contextualSpacing/>
              <w:jc w:val="both"/>
              <w:rPr>
                <w:rFonts w:ascii="Times New Roman" w:eastAsia="Calibri" w:hAnsi="Times New Roman" w:cs="Times New Roman"/>
                <w:noProof/>
                <w:sz w:val="24"/>
                <w:szCs w:val="24"/>
              </w:rPr>
            </w:pPr>
            <w:r w:rsidRPr="00B12B88">
              <w:rPr>
                <w:rFonts w:ascii="Times New Roman" w:eastAsia="Calibri" w:hAnsi="Times New Roman" w:cs="Times New Roman"/>
                <w:noProof/>
                <w:sz w:val="24"/>
                <w:szCs w:val="24"/>
              </w:rPr>
              <w:t>Saskaņā ar Finanšu ministrijas 2020.</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gada 18.</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decembra rīkojuma Nr.</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562 “Par apropriāciju izmaiņām” 2.1.2.</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pun</w:t>
            </w:r>
            <w:r>
              <w:rPr>
                <w:rFonts w:ascii="Times New Roman" w:eastAsia="Calibri" w:hAnsi="Times New Roman" w:cs="Times New Roman"/>
                <w:noProof/>
                <w:sz w:val="24"/>
                <w:szCs w:val="24"/>
              </w:rPr>
              <w:t>k</w:t>
            </w:r>
            <w:r w:rsidRPr="00B12B88">
              <w:rPr>
                <w:rFonts w:ascii="Times New Roman" w:eastAsia="Calibri" w:hAnsi="Times New Roman" w:cs="Times New Roman"/>
                <w:noProof/>
                <w:sz w:val="24"/>
                <w:szCs w:val="24"/>
              </w:rPr>
              <w:t>tu</w:t>
            </w:r>
            <w:r>
              <w:rPr>
                <w:rFonts w:ascii="Times New Roman" w:eastAsia="Calibri" w:hAnsi="Times New Roman" w:cs="Times New Roman"/>
                <w:noProof/>
                <w:sz w:val="24"/>
                <w:szCs w:val="24"/>
              </w:rPr>
              <w:t xml:space="preserve"> </w:t>
            </w:r>
            <w:r w:rsidRPr="00B12B88">
              <w:rPr>
                <w:rFonts w:ascii="Times New Roman" w:eastAsia="Calibri" w:hAnsi="Times New Roman" w:cs="Times New Roman"/>
                <w:noProof/>
                <w:sz w:val="24"/>
                <w:szCs w:val="24"/>
              </w:rPr>
              <w:t>Prokuratūrai 2020.</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gada 18.</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 xml:space="preserve">decembrī tika </w:t>
            </w:r>
            <w:r w:rsidRPr="00B12B88">
              <w:rPr>
                <w:rFonts w:ascii="Times New Roman" w:eastAsia="Calibri" w:hAnsi="Times New Roman" w:cs="Times New Roman"/>
                <w:sz w:val="24"/>
                <w:szCs w:val="24"/>
              </w:rPr>
              <w:t>palielināta noteiktā apropriācija ārvalstu finanšu palīdzības līdzekļu izmantošanai</w:t>
            </w:r>
            <w:r w:rsidRPr="00B12B88">
              <w:rPr>
                <w:rFonts w:ascii="Times New Roman" w:eastAsia="Calibri" w:hAnsi="Times New Roman" w:cs="Times New Roman"/>
                <w:noProof/>
                <w:sz w:val="24"/>
                <w:szCs w:val="24"/>
              </w:rPr>
              <w:t xml:space="preserve"> 133,6</w:t>
            </w:r>
            <w:r>
              <w:rPr>
                <w:rFonts w:ascii="Times New Roman" w:eastAsia="Calibri" w:hAnsi="Times New Roman" w:cs="Times New Roman"/>
                <w:noProof/>
                <w:sz w:val="24"/>
                <w:szCs w:val="24"/>
              </w:rPr>
              <w:t> </w:t>
            </w:r>
            <w:r w:rsidRPr="00B12B88">
              <w:rPr>
                <w:rFonts w:ascii="Times New Roman" w:eastAsia="Calibri" w:hAnsi="Times New Roman" w:cs="Times New Roman"/>
                <w:noProof/>
                <w:sz w:val="24"/>
                <w:szCs w:val="24"/>
              </w:rPr>
              <w:t>tūkst.</w:t>
            </w:r>
            <w:r>
              <w:rPr>
                <w:rFonts w:ascii="Times New Roman" w:eastAsia="Calibri" w:hAnsi="Times New Roman" w:cs="Times New Roman"/>
                <w:noProof/>
                <w:sz w:val="24"/>
                <w:szCs w:val="24"/>
              </w:rPr>
              <w:t> </w:t>
            </w:r>
            <w:r w:rsidRPr="00E10555">
              <w:rPr>
                <w:rFonts w:ascii="Times New Roman" w:eastAsia="Calibri" w:hAnsi="Times New Roman" w:cs="Times New Roman"/>
                <w:i/>
                <w:iCs/>
                <w:noProof/>
                <w:sz w:val="24"/>
                <w:szCs w:val="24"/>
              </w:rPr>
              <w:t>euro</w:t>
            </w:r>
            <w:r w:rsidRPr="00B12B88">
              <w:rPr>
                <w:rFonts w:ascii="Times New Roman" w:eastAsia="Calibri" w:hAnsi="Times New Roman" w:cs="Times New Roman"/>
                <w:noProof/>
                <w:sz w:val="24"/>
                <w:szCs w:val="24"/>
              </w:rPr>
              <w:t xml:space="preserve"> apmērā. </w:t>
            </w:r>
          </w:p>
        </w:tc>
      </w:tr>
      <w:tr w:rsidR="006B1A68" w:rsidRPr="00B12B88" w14:paraId="5E31D5B7" w14:textId="77777777" w:rsidTr="006B1A68">
        <w:tc>
          <w:tcPr>
            <w:tcW w:w="2977" w:type="dxa"/>
          </w:tcPr>
          <w:p w14:paraId="4BCB972F" w14:textId="77777777" w:rsidR="006B1A68" w:rsidRPr="00B12B88" w:rsidRDefault="006B1A68" w:rsidP="006B1A68">
            <w:pPr>
              <w:tabs>
                <w:tab w:val="left" w:pos="993"/>
              </w:tabs>
              <w:spacing w:before="40" w:after="40"/>
              <w:jc w:val="center"/>
              <w:rPr>
                <w:rFonts w:ascii="Times New Roman" w:eastAsia="Calibri" w:hAnsi="Times New Roman" w:cs="Times New Roman"/>
                <w:b/>
                <w:sz w:val="24"/>
                <w:szCs w:val="24"/>
              </w:rPr>
            </w:pPr>
            <w:r w:rsidRPr="00B12B88">
              <w:rPr>
                <w:rFonts w:ascii="Times New Roman" w:eastAsia="Calibri" w:hAnsi="Times New Roman" w:cs="Times New Roman"/>
                <w:b/>
                <w:sz w:val="24"/>
                <w:szCs w:val="24"/>
              </w:rPr>
              <w:t>Neizpilde</w:t>
            </w:r>
          </w:p>
        </w:tc>
        <w:tc>
          <w:tcPr>
            <w:tcW w:w="5953" w:type="dxa"/>
          </w:tcPr>
          <w:p w14:paraId="5C73B69F" w14:textId="77777777" w:rsidR="006B1A68" w:rsidRPr="00B12B88" w:rsidRDefault="006B1A68" w:rsidP="006B1A68">
            <w:pPr>
              <w:tabs>
                <w:tab w:val="left" w:pos="993"/>
              </w:tabs>
              <w:spacing w:before="40" w:after="40"/>
              <w:jc w:val="both"/>
              <w:rPr>
                <w:rFonts w:ascii="Times New Roman" w:eastAsia="Calibri" w:hAnsi="Times New Roman" w:cs="Times New Roman"/>
                <w:b/>
                <w:sz w:val="24"/>
                <w:szCs w:val="24"/>
              </w:rPr>
            </w:pPr>
          </w:p>
        </w:tc>
      </w:tr>
      <w:tr w:rsidR="006B1A68" w:rsidRPr="00B12B88" w14:paraId="3B105F23" w14:textId="77777777" w:rsidTr="006B1A68">
        <w:tc>
          <w:tcPr>
            <w:tcW w:w="2977" w:type="dxa"/>
          </w:tcPr>
          <w:p w14:paraId="38E0B329" w14:textId="77777777" w:rsidR="006B1A68" w:rsidRPr="00B12B88" w:rsidRDefault="006B1A68" w:rsidP="006B1A68">
            <w:pPr>
              <w:numPr>
                <w:ilvl w:val="0"/>
                <w:numId w:val="36"/>
              </w:numPr>
              <w:spacing w:before="100" w:beforeAutospacing="1" w:after="100" w:afterAutospacing="1"/>
              <w:ind w:left="306"/>
              <w:contextualSpacing/>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t xml:space="preserve">Kāds ir neapgūto asignējumu sadalījums pa izdevumu ekonomiskās </w:t>
            </w:r>
            <w:r w:rsidRPr="00B12B88">
              <w:rPr>
                <w:rFonts w:ascii="Times New Roman" w:eastAsia="Times New Roman" w:hAnsi="Times New Roman" w:cs="Times New Roman"/>
                <w:sz w:val="24"/>
                <w:szCs w:val="24"/>
                <w:lang w:eastAsia="lv-LV"/>
              </w:rPr>
              <w:lastRenderedPageBreak/>
              <w:t>klasifikācijas kodiem atbilstoši gadskārtējā valsts budžeta likuma struktūrai</w:t>
            </w:r>
          </w:p>
          <w:p w14:paraId="1F45F208" w14:textId="77777777" w:rsidR="006B1A68" w:rsidRPr="00B12B88" w:rsidRDefault="006B1A68" w:rsidP="006B1A68">
            <w:pPr>
              <w:spacing w:before="100" w:beforeAutospacing="1" w:after="100" w:afterAutospacing="1"/>
              <w:ind w:left="306"/>
              <w:contextualSpacing/>
              <w:rPr>
                <w:rFonts w:ascii="Times New Roman" w:eastAsia="Times New Roman" w:hAnsi="Times New Roman" w:cs="Times New Roman"/>
                <w:sz w:val="24"/>
                <w:szCs w:val="24"/>
                <w:lang w:eastAsia="lv-LV"/>
              </w:rPr>
            </w:pPr>
          </w:p>
        </w:tc>
        <w:tc>
          <w:tcPr>
            <w:tcW w:w="5953" w:type="dxa"/>
          </w:tcPr>
          <w:p w14:paraId="5962D0FB" w14:textId="77777777" w:rsidR="006B1A68" w:rsidRPr="00B12B88" w:rsidRDefault="006B1A68" w:rsidP="006B1A68">
            <w:pPr>
              <w:tabs>
                <w:tab w:val="left" w:pos="284"/>
              </w:tabs>
              <w:jc w:val="both"/>
              <w:rPr>
                <w:rFonts w:ascii="Times New Roman" w:eastAsia="Times New Roman" w:hAnsi="Times New Roman" w:cs="Times New Roman"/>
                <w:sz w:val="24"/>
                <w:szCs w:val="24"/>
                <w:lang w:eastAsia="lv-LV"/>
              </w:rPr>
            </w:pPr>
            <w:r w:rsidRPr="00B12B88">
              <w:rPr>
                <w:rFonts w:ascii="Times New Roman" w:eastAsia="Times New Roman" w:hAnsi="Times New Roman" w:cs="Times New Roman"/>
                <w:sz w:val="24"/>
                <w:szCs w:val="24"/>
                <w:lang w:eastAsia="lv-LV"/>
              </w:rPr>
              <w:lastRenderedPageBreak/>
              <w:t>Izdevumu izpilde 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mēnešos – 0</w:t>
            </w:r>
          </w:p>
          <w:p w14:paraId="3EF8103D" w14:textId="77777777" w:rsidR="006B1A68" w:rsidRPr="00B12B88" w:rsidRDefault="006B1A68" w:rsidP="006B1A68">
            <w:pPr>
              <w:tabs>
                <w:tab w:val="left" w:pos="284"/>
              </w:tabs>
              <w:jc w:val="both"/>
              <w:rPr>
                <w:rFonts w:ascii="Times New Roman" w:eastAsia="Times New Roman" w:hAnsi="Times New Roman" w:cs="Times New Roman"/>
                <w:i/>
                <w:sz w:val="24"/>
                <w:szCs w:val="24"/>
                <w:lang w:eastAsia="lv-LV"/>
              </w:rPr>
            </w:pPr>
            <w:r w:rsidRPr="00B12B88">
              <w:rPr>
                <w:rFonts w:ascii="Times New Roman" w:eastAsia="Times New Roman" w:hAnsi="Times New Roman" w:cs="Times New Roman"/>
                <w:sz w:val="24"/>
                <w:szCs w:val="24"/>
                <w:lang w:eastAsia="lv-LV"/>
              </w:rPr>
              <w:t>2020.</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gada 12</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mēnešu plāns – 133,6</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sz w:val="24"/>
                <w:szCs w:val="24"/>
                <w:lang w:eastAsia="lv-LV"/>
              </w:rPr>
              <w:t>tūkst.</w:t>
            </w:r>
            <w:r>
              <w:rPr>
                <w:rFonts w:ascii="Times New Roman" w:eastAsia="Times New Roman" w:hAnsi="Times New Roman" w:cs="Times New Roman"/>
                <w:sz w:val="24"/>
                <w:szCs w:val="24"/>
                <w:lang w:eastAsia="lv-LV"/>
              </w:rPr>
              <w:t> </w:t>
            </w:r>
            <w:r w:rsidRPr="00B12B88">
              <w:rPr>
                <w:rFonts w:ascii="Times New Roman" w:eastAsia="Times New Roman" w:hAnsi="Times New Roman" w:cs="Times New Roman"/>
                <w:i/>
                <w:sz w:val="24"/>
                <w:szCs w:val="24"/>
                <w:lang w:eastAsia="lv-LV"/>
              </w:rPr>
              <w:t>euro</w:t>
            </w:r>
          </w:p>
          <w:p w14:paraId="4D93D2F2" w14:textId="77777777" w:rsidR="006B1A68" w:rsidRPr="00B12B88" w:rsidRDefault="006B1A68" w:rsidP="006B1A68">
            <w:pPr>
              <w:tabs>
                <w:tab w:val="left" w:pos="993"/>
              </w:tabs>
              <w:jc w:val="both"/>
              <w:rPr>
                <w:rFonts w:ascii="Times New Roman" w:eastAsia="Calibri" w:hAnsi="Times New Roman" w:cs="Times New Roman"/>
                <w:sz w:val="24"/>
                <w:szCs w:val="24"/>
              </w:rPr>
            </w:pPr>
            <w:r w:rsidRPr="00B12B88">
              <w:rPr>
                <w:rFonts w:ascii="Times New Roman" w:eastAsia="Times New Roman" w:hAnsi="Times New Roman" w:cs="Times New Roman"/>
                <w:noProof/>
                <w:sz w:val="24"/>
                <w:szCs w:val="24"/>
                <w:lang w:eastAsia="lv-LV"/>
              </w:rPr>
              <w:t>Lietuvas Ģenerālprokuratūra kā vadošais patrneris plānoto finansējumu 133,6</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tūkst.</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i/>
                <w:iCs/>
                <w:noProof/>
                <w:sz w:val="24"/>
                <w:szCs w:val="24"/>
                <w:lang w:eastAsia="lv-LV"/>
              </w:rPr>
              <w:t xml:space="preserve">euro </w:t>
            </w:r>
            <w:r w:rsidRPr="00B12B88">
              <w:rPr>
                <w:rFonts w:ascii="Times New Roman" w:eastAsia="Times New Roman" w:hAnsi="Times New Roman" w:cs="Times New Roman"/>
                <w:noProof/>
                <w:sz w:val="24"/>
                <w:szCs w:val="24"/>
                <w:lang w:eastAsia="lv-LV"/>
              </w:rPr>
              <w:t>apmērā līdz 2020.</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 xml:space="preserve">gada </w:t>
            </w:r>
            <w:r w:rsidRPr="00B12B88">
              <w:rPr>
                <w:rFonts w:ascii="Times New Roman" w:eastAsia="Times New Roman" w:hAnsi="Times New Roman" w:cs="Times New Roman"/>
                <w:noProof/>
                <w:sz w:val="24"/>
                <w:szCs w:val="24"/>
                <w:lang w:eastAsia="lv-LV"/>
              </w:rPr>
              <w:lastRenderedPageBreak/>
              <w:t>beigām nebija pārskaitījusi. Parskaitījums Prokuratūras kontā faktiski vekts 2021.</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 xml:space="preserve">gada janvārī. </w:t>
            </w:r>
          </w:p>
        </w:tc>
      </w:tr>
      <w:tr w:rsidR="006B1A68" w:rsidRPr="00B12B88" w14:paraId="748B6417" w14:textId="77777777" w:rsidTr="006B1A68">
        <w:tc>
          <w:tcPr>
            <w:tcW w:w="2977" w:type="dxa"/>
          </w:tcPr>
          <w:p w14:paraId="7E1E97A7" w14:textId="77777777" w:rsidR="006B1A68" w:rsidRPr="00B12B88" w:rsidRDefault="006B1A68" w:rsidP="006B1A68">
            <w:pPr>
              <w:numPr>
                <w:ilvl w:val="0"/>
                <w:numId w:val="36"/>
              </w:numPr>
              <w:spacing w:before="100" w:beforeAutospacing="1" w:after="100" w:afterAutospacing="1"/>
              <w:ind w:left="306"/>
              <w:contextualSpacing/>
              <w:rPr>
                <w:rFonts w:ascii="Times New Roman" w:eastAsia="Times New Roman" w:hAnsi="Times New Roman" w:cs="Times New Roman"/>
                <w:i/>
                <w:iCs/>
                <w:sz w:val="24"/>
                <w:szCs w:val="24"/>
                <w:lang w:eastAsia="lv-LV"/>
              </w:rPr>
            </w:pPr>
            <w:r w:rsidRPr="00B12B88">
              <w:rPr>
                <w:rFonts w:ascii="Times New Roman" w:eastAsia="Times New Roman" w:hAnsi="Times New Roman" w:cs="Times New Roman"/>
                <w:sz w:val="24"/>
                <w:szCs w:val="24"/>
                <w:lang w:eastAsia="lv-LV"/>
              </w:rPr>
              <w:lastRenderedPageBreak/>
              <w:t xml:space="preserve">Kādi ir iemesli, kāpēc slēgtie asignējumi budžeta izpildes laikā netika pārvirzīti citiem mērķiem, kur finansējums ir bijis nepietiekams </w:t>
            </w:r>
          </w:p>
          <w:p w14:paraId="76ACEEFB" w14:textId="77777777" w:rsidR="006B1A68" w:rsidRPr="00B12B88" w:rsidRDefault="006B1A68" w:rsidP="006B1A68">
            <w:pPr>
              <w:spacing w:before="100" w:beforeAutospacing="1" w:after="100" w:afterAutospacing="1"/>
              <w:ind w:left="321"/>
              <w:contextualSpacing/>
              <w:rPr>
                <w:rFonts w:ascii="Times New Roman" w:eastAsia="Calibri" w:hAnsi="Times New Roman" w:cs="Times New Roman"/>
                <w:sz w:val="24"/>
                <w:szCs w:val="24"/>
              </w:rPr>
            </w:pPr>
          </w:p>
        </w:tc>
        <w:tc>
          <w:tcPr>
            <w:tcW w:w="5953" w:type="dxa"/>
          </w:tcPr>
          <w:p w14:paraId="63590333" w14:textId="77777777" w:rsidR="006B1A68" w:rsidRPr="00B12B88" w:rsidRDefault="006B1A68" w:rsidP="006B1A68">
            <w:pPr>
              <w:jc w:val="both"/>
              <w:rPr>
                <w:rFonts w:ascii="Times New Roman" w:eastAsia="Times New Roman" w:hAnsi="Times New Roman" w:cs="Times New Roman"/>
                <w:noProof/>
                <w:sz w:val="24"/>
                <w:szCs w:val="24"/>
                <w:lang w:eastAsia="lv-LV"/>
              </w:rPr>
            </w:pPr>
            <w:r w:rsidRPr="00B12B88">
              <w:rPr>
                <w:rFonts w:ascii="Times New Roman" w:eastAsia="Calibri" w:hAnsi="Times New Roman" w:cs="Times New Roman"/>
                <w:sz w:val="24"/>
                <w:szCs w:val="24"/>
              </w:rPr>
              <w:t>2020.</w:t>
            </w:r>
            <w:r>
              <w:rPr>
                <w:rFonts w:ascii="Times New Roman" w:eastAsia="Calibri" w:hAnsi="Times New Roman" w:cs="Times New Roman"/>
                <w:sz w:val="24"/>
                <w:szCs w:val="24"/>
              </w:rPr>
              <w:t> </w:t>
            </w:r>
            <w:r w:rsidRPr="00B12B88">
              <w:rPr>
                <w:rFonts w:ascii="Times New Roman" w:eastAsia="Calibri" w:hAnsi="Times New Roman" w:cs="Times New Roman"/>
                <w:sz w:val="24"/>
                <w:szCs w:val="24"/>
              </w:rPr>
              <w:t xml:space="preserve">gadā nav bijuši slēgtie asignējumi, jo </w:t>
            </w:r>
            <w:r w:rsidRPr="00B12B88">
              <w:rPr>
                <w:rFonts w:ascii="Times New Roman" w:eastAsia="Times New Roman" w:hAnsi="Times New Roman" w:cs="Times New Roman"/>
                <w:noProof/>
                <w:sz w:val="24"/>
                <w:szCs w:val="24"/>
                <w:lang w:eastAsia="lv-LV"/>
              </w:rPr>
              <w:t>Lietuvas Ģenerālprokuratūra kā vadošais patrneris plānoto finansējumu 133,6</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tūkst.</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i/>
                <w:iCs/>
                <w:noProof/>
                <w:sz w:val="24"/>
                <w:szCs w:val="24"/>
                <w:lang w:eastAsia="lv-LV"/>
              </w:rPr>
              <w:t xml:space="preserve">euro </w:t>
            </w:r>
            <w:r w:rsidRPr="00B12B88">
              <w:rPr>
                <w:rFonts w:ascii="Times New Roman" w:eastAsia="Times New Roman" w:hAnsi="Times New Roman" w:cs="Times New Roman"/>
                <w:noProof/>
                <w:sz w:val="24"/>
                <w:szCs w:val="24"/>
                <w:lang w:eastAsia="lv-LV"/>
              </w:rPr>
              <w:t>apmērā pārskaitīja Prokuratūrai 2021.</w:t>
            </w:r>
            <w:r>
              <w:rPr>
                <w:rFonts w:ascii="Times New Roman" w:eastAsia="Times New Roman" w:hAnsi="Times New Roman" w:cs="Times New Roman"/>
                <w:noProof/>
                <w:sz w:val="24"/>
                <w:szCs w:val="24"/>
                <w:lang w:eastAsia="lv-LV"/>
              </w:rPr>
              <w:t> </w:t>
            </w:r>
            <w:r w:rsidRPr="00B12B88">
              <w:rPr>
                <w:rFonts w:ascii="Times New Roman" w:eastAsia="Times New Roman" w:hAnsi="Times New Roman" w:cs="Times New Roman"/>
                <w:noProof/>
                <w:sz w:val="24"/>
                <w:szCs w:val="24"/>
                <w:lang w:eastAsia="lv-LV"/>
              </w:rPr>
              <w:t>gada janvārī.</w:t>
            </w:r>
          </w:p>
          <w:p w14:paraId="68DCAAA5" w14:textId="77777777" w:rsidR="006B1A68" w:rsidRPr="00B12B88" w:rsidRDefault="006B1A68" w:rsidP="006B1A68">
            <w:pPr>
              <w:jc w:val="both"/>
              <w:rPr>
                <w:rFonts w:ascii="Times New Roman" w:eastAsia="Calibri" w:hAnsi="Times New Roman" w:cs="Times New Roman"/>
                <w:sz w:val="24"/>
                <w:szCs w:val="24"/>
              </w:rPr>
            </w:pPr>
          </w:p>
        </w:tc>
      </w:tr>
    </w:tbl>
    <w:p w14:paraId="228BB2A1" w14:textId="77777777" w:rsidR="006B1A68" w:rsidRDefault="006B1A68" w:rsidP="006B1A68">
      <w:pPr>
        <w:tabs>
          <w:tab w:val="left" w:pos="993"/>
        </w:tabs>
        <w:spacing w:after="0" w:line="240" w:lineRule="auto"/>
        <w:jc w:val="both"/>
        <w:rPr>
          <w:rFonts w:eastAsia="Calibri" w:cs="Times New Roman"/>
          <w:b/>
          <w:szCs w:val="24"/>
        </w:rPr>
      </w:pPr>
    </w:p>
    <w:p w14:paraId="01B4DF1C" w14:textId="77777777" w:rsidR="006B1A68" w:rsidRPr="005A5948" w:rsidRDefault="006B1A68" w:rsidP="006B1A68">
      <w:pPr>
        <w:spacing w:after="0" w:line="240" w:lineRule="auto"/>
        <w:rPr>
          <w:rFonts w:cs="Times New Roman"/>
          <w:b/>
          <w:bCs/>
          <w:szCs w:val="24"/>
        </w:rPr>
      </w:pPr>
      <w:r w:rsidRPr="005A5948">
        <w:rPr>
          <w:rFonts w:cs="Times New Roman"/>
          <w:b/>
          <w:bCs/>
          <w:szCs w:val="24"/>
        </w:rPr>
        <w:t>Administratīvā direktore G.</w:t>
      </w:r>
      <w:r>
        <w:rPr>
          <w:rFonts w:cs="Times New Roman"/>
          <w:b/>
          <w:bCs/>
          <w:szCs w:val="24"/>
        </w:rPr>
        <w:t> </w:t>
      </w:r>
      <w:r w:rsidRPr="005A5948">
        <w:rPr>
          <w:rFonts w:cs="Times New Roman"/>
          <w:b/>
          <w:bCs/>
          <w:szCs w:val="24"/>
        </w:rPr>
        <w:t>Priede</w:t>
      </w:r>
    </w:p>
    <w:p w14:paraId="2BACB6B3" w14:textId="1BE9AFF8" w:rsidR="00357B21" w:rsidRDefault="006B1A68" w:rsidP="00357B21">
      <w:pPr>
        <w:spacing w:after="0" w:line="240" w:lineRule="auto"/>
        <w:rPr>
          <w:rFonts w:cs="Times New Roman"/>
          <w:b/>
          <w:bCs/>
          <w:szCs w:val="24"/>
        </w:rPr>
      </w:pPr>
      <w:r>
        <w:rPr>
          <w:rFonts w:cs="Times New Roman"/>
          <w:b/>
          <w:bCs/>
          <w:szCs w:val="24"/>
        </w:rPr>
        <w:t>Rīgā 2021. gada 17. februārī</w:t>
      </w:r>
      <w:r w:rsidR="00357B21">
        <w:rPr>
          <w:rFonts w:cs="Times New Roman"/>
          <w:b/>
          <w:bCs/>
          <w:szCs w:val="24"/>
        </w:rPr>
        <w:br w:type="page"/>
      </w:r>
    </w:p>
    <w:p w14:paraId="57537F84" w14:textId="77777777" w:rsidR="002D6563" w:rsidRPr="00AC244D" w:rsidRDefault="002D6563" w:rsidP="002D6563">
      <w:pPr>
        <w:spacing w:after="0" w:line="240" w:lineRule="auto"/>
        <w:jc w:val="center"/>
        <w:rPr>
          <w:b/>
          <w:bCs/>
          <w:sz w:val="32"/>
          <w:szCs w:val="32"/>
        </w:rPr>
      </w:pPr>
      <w:r w:rsidRPr="00AC244D">
        <w:rPr>
          <w:b/>
          <w:bCs/>
          <w:sz w:val="32"/>
          <w:szCs w:val="32"/>
        </w:rPr>
        <w:lastRenderedPageBreak/>
        <w:t>Prioritātes 2021. gadā</w:t>
      </w:r>
    </w:p>
    <w:p w14:paraId="394FD248" w14:textId="77777777" w:rsidR="002D6563" w:rsidRPr="00293727" w:rsidRDefault="002D6563" w:rsidP="002D6563">
      <w:pPr>
        <w:spacing w:after="0" w:line="240" w:lineRule="auto"/>
        <w:rPr>
          <w:b/>
          <w:bCs/>
          <w:szCs w:val="24"/>
        </w:rPr>
      </w:pPr>
    </w:p>
    <w:p w14:paraId="4642DA24" w14:textId="77777777" w:rsidR="002D6563" w:rsidRPr="00AC244D" w:rsidRDefault="002D6563" w:rsidP="002D6563">
      <w:pPr>
        <w:spacing w:after="0" w:line="240" w:lineRule="auto"/>
        <w:rPr>
          <w:b/>
          <w:bCs/>
          <w:szCs w:val="24"/>
        </w:rPr>
      </w:pPr>
      <w:r w:rsidRPr="00AC244D">
        <w:rPr>
          <w:b/>
          <w:bCs/>
          <w:szCs w:val="24"/>
        </w:rPr>
        <w:t>Kriminālprocesa efektivitātes veicināšanas joma</w:t>
      </w:r>
    </w:p>
    <w:p w14:paraId="0DB76395" w14:textId="77777777" w:rsidR="002D6563" w:rsidRPr="009A3D53" w:rsidRDefault="002D6563" w:rsidP="002D6563">
      <w:pPr>
        <w:spacing w:after="0" w:line="240" w:lineRule="auto"/>
        <w:rPr>
          <w:b/>
          <w:bCs/>
          <w:szCs w:val="24"/>
        </w:rPr>
      </w:pPr>
    </w:p>
    <w:p w14:paraId="4F741010" w14:textId="74005FD8" w:rsidR="002D6563" w:rsidRPr="009A3D53" w:rsidRDefault="002D6563" w:rsidP="0044188A">
      <w:pPr>
        <w:pStyle w:val="ListParagraph"/>
        <w:numPr>
          <w:ilvl w:val="0"/>
          <w:numId w:val="48"/>
        </w:numPr>
        <w:spacing w:after="0" w:line="240" w:lineRule="auto"/>
        <w:jc w:val="both"/>
        <w:rPr>
          <w:b/>
          <w:bCs/>
          <w:szCs w:val="24"/>
        </w:rPr>
      </w:pPr>
      <w:r>
        <w:rPr>
          <w:szCs w:val="24"/>
        </w:rPr>
        <w:t>Prokuroru funkciju kvalitatīva izpilde īpaši aktuālos kriminālprocesos, tajā skaitā</w:t>
      </w:r>
      <w:r w:rsidRPr="009A3D53">
        <w:rPr>
          <w:szCs w:val="24"/>
        </w:rPr>
        <w:t xml:space="preserve"> </w:t>
      </w:r>
      <w:r w:rsidR="002B6812">
        <w:rPr>
          <w:szCs w:val="24"/>
        </w:rPr>
        <w:t xml:space="preserve">par </w:t>
      </w:r>
      <w:r w:rsidRPr="009A3D53">
        <w:rPr>
          <w:szCs w:val="24"/>
        </w:rPr>
        <w:t>valsts amatpersonu izdarīti</w:t>
      </w:r>
      <w:r w:rsidR="002B6812">
        <w:rPr>
          <w:szCs w:val="24"/>
        </w:rPr>
        <w:t>em</w:t>
      </w:r>
      <w:r w:rsidRPr="009A3D53">
        <w:rPr>
          <w:szCs w:val="24"/>
        </w:rPr>
        <w:t xml:space="preserve"> noziedzīgi</w:t>
      </w:r>
      <w:r w:rsidR="002B6812">
        <w:rPr>
          <w:szCs w:val="24"/>
        </w:rPr>
        <w:t>em</w:t>
      </w:r>
      <w:r w:rsidRPr="009A3D53">
        <w:rPr>
          <w:szCs w:val="24"/>
        </w:rPr>
        <w:t xml:space="preserve"> nodarījumi</w:t>
      </w:r>
      <w:r w:rsidR="002B6812">
        <w:rPr>
          <w:szCs w:val="24"/>
        </w:rPr>
        <w:t>em</w:t>
      </w:r>
      <w:r w:rsidRPr="009A3D53">
        <w:rPr>
          <w:szCs w:val="24"/>
        </w:rPr>
        <w:t>, finanšu un ekonomisk</w:t>
      </w:r>
      <w:r w:rsidR="00034C36">
        <w:rPr>
          <w:szCs w:val="24"/>
        </w:rPr>
        <w:t>aj</w:t>
      </w:r>
      <w:r w:rsidRPr="009A3D53">
        <w:rPr>
          <w:szCs w:val="24"/>
        </w:rPr>
        <w:t>ie</w:t>
      </w:r>
      <w:r w:rsidR="002B6812">
        <w:rPr>
          <w:szCs w:val="24"/>
        </w:rPr>
        <w:t>m</w:t>
      </w:r>
      <w:r w:rsidRPr="009A3D53">
        <w:rPr>
          <w:szCs w:val="24"/>
        </w:rPr>
        <w:t xml:space="preserve"> nozi</w:t>
      </w:r>
      <w:r>
        <w:rPr>
          <w:szCs w:val="24"/>
        </w:rPr>
        <w:t>edzīg</w:t>
      </w:r>
      <w:r w:rsidR="00034C36">
        <w:rPr>
          <w:szCs w:val="24"/>
        </w:rPr>
        <w:t>aj</w:t>
      </w:r>
      <w:r>
        <w:rPr>
          <w:szCs w:val="24"/>
        </w:rPr>
        <w:t>ie</w:t>
      </w:r>
      <w:r w:rsidR="002B6812">
        <w:rPr>
          <w:szCs w:val="24"/>
        </w:rPr>
        <w:t>m</w:t>
      </w:r>
      <w:r>
        <w:rPr>
          <w:szCs w:val="24"/>
        </w:rPr>
        <w:t xml:space="preserve"> nodarījumi</w:t>
      </w:r>
      <w:r w:rsidR="002B6812">
        <w:rPr>
          <w:szCs w:val="24"/>
        </w:rPr>
        <w:t>em</w:t>
      </w:r>
      <w:r w:rsidRPr="009A3D53">
        <w:rPr>
          <w:szCs w:val="24"/>
        </w:rPr>
        <w:t xml:space="preserve">, </w:t>
      </w:r>
      <w:r>
        <w:rPr>
          <w:szCs w:val="24"/>
        </w:rPr>
        <w:t>tajā skaitā</w:t>
      </w:r>
      <w:r w:rsidRPr="009A3D53">
        <w:rPr>
          <w:szCs w:val="24"/>
        </w:rPr>
        <w:t xml:space="preserve"> noziedzīgi iegūtu līdzekļu legaliz</w:t>
      </w:r>
      <w:r w:rsidR="00293727">
        <w:rPr>
          <w:szCs w:val="24"/>
        </w:rPr>
        <w:t>ēšanu</w:t>
      </w:r>
      <w:r>
        <w:rPr>
          <w:szCs w:val="24"/>
        </w:rPr>
        <w:t xml:space="preserve"> un korupcij</w:t>
      </w:r>
      <w:r w:rsidR="002B6812">
        <w:rPr>
          <w:szCs w:val="24"/>
        </w:rPr>
        <w:t>u</w:t>
      </w:r>
      <w:r w:rsidRPr="009A3D53">
        <w:rPr>
          <w:szCs w:val="24"/>
        </w:rPr>
        <w:t>;</w:t>
      </w:r>
    </w:p>
    <w:p w14:paraId="329913D9" w14:textId="77777777" w:rsidR="002D6563" w:rsidRPr="00243B16" w:rsidRDefault="002D6563" w:rsidP="0044188A">
      <w:pPr>
        <w:pStyle w:val="ListParagraph"/>
        <w:numPr>
          <w:ilvl w:val="0"/>
          <w:numId w:val="48"/>
        </w:numPr>
        <w:spacing w:after="0" w:line="240" w:lineRule="auto"/>
        <w:jc w:val="both"/>
        <w:rPr>
          <w:b/>
          <w:bCs/>
          <w:szCs w:val="24"/>
        </w:rPr>
      </w:pPr>
      <w:r>
        <w:rPr>
          <w:szCs w:val="24"/>
        </w:rPr>
        <w:t>Amatā augstāku prokuroru procesuālās hierarhijas praktiskā organizācija un veiksmīga sadarbības modeļa iedzīvināšana efektīvākai kriminālprocesa norisei;</w:t>
      </w:r>
    </w:p>
    <w:p w14:paraId="359B4419" w14:textId="77777777" w:rsidR="002D6563" w:rsidRPr="00116264" w:rsidRDefault="002D6563" w:rsidP="0044188A">
      <w:pPr>
        <w:pStyle w:val="ListParagraph"/>
        <w:numPr>
          <w:ilvl w:val="0"/>
          <w:numId w:val="48"/>
        </w:numPr>
        <w:spacing w:after="0" w:line="240" w:lineRule="auto"/>
        <w:jc w:val="both"/>
        <w:rPr>
          <w:b/>
          <w:bCs/>
          <w:szCs w:val="24"/>
        </w:rPr>
      </w:pPr>
      <w:r w:rsidRPr="00116264">
        <w:rPr>
          <w:szCs w:val="24"/>
        </w:rPr>
        <w:t>Vienotas izpratnes veicināšana par izmeklēšanas, kriminālvajāšanas un iztiesāšanas īpatnībām, tajā skaitā</w:t>
      </w:r>
      <w:r>
        <w:rPr>
          <w:szCs w:val="24"/>
        </w:rPr>
        <w:t xml:space="preserve"> v</w:t>
      </w:r>
      <w:r w:rsidRPr="00116264">
        <w:rPr>
          <w:szCs w:val="24"/>
        </w:rPr>
        <w:t>adlīniju izstrāde kriminālprocesa vienkāršošanai krimināllietās par maznozīmīgiem noziedzīgiem nodarījumiem (kritēriji kriminālprocesa uzsākšanas atteikšanai; procesuālo darbību minimums);</w:t>
      </w:r>
    </w:p>
    <w:p w14:paraId="20904BE0" w14:textId="77777777" w:rsidR="002D6563" w:rsidRPr="00EC643F" w:rsidRDefault="002D6563" w:rsidP="0044188A">
      <w:pPr>
        <w:pStyle w:val="ListParagraph"/>
        <w:numPr>
          <w:ilvl w:val="0"/>
          <w:numId w:val="48"/>
        </w:numPr>
        <w:spacing w:after="0" w:line="240" w:lineRule="auto"/>
        <w:jc w:val="both"/>
        <w:rPr>
          <w:b/>
          <w:bCs/>
          <w:szCs w:val="24"/>
        </w:rPr>
      </w:pPr>
      <w:r>
        <w:rPr>
          <w:szCs w:val="24"/>
        </w:rPr>
        <w:t>Paātrinātā procesa piemērošanas vienotas sistēmas izstrāde, panākot vienkāršu kriminālprocesu pabeigšanu 48 stundu laikā;</w:t>
      </w:r>
    </w:p>
    <w:p w14:paraId="5ABB8D37" w14:textId="77777777" w:rsidR="002D6563" w:rsidRPr="008A11B6" w:rsidRDefault="002D6563" w:rsidP="0044188A">
      <w:pPr>
        <w:pStyle w:val="ListParagraph"/>
        <w:numPr>
          <w:ilvl w:val="0"/>
          <w:numId w:val="48"/>
        </w:numPr>
        <w:spacing w:after="0" w:line="240" w:lineRule="auto"/>
        <w:jc w:val="both"/>
        <w:rPr>
          <w:b/>
          <w:bCs/>
          <w:szCs w:val="24"/>
        </w:rPr>
      </w:pPr>
      <w:r>
        <w:rPr>
          <w:szCs w:val="24"/>
        </w:rPr>
        <w:t>Prioritāra resursu virzīšana smagu un sevišķi smagu noziegumu atklāšanai un izmeklēšanai;</w:t>
      </w:r>
    </w:p>
    <w:p w14:paraId="682563B3" w14:textId="7ABD0A83" w:rsidR="002D6563" w:rsidRPr="00A737C0" w:rsidRDefault="002D6563" w:rsidP="0044188A">
      <w:pPr>
        <w:pStyle w:val="ListParagraph"/>
        <w:numPr>
          <w:ilvl w:val="0"/>
          <w:numId w:val="48"/>
        </w:numPr>
        <w:spacing w:after="0" w:line="240" w:lineRule="auto"/>
        <w:jc w:val="both"/>
        <w:rPr>
          <w:b/>
          <w:bCs/>
          <w:szCs w:val="24"/>
        </w:rPr>
      </w:pPr>
      <w:r>
        <w:rPr>
          <w:szCs w:val="24"/>
        </w:rPr>
        <w:t xml:space="preserve">Informācijas apmaiņa un vienotas prakses risinājumi sadarbībā ar visām </w:t>
      </w:r>
      <w:r w:rsidR="00293727">
        <w:rPr>
          <w:szCs w:val="24"/>
        </w:rPr>
        <w:t xml:space="preserve">tiesas </w:t>
      </w:r>
      <w:r>
        <w:rPr>
          <w:szCs w:val="24"/>
        </w:rPr>
        <w:t>apgabal</w:t>
      </w:r>
      <w:r w:rsidR="00293727">
        <w:rPr>
          <w:szCs w:val="24"/>
        </w:rPr>
        <w:t>a prokuratūras darbības teritorijā</w:t>
      </w:r>
      <w:r>
        <w:rPr>
          <w:szCs w:val="24"/>
        </w:rPr>
        <w:t xml:space="preserve"> ietilpstošajām rajona līmeņa prokuratūrām, kā arī cit</w:t>
      </w:r>
      <w:r w:rsidR="00293727">
        <w:rPr>
          <w:szCs w:val="24"/>
        </w:rPr>
        <w:t>ām</w:t>
      </w:r>
      <w:r>
        <w:rPr>
          <w:szCs w:val="24"/>
        </w:rPr>
        <w:t xml:space="preserve"> ties</w:t>
      </w:r>
      <w:r w:rsidR="00293727">
        <w:rPr>
          <w:szCs w:val="24"/>
        </w:rPr>
        <w:t>as</w:t>
      </w:r>
      <w:r>
        <w:rPr>
          <w:szCs w:val="24"/>
        </w:rPr>
        <w:t xml:space="preserve"> apgabal</w:t>
      </w:r>
      <w:r w:rsidR="00293727">
        <w:rPr>
          <w:szCs w:val="24"/>
        </w:rPr>
        <w:t>a</w:t>
      </w:r>
      <w:r>
        <w:rPr>
          <w:szCs w:val="24"/>
        </w:rPr>
        <w:t xml:space="preserve"> prokuratūrām un Ģenerālprokuratūru. </w:t>
      </w:r>
    </w:p>
    <w:p w14:paraId="7D6EB95E" w14:textId="77777777" w:rsidR="002D6563" w:rsidRPr="00D2656B" w:rsidRDefault="002D6563" w:rsidP="0044188A">
      <w:pPr>
        <w:pStyle w:val="ListParagraph"/>
        <w:numPr>
          <w:ilvl w:val="0"/>
          <w:numId w:val="48"/>
        </w:numPr>
        <w:spacing w:after="0" w:line="240" w:lineRule="auto"/>
        <w:jc w:val="both"/>
        <w:rPr>
          <w:b/>
          <w:bCs/>
          <w:szCs w:val="24"/>
        </w:rPr>
      </w:pPr>
      <w:r>
        <w:rPr>
          <w:szCs w:val="24"/>
        </w:rPr>
        <w:t>Sadarbības veicināšana ar citām kriminālprocesa norisē iesaistītajām institūcijām, tajā skaitā vadlīniju izstrāde par sadarbības mehānisma izveidi ar tiesību aizsardzības iestādēm;</w:t>
      </w:r>
      <w:r w:rsidRPr="00D2656B">
        <w:rPr>
          <w:szCs w:val="24"/>
        </w:rPr>
        <w:t xml:space="preserve"> </w:t>
      </w:r>
    </w:p>
    <w:p w14:paraId="1BCA4835" w14:textId="355322AB" w:rsidR="002D6563" w:rsidRPr="00AC244D" w:rsidRDefault="002D6563" w:rsidP="0044188A">
      <w:pPr>
        <w:pStyle w:val="ListParagraph"/>
        <w:numPr>
          <w:ilvl w:val="0"/>
          <w:numId w:val="48"/>
        </w:numPr>
        <w:spacing w:after="0" w:line="240" w:lineRule="auto"/>
        <w:jc w:val="both"/>
        <w:rPr>
          <w:b/>
          <w:bCs/>
          <w:szCs w:val="24"/>
        </w:rPr>
      </w:pPr>
      <w:r w:rsidRPr="00AC244D">
        <w:rPr>
          <w:szCs w:val="24"/>
        </w:rPr>
        <w:t xml:space="preserve">Prokuroru </w:t>
      </w:r>
      <w:r w:rsidR="002230D0">
        <w:rPr>
          <w:szCs w:val="24"/>
        </w:rPr>
        <w:t xml:space="preserve">darba </w:t>
      </w:r>
      <w:r w:rsidRPr="00AC244D">
        <w:rPr>
          <w:szCs w:val="24"/>
        </w:rPr>
        <w:t>organizācijas uzlabošana nolūkā nodrošināt nekavējošu uzraugošā prokurora iesaisti noziedzīgu nodarījumu izmeklēšanā;</w:t>
      </w:r>
    </w:p>
    <w:p w14:paraId="3A40D2E0" w14:textId="479F3BF4" w:rsidR="002D6563" w:rsidRPr="00992DBD" w:rsidRDefault="002D6563" w:rsidP="0044188A">
      <w:pPr>
        <w:pStyle w:val="ListParagraph"/>
        <w:numPr>
          <w:ilvl w:val="0"/>
          <w:numId w:val="48"/>
        </w:numPr>
        <w:spacing w:after="0" w:line="240" w:lineRule="auto"/>
        <w:jc w:val="both"/>
        <w:rPr>
          <w:b/>
          <w:bCs/>
          <w:szCs w:val="24"/>
        </w:rPr>
      </w:pPr>
      <w:r>
        <w:rPr>
          <w:szCs w:val="24"/>
        </w:rPr>
        <w:t>Sadarbībā ar T</w:t>
      </w:r>
      <w:r w:rsidR="002E5FAE">
        <w:rPr>
          <w:szCs w:val="24"/>
        </w:rPr>
        <w:t>ieslietu ministriju</w:t>
      </w:r>
      <w:r>
        <w:rPr>
          <w:szCs w:val="24"/>
        </w:rPr>
        <w:t xml:space="preserve"> turpināt kriminālprocesuālo normu uzlabošanu, lai veicinātu kriminālprocesu ne tikai efektīv</w:t>
      </w:r>
      <w:r w:rsidR="002230D0">
        <w:rPr>
          <w:szCs w:val="24"/>
        </w:rPr>
        <w:t>āku</w:t>
      </w:r>
      <w:r>
        <w:rPr>
          <w:szCs w:val="24"/>
        </w:rPr>
        <w:t xml:space="preserve"> un kvalitatīv</w:t>
      </w:r>
      <w:r w:rsidR="002230D0">
        <w:rPr>
          <w:szCs w:val="24"/>
        </w:rPr>
        <w:t>āku</w:t>
      </w:r>
      <w:r>
        <w:rPr>
          <w:szCs w:val="24"/>
        </w:rPr>
        <w:t xml:space="preserve"> norisi, bet arī ekonomiski </w:t>
      </w:r>
      <w:r w:rsidRPr="00CD4CA8">
        <w:rPr>
          <w:szCs w:val="24"/>
        </w:rPr>
        <w:t xml:space="preserve">saprātīgu </w:t>
      </w:r>
      <w:r w:rsidRPr="00CD4CA8">
        <w:rPr>
          <w:color w:val="000000" w:themeColor="text1"/>
          <w:szCs w:val="24"/>
        </w:rPr>
        <w:t>pieeju</w:t>
      </w:r>
      <w:r w:rsidR="00CA5F63" w:rsidRPr="00CD4CA8">
        <w:rPr>
          <w:color w:val="000000" w:themeColor="text1"/>
          <w:szCs w:val="24"/>
        </w:rPr>
        <w:t xml:space="preserve"> </w:t>
      </w:r>
      <w:r w:rsidR="00CD4CA8" w:rsidRPr="00CD4CA8">
        <w:rPr>
          <w:color w:val="000000" w:themeColor="text1"/>
          <w:szCs w:val="24"/>
        </w:rPr>
        <w:t>valsts resursu izmantošanā</w:t>
      </w:r>
      <w:r w:rsidRPr="002230D0">
        <w:rPr>
          <w:color w:val="000000" w:themeColor="text1"/>
          <w:szCs w:val="24"/>
          <w:u w:val="single"/>
        </w:rPr>
        <w:t>;</w:t>
      </w:r>
    </w:p>
    <w:p w14:paraId="63E6A900" w14:textId="6294A88C" w:rsidR="002D6563" w:rsidRPr="00992DBD" w:rsidRDefault="002D6563" w:rsidP="0044188A">
      <w:pPr>
        <w:pStyle w:val="ListParagraph"/>
        <w:numPr>
          <w:ilvl w:val="0"/>
          <w:numId w:val="48"/>
        </w:numPr>
        <w:spacing w:after="0" w:line="240" w:lineRule="auto"/>
        <w:jc w:val="both"/>
        <w:rPr>
          <w:b/>
          <w:bCs/>
          <w:szCs w:val="24"/>
        </w:rPr>
      </w:pPr>
      <w:r>
        <w:rPr>
          <w:szCs w:val="24"/>
        </w:rPr>
        <w:t>A</w:t>
      </w:r>
      <w:r w:rsidR="00F62B7E">
        <w:rPr>
          <w:szCs w:val="24"/>
        </w:rPr>
        <w:t>psūdzēto a</w:t>
      </w:r>
      <w:r>
        <w:rPr>
          <w:szCs w:val="24"/>
        </w:rPr>
        <w:t>ttaisnojošo spriedumu analīze nolūkā novērst tiesas konstatētos trūkumus iztiesāšanā;</w:t>
      </w:r>
    </w:p>
    <w:p w14:paraId="22EE45BC" w14:textId="77777777" w:rsidR="002D6563" w:rsidRPr="00992DBD" w:rsidRDefault="002D6563" w:rsidP="0044188A">
      <w:pPr>
        <w:pStyle w:val="ListParagraph"/>
        <w:numPr>
          <w:ilvl w:val="0"/>
          <w:numId w:val="48"/>
        </w:numPr>
        <w:spacing w:after="0" w:line="240" w:lineRule="auto"/>
        <w:jc w:val="both"/>
        <w:rPr>
          <w:b/>
          <w:bCs/>
          <w:szCs w:val="24"/>
        </w:rPr>
      </w:pPr>
      <w:r>
        <w:rPr>
          <w:szCs w:val="24"/>
        </w:rPr>
        <w:t>Apsūdzību kvalitātes uzlabošana;</w:t>
      </w:r>
    </w:p>
    <w:p w14:paraId="29F603E2" w14:textId="4F7CA145" w:rsidR="002D6563" w:rsidRPr="009C29FF" w:rsidRDefault="002D6563" w:rsidP="0044188A">
      <w:pPr>
        <w:pStyle w:val="ListParagraph"/>
        <w:numPr>
          <w:ilvl w:val="0"/>
          <w:numId w:val="48"/>
        </w:numPr>
        <w:spacing w:after="0" w:line="240" w:lineRule="auto"/>
        <w:jc w:val="both"/>
        <w:rPr>
          <w:b/>
          <w:bCs/>
          <w:szCs w:val="24"/>
        </w:rPr>
      </w:pPr>
      <w:r>
        <w:rPr>
          <w:szCs w:val="24"/>
        </w:rPr>
        <w:t>Efektīva, proporcionāla un likuma mērķim atbilstoša kriminālsodu politikas veicināšana gan prokuratūrā, gan ties</w:t>
      </w:r>
      <w:r w:rsidR="002E5FAE">
        <w:rPr>
          <w:szCs w:val="24"/>
        </w:rPr>
        <w:t>ā</w:t>
      </w:r>
      <w:r>
        <w:rPr>
          <w:szCs w:val="24"/>
        </w:rPr>
        <w:t>;</w:t>
      </w:r>
    </w:p>
    <w:p w14:paraId="5DFFAC9F" w14:textId="35283813" w:rsidR="002D6563" w:rsidRPr="00894296" w:rsidRDefault="002D6563" w:rsidP="0044188A">
      <w:pPr>
        <w:pStyle w:val="ListParagraph"/>
        <w:numPr>
          <w:ilvl w:val="0"/>
          <w:numId w:val="48"/>
        </w:numPr>
        <w:spacing w:line="240" w:lineRule="auto"/>
        <w:jc w:val="both"/>
        <w:rPr>
          <w:rFonts w:cs="Times New Roman"/>
          <w:szCs w:val="24"/>
        </w:rPr>
      </w:pPr>
      <w:r w:rsidRPr="00894296">
        <w:rPr>
          <w:rFonts w:cs="Times New Roman"/>
          <w:szCs w:val="24"/>
        </w:rPr>
        <w:t xml:space="preserve">Vienveidīgas prakses izveide visu centrālo iestāžu (Valsts policijas, Tieslietu ministrijas) starpā jautājumos, kas skar starptautiskās </w:t>
      </w:r>
      <w:r>
        <w:rPr>
          <w:rFonts w:cs="Times New Roman"/>
          <w:szCs w:val="24"/>
        </w:rPr>
        <w:t xml:space="preserve">krimināltiesiskās </w:t>
      </w:r>
      <w:r w:rsidRPr="00894296">
        <w:rPr>
          <w:rFonts w:cs="Times New Roman"/>
          <w:szCs w:val="24"/>
        </w:rPr>
        <w:t>sadarbības instrumentu piemērošanu un jaunu starptautisko tiesību instrumentu aprobēšanu praksē</w:t>
      </w:r>
      <w:r>
        <w:rPr>
          <w:rFonts w:cs="Times New Roman"/>
          <w:szCs w:val="24"/>
        </w:rPr>
        <w:t>;</w:t>
      </w:r>
    </w:p>
    <w:p w14:paraId="348E4074" w14:textId="77777777" w:rsidR="002D6563" w:rsidRPr="00894296" w:rsidRDefault="002D6563" w:rsidP="0044188A">
      <w:pPr>
        <w:pStyle w:val="ListParagraph"/>
        <w:numPr>
          <w:ilvl w:val="0"/>
          <w:numId w:val="48"/>
        </w:numPr>
        <w:spacing w:line="240" w:lineRule="auto"/>
        <w:jc w:val="both"/>
        <w:rPr>
          <w:rFonts w:cs="Times New Roman"/>
          <w:szCs w:val="24"/>
        </w:rPr>
      </w:pPr>
      <w:r w:rsidRPr="00894296">
        <w:rPr>
          <w:rFonts w:cs="Times New Roman"/>
          <w:szCs w:val="24"/>
        </w:rPr>
        <w:t>Iespējamo risinājumu meklēšana par Eiropas Savienības tiesību aktu savstarpējās atzīšanas sfērā praktiskās piemērojamības uzlabošanu</w:t>
      </w:r>
      <w:r>
        <w:rPr>
          <w:rFonts w:cs="Times New Roman"/>
          <w:szCs w:val="24"/>
        </w:rPr>
        <w:t xml:space="preserve"> krimināltiesību jomā;</w:t>
      </w:r>
    </w:p>
    <w:p w14:paraId="504B832C" w14:textId="77777777" w:rsidR="002D6563" w:rsidRPr="00A60891" w:rsidRDefault="002D6563" w:rsidP="0044188A">
      <w:pPr>
        <w:pStyle w:val="ListParagraph"/>
        <w:numPr>
          <w:ilvl w:val="0"/>
          <w:numId w:val="48"/>
        </w:numPr>
        <w:spacing w:after="0" w:line="240" w:lineRule="auto"/>
        <w:ind w:left="714" w:hanging="357"/>
        <w:jc w:val="both"/>
        <w:rPr>
          <w:rFonts w:cs="Times New Roman"/>
          <w:sz w:val="28"/>
          <w:szCs w:val="28"/>
        </w:rPr>
      </w:pPr>
      <w:r w:rsidRPr="00A60891">
        <w:rPr>
          <w:rFonts w:cs="Times New Roman"/>
          <w:szCs w:val="24"/>
        </w:rPr>
        <w:t>Cilvēkresursu kapacitātes un mobilitātes nodrošināšana, kā arī lietā iesaistīto dalībnieku menedžments pandēmijas apstākļos</w:t>
      </w:r>
      <w:r>
        <w:rPr>
          <w:rFonts w:cs="Times New Roman"/>
          <w:szCs w:val="24"/>
        </w:rPr>
        <w:t>, tajā skaitā jautājumos, kas saistīti ar</w:t>
      </w:r>
      <w:r w:rsidRPr="00A60891">
        <w:rPr>
          <w:rFonts w:cs="Times New Roman"/>
          <w:szCs w:val="24"/>
        </w:rPr>
        <w:t xml:space="preserve"> liela apjoma tiesiskās palīdzības vai izdošanas lūgum</w:t>
      </w:r>
      <w:r>
        <w:rPr>
          <w:rFonts w:cs="Times New Roman"/>
          <w:szCs w:val="24"/>
        </w:rPr>
        <w:t>u izskatīšanu</w:t>
      </w:r>
      <w:r w:rsidRPr="00A60891">
        <w:rPr>
          <w:rFonts w:cs="Times New Roman"/>
          <w:szCs w:val="24"/>
        </w:rPr>
        <w:t>.</w:t>
      </w:r>
    </w:p>
    <w:p w14:paraId="5D4DE973" w14:textId="77777777" w:rsidR="002D6563" w:rsidRDefault="002D6563" w:rsidP="002D6563">
      <w:pPr>
        <w:spacing w:after="0" w:line="240" w:lineRule="auto"/>
        <w:jc w:val="both"/>
        <w:rPr>
          <w:b/>
          <w:bCs/>
          <w:szCs w:val="24"/>
        </w:rPr>
      </w:pPr>
    </w:p>
    <w:p w14:paraId="1101D30C" w14:textId="77777777" w:rsidR="002D6563" w:rsidRPr="00AC244D" w:rsidRDefault="002D6563" w:rsidP="002D6563">
      <w:pPr>
        <w:spacing w:after="0" w:line="240" w:lineRule="auto"/>
        <w:jc w:val="both"/>
        <w:rPr>
          <w:b/>
          <w:bCs/>
          <w:szCs w:val="24"/>
        </w:rPr>
      </w:pPr>
      <w:r w:rsidRPr="00AC244D">
        <w:rPr>
          <w:b/>
          <w:bCs/>
          <w:szCs w:val="24"/>
        </w:rPr>
        <w:t>Ārpus krimināltiesību sfēras</w:t>
      </w:r>
    </w:p>
    <w:p w14:paraId="0E0A26EA" w14:textId="77777777" w:rsidR="002D6563" w:rsidRDefault="002D6563" w:rsidP="002D6563">
      <w:pPr>
        <w:spacing w:after="0" w:line="240" w:lineRule="auto"/>
        <w:jc w:val="both"/>
        <w:rPr>
          <w:b/>
          <w:bCs/>
          <w:szCs w:val="24"/>
        </w:rPr>
      </w:pPr>
    </w:p>
    <w:p w14:paraId="36839149" w14:textId="38C79226" w:rsidR="002D6563" w:rsidRDefault="002D6563" w:rsidP="00E329FC">
      <w:pPr>
        <w:pStyle w:val="ListParagraph"/>
        <w:numPr>
          <w:ilvl w:val="0"/>
          <w:numId w:val="48"/>
        </w:numPr>
        <w:spacing w:after="0" w:line="240" w:lineRule="auto"/>
        <w:jc w:val="both"/>
        <w:rPr>
          <w:szCs w:val="24"/>
        </w:rPr>
      </w:pPr>
      <w:r w:rsidRPr="00441509">
        <w:rPr>
          <w:szCs w:val="24"/>
        </w:rPr>
        <w:t>N</w:t>
      </w:r>
      <w:r>
        <w:rPr>
          <w:szCs w:val="24"/>
        </w:rPr>
        <w:t>olūkā stiprināt sabiedrības uzticību prokuratūrai un tiesu varai kopumā regulāri informēt par Senātā apmierinātajiem Ģenerālprokuratūras Personu un valsts tiesību aizsardzības departamenta virsprokurora protestiem, kuru juridiskais vērtējums un tiesību normu piemērošanas jautājumi būtiski ietekmē plašu sabiedrības loku;</w:t>
      </w:r>
    </w:p>
    <w:p w14:paraId="706972C9" w14:textId="77777777" w:rsidR="002D6563" w:rsidRDefault="002D6563" w:rsidP="00E329FC">
      <w:pPr>
        <w:pStyle w:val="ListParagraph"/>
        <w:numPr>
          <w:ilvl w:val="0"/>
          <w:numId w:val="48"/>
        </w:numPr>
        <w:spacing w:after="0" w:line="240" w:lineRule="auto"/>
        <w:jc w:val="both"/>
        <w:rPr>
          <w:szCs w:val="24"/>
        </w:rPr>
      </w:pPr>
      <w:r>
        <w:rPr>
          <w:szCs w:val="24"/>
        </w:rPr>
        <w:t>Veicināt sadarbību ar Maksātnespējas kontroles dienestu viedokļu apmaiņas nolūkā, lai novērstu identificētās problēmas administratoru darbā;</w:t>
      </w:r>
    </w:p>
    <w:p w14:paraId="18657DFC" w14:textId="069D5EFF" w:rsidR="002D6563" w:rsidRDefault="002D6563" w:rsidP="00E329FC">
      <w:pPr>
        <w:pStyle w:val="ListParagraph"/>
        <w:numPr>
          <w:ilvl w:val="0"/>
          <w:numId w:val="48"/>
        </w:numPr>
        <w:spacing w:after="0" w:line="240" w:lineRule="auto"/>
        <w:jc w:val="both"/>
        <w:rPr>
          <w:szCs w:val="24"/>
        </w:rPr>
      </w:pPr>
      <w:r>
        <w:rPr>
          <w:szCs w:val="24"/>
        </w:rPr>
        <w:lastRenderedPageBreak/>
        <w:t>Nolūkā samazināt turpmāku kompensāciju par kaitējuma atlīdzināšanu izmaksu izvērtēt apstākļus, kas izraisījuši vai veicinājuši atlīdzināmā kaitējuma nodarīšanu pirmstiesas kriminālprocesā, un par to informēt prokurorus un izmeklēšanas iestādes;</w:t>
      </w:r>
    </w:p>
    <w:p w14:paraId="089EF4DB" w14:textId="77777777" w:rsidR="002D6563" w:rsidRPr="00441509" w:rsidRDefault="002D6563" w:rsidP="00E329FC">
      <w:pPr>
        <w:pStyle w:val="ListParagraph"/>
        <w:numPr>
          <w:ilvl w:val="0"/>
          <w:numId w:val="48"/>
        </w:numPr>
        <w:spacing w:after="0" w:line="240" w:lineRule="auto"/>
        <w:ind w:left="714" w:hanging="357"/>
        <w:jc w:val="both"/>
        <w:rPr>
          <w:szCs w:val="24"/>
        </w:rPr>
      </w:pPr>
      <w:r>
        <w:rPr>
          <w:szCs w:val="24"/>
        </w:rPr>
        <w:t>Informēt Augstāko tiesu par atšķirīgo tiesu praksi tiesību normu piemērošanā.</w:t>
      </w:r>
    </w:p>
    <w:p w14:paraId="68E7DD30" w14:textId="77777777" w:rsidR="002D6563" w:rsidRDefault="002D6563" w:rsidP="002D6563">
      <w:pPr>
        <w:spacing w:after="0" w:line="240" w:lineRule="auto"/>
        <w:jc w:val="both"/>
        <w:rPr>
          <w:b/>
          <w:bCs/>
          <w:szCs w:val="24"/>
        </w:rPr>
      </w:pPr>
    </w:p>
    <w:p w14:paraId="221D6417" w14:textId="77777777" w:rsidR="002D6563" w:rsidRDefault="002D6563" w:rsidP="002D6563">
      <w:pPr>
        <w:spacing w:after="0" w:line="240" w:lineRule="auto"/>
        <w:jc w:val="both"/>
        <w:rPr>
          <w:b/>
          <w:bCs/>
          <w:szCs w:val="24"/>
        </w:rPr>
      </w:pPr>
      <w:r>
        <w:rPr>
          <w:b/>
          <w:bCs/>
          <w:szCs w:val="24"/>
        </w:rPr>
        <w:t>Prokuroru kvalifikācijas celšanas joma</w:t>
      </w:r>
    </w:p>
    <w:p w14:paraId="5C957E2D" w14:textId="77777777" w:rsidR="002D6563" w:rsidRPr="00AC244D" w:rsidRDefault="002D6563" w:rsidP="002D6563">
      <w:pPr>
        <w:spacing w:after="0" w:line="240" w:lineRule="auto"/>
        <w:jc w:val="both"/>
        <w:rPr>
          <w:b/>
          <w:bCs/>
          <w:szCs w:val="24"/>
        </w:rPr>
      </w:pPr>
    </w:p>
    <w:p w14:paraId="6E166A8C" w14:textId="77777777" w:rsidR="002D6563" w:rsidRDefault="002D6563" w:rsidP="00B3453F">
      <w:pPr>
        <w:pStyle w:val="ListParagraph"/>
        <w:numPr>
          <w:ilvl w:val="0"/>
          <w:numId w:val="48"/>
        </w:numPr>
        <w:spacing w:after="0" w:line="240" w:lineRule="auto"/>
        <w:jc w:val="both"/>
        <w:rPr>
          <w:szCs w:val="24"/>
        </w:rPr>
      </w:pPr>
      <w:r w:rsidRPr="00EC643F">
        <w:rPr>
          <w:szCs w:val="24"/>
        </w:rPr>
        <w:t>Prokuroru kvalifikācijas celšana</w:t>
      </w:r>
      <w:r>
        <w:rPr>
          <w:szCs w:val="24"/>
        </w:rPr>
        <w:t xml:space="preserve"> valsts amatpersonu noziedzīgo nodarījumu,</w:t>
      </w:r>
      <w:r w:rsidRPr="00EC643F">
        <w:rPr>
          <w:szCs w:val="24"/>
        </w:rPr>
        <w:t xml:space="preserve"> finanšu un ekonomisko noz</w:t>
      </w:r>
      <w:r>
        <w:rPr>
          <w:szCs w:val="24"/>
        </w:rPr>
        <w:t>iedzīgo nodarījumu</w:t>
      </w:r>
      <w:r w:rsidRPr="00EC643F">
        <w:rPr>
          <w:szCs w:val="24"/>
        </w:rPr>
        <w:t xml:space="preserve"> izmeklēšanas jomā</w:t>
      </w:r>
      <w:r>
        <w:rPr>
          <w:szCs w:val="24"/>
        </w:rPr>
        <w:t>;</w:t>
      </w:r>
    </w:p>
    <w:p w14:paraId="6D0273C5" w14:textId="77777777" w:rsidR="002D6563" w:rsidRDefault="002D6563" w:rsidP="00B3453F">
      <w:pPr>
        <w:pStyle w:val="ListParagraph"/>
        <w:numPr>
          <w:ilvl w:val="0"/>
          <w:numId w:val="48"/>
        </w:numPr>
        <w:spacing w:after="0" w:line="240" w:lineRule="auto"/>
        <w:jc w:val="both"/>
        <w:rPr>
          <w:szCs w:val="24"/>
        </w:rPr>
      </w:pPr>
      <w:r>
        <w:rPr>
          <w:szCs w:val="24"/>
        </w:rPr>
        <w:t>Apmācības pasākumu mērķtiecīga plānošana un realizācija atbilstoši aktuālajām prokuroru profesionālajām vajadzībām;</w:t>
      </w:r>
    </w:p>
    <w:p w14:paraId="12203099" w14:textId="77777777" w:rsidR="002D6563" w:rsidRDefault="002D6563" w:rsidP="00B3453F">
      <w:pPr>
        <w:pStyle w:val="ListParagraph"/>
        <w:numPr>
          <w:ilvl w:val="0"/>
          <w:numId w:val="48"/>
        </w:numPr>
        <w:spacing w:after="0" w:line="240" w:lineRule="auto"/>
        <w:jc w:val="both"/>
        <w:rPr>
          <w:szCs w:val="24"/>
        </w:rPr>
      </w:pPr>
      <w:r>
        <w:rPr>
          <w:szCs w:val="24"/>
        </w:rPr>
        <w:t>Darbs pie pastāvīgas centralizētas prokuroru kvalifikācijas celšanas sistēmas izveides;</w:t>
      </w:r>
    </w:p>
    <w:p w14:paraId="77F523F0" w14:textId="77777777" w:rsidR="002D6563" w:rsidRDefault="002D6563" w:rsidP="00B3453F">
      <w:pPr>
        <w:pStyle w:val="ListParagraph"/>
        <w:numPr>
          <w:ilvl w:val="0"/>
          <w:numId w:val="48"/>
        </w:numPr>
        <w:spacing w:line="240" w:lineRule="auto"/>
        <w:jc w:val="both"/>
        <w:rPr>
          <w:szCs w:val="24"/>
        </w:rPr>
      </w:pPr>
      <w:r>
        <w:rPr>
          <w:szCs w:val="24"/>
        </w:rPr>
        <w:t>Mehānisma izveide regulārai pieredzes apmaiņai prokuroriem visā valstī par aktuāliem jautājumiem gan kriminālprocesā un krimināltiesībās, gan arī citos jautājumos, kas saistīti ar vienotas prakses veicināšanu prokuroru ikdienas pienākumu izpildē;</w:t>
      </w:r>
    </w:p>
    <w:p w14:paraId="12709D89" w14:textId="77777777" w:rsidR="002D6563" w:rsidRPr="00894296" w:rsidRDefault="002D6563" w:rsidP="00B3453F">
      <w:pPr>
        <w:pStyle w:val="ListParagraph"/>
        <w:numPr>
          <w:ilvl w:val="0"/>
          <w:numId w:val="48"/>
        </w:numPr>
        <w:spacing w:after="0" w:line="240" w:lineRule="auto"/>
        <w:ind w:left="714" w:hanging="357"/>
        <w:jc w:val="both"/>
        <w:rPr>
          <w:rFonts w:cs="Times New Roman"/>
          <w:szCs w:val="24"/>
        </w:rPr>
      </w:pPr>
      <w:r w:rsidRPr="00894296">
        <w:rPr>
          <w:rFonts w:cs="Times New Roman"/>
          <w:szCs w:val="24"/>
        </w:rPr>
        <w:t xml:space="preserve">Prokuratūras struktūrvienību un tiesībaizsardzības iestāžu informēšana, tai skaitā organizējot apmācības, par konstatēto problemātiku Kriminālprocesa likuma „C” daļas kontekstā un tās iespējamiem risinājumiem, lai novērstu krimināllietu izmeklēšanas termiņu novilcināšanu. </w:t>
      </w:r>
      <w:r w:rsidRPr="002933D1">
        <w:rPr>
          <w:rFonts w:cs="Times New Roman"/>
          <w:color w:val="000000" w:themeColor="text1"/>
          <w:szCs w:val="24"/>
        </w:rPr>
        <w:t>Darba turpināšana pie ierosinājumos pievienoto procesuālo dokumentu kvalitātes celšanas.</w:t>
      </w:r>
    </w:p>
    <w:p w14:paraId="25CBFBBC" w14:textId="77777777" w:rsidR="002D6563" w:rsidRDefault="002D6563" w:rsidP="002D6563">
      <w:pPr>
        <w:spacing w:after="0" w:line="240" w:lineRule="auto"/>
        <w:jc w:val="both"/>
        <w:rPr>
          <w:szCs w:val="24"/>
        </w:rPr>
      </w:pPr>
    </w:p>
    <w:p w14:paraId="1D8519B7" w14:textId="77777777" w:rsidR="002D6563" w:rsidRPr="00AC244D" w:rsidRDefault="002D6563" w:rsidP="002D6563">
      <w:pPr>
        <w:spacing w:after="0" w:line="240" w:lineRule="auto"/>
        <w:jc w:val="both"/>
        <w:rPr>
          <w:b/>
          <w:bCs/>
          <w:szCs w:val="24"/>
        </w:rPr>
      </w:pPr>
      <w:r w:rsidRPr="00AC244D">
        <w:rPr>
          <w:b/>
          <w:bCs/>
          <w:szCs w:val="24"/>
        </w:rPr>
        <w:t>Prioritātes prokuratūras darba organizācijā</w:t>
      </w:r>
    </w:p>
    <w:p w14:paraId="163840B9" w14:textId="77777777" w:rsidR="002D6563" w:rsidRPr="009C5B7A" w:rsidRDefault="002D6563" w:rsidP="002D6563">
      <w:pPr>
        <w:spacing w:after="0" w:line="240" w:lineRule="auto"/>
        <w:jc w:val="both"/>
        <w:rPr>
          <w:b/>
          <w:bCs/>
          <w:szCs w:val="24"/>
        </w:rPr>
      </w:pPr>
    </w:p>
    <w:p w14:paraId="0717B860" w14:textId="77777777" w:rsidR="002D6563" w:rsidRPr="009C29FF" w:rsidRDefault="002D6563" w:rsidP="00B3453F">
      <w:pPr>
        <w:pStyle w:val="ListParagraph"/>
        <w:numPr>
          <w:ilvl w:val="0"/>
          <w:numId w:val="48"/>
        </w:numPr>
        <w:spacing w:line="240" w:lineRule="auto"/>
        <w:jc w:val="both"/>
        <w:rPr>
          <w:szCs w:val="24"/>
        </w:rPr>
      </w:pPr>
      <w:r>
        <w:rPr>
          <w:szCs w:val="24"/>
        </w:rPr>
        <w:t>Turpināt iesākto prokuratūras struktūrvienību reorganizāciju, nodrošināt tās kvalitatīvu norisi;</w:t>
      </w:r>
    </w:p>
    <w:p w14:paraId="3408F313" w14:textId="2A3E766F" w:rsidR="002D6563" w:rsidRPr="003C4A0D" w:rsidRDefault="002D6563" w:rsidP="00B3453F">
      <w:pPr>
        <w:pStyle w:val="ListParagraph"/>
        <w:numPr>
          <w:ilvl w:val="0"/>
          <w:numId w:val="48"/>
        </w:numPr>
        <w:spacing w:after="0" w:line="240" w:lineRule="auto"/>
        <w:jc w:val="both"/>
        <w:rPr>
          <w:b/>
          <w:bCs/>
          <w:szCs w:val="24"/>
        </w:rPr>
      </w:pPr>
      <w:r>
        <w:rPr>
          <w:szCs w:val="24"/>
        </w:rPr>
        <w:t xml:space="preserve">Prokuratūras cilvēkresursu optimizācija, prokuroru pārslodzes un profesionālās izdegšanas risku mazināšana, slodzes izlīdzināšana, </w:t>
      </w:r>
      <w:r w:rsidR="00293727">
        <w:rPr>
          <w:szCs w:val="24"/>
        </w:rPr>
        <w:t xml:space="preserve">vakanto prokurora </w:t>
      </w:r>
      <w:r>
        <w:rPr>
          <w:szCs w:val="24"/>
        </w:rPr>
        <w:t xml:space="preserve">štata vietu nokomplektēšana; </w:t>
      </w:r>
    </w:p>
    <w:p w14:paraId="5661DC38" w14:textId="5B688E00" w:rsidR="002D6563" w:rsidRDefault="002D6563" w:rsidP="00B3453F">
      <w:pPr>
        <w:pStyle w:val="ListParagraph"/>
        <w:numPr>
          <w:ilvl w:val="0"/>
          <w:numId w:val="48"/>
        </w:numPr>
        <w:spacing w:line="240" w:lineRule="auto"/>
        <w:jc w:val="both"/>
        <w:rPr>
          <w:szCs w:val="24"/>
        </w:rPr>
      </w:pPr>
      <w:r>
        <w:rPr>
          <w:szCs w:val="24"/>
        </w:rPr>
        <w:t xml:space="preserve">Valsts kontroles un </w:t>
      </w:r>
      <w:r w:rsidR="00034C36">
        <w:rPr>
          <w:rFonts w:eastAsia="Calibri" w:cs="Times New Roman"/>
          <w:color w:val="000000"/>
          <w:szCs w:val="24"/>
        </w:rPr>
        <w:t>Ekonomiskās sadarbības un attīstības organizācijas (</w:t>
      </w:r>
      <w:r>
        <w:rPr>
          <w:szCs w:val="24"/>
        </w:rPr>
        <w:t>OECD</w:t>
      </w:r>
      <w:r w:rsidR="00034C36">
        <w:rPr>
          <w:szCs w:val="24"/>
        </w:rPr>
        <w:t xml:space="preserve">) </w:t>
      </w:r>
      <w:r>
        <w:rPr>
          <w:szCs w:val="24"/>
        </w:rPr>
        <w:t>rekomendāciju izpilde, tajā skaitā prokuratūras ilgtermiņa darbības stratēģijas izstrāde, prokuroru profesionālās novērtēšanas procesa efektivizēšana, statistisko datu analīzes mehānisma izveide nolūkā nodrošināt ātru un vienkāršu prokuratūras darba statistisko rādītāju izmantošanu darba kvalitātes un efektivitātes izvērtēšanā, prokuroru slodzes izlīdzināšanā;</w:t>
      </w:r>
    </w:p>
    <w:p w14:paraId="034A32A7" w14:textId="53EC6E90" w:rsidR="002D6563" w:rsidRDefault="002D6563" w:rsidP="00B3453F">
      <w:pPr>
        <w:pStyle w:val="ListParagraph"/>
        <w:numPr>
          <w:ilvl w:val="0"/>
          <w:numId w:val="48"/>
        </w:numPr>
        <w:spacing w:line="240" w:lineRule="auto"/>
        <w:jc w:val="both"/>
        <w:rPr>
          <w:szCs w:val="24"/>
        </w:rPr>
      </w:pPr>
      <w:r>
        <w:rPr>
          <w:szCs w:val="24"/>
        </w:rPr>
        <w:t>Prokuratūras informācijas sistēmas</w:t>
      </w:r>
      <w:r w:rsidR="00AC478E">
        <w:rPr>
          <w:szCs w:val="24"/>
        </w:rPr>
        <w:t xml:space="preserve"> (ProIS)</w:t>
      </w:r>
      <w:r>
        <w:rPr>
          <w:szCs w:val="24"/>
        </w:rPr>
        <w:t xml:space="preserve"> un e-lietas attīstība, tajā skaitā datu ievades kvalitātes uzlabošana;</w:t>
      </w:r>
    </w:p>
    <w:p w14:paraId="3A18316E" w14:textId="45DBFA47" w:rsidR="004023CF" w:rsidRPr="00292361" w:rsidRDefault="002D6563" w:rsidP="00B3453F">
      <w:pPr>
        <w:pStyle w:val="ListParagraph"/>
        <w:numPr>
          <w:ilvl w:val="0"/>
          <w:numId w:val="48"/>
        </w:numPr>
        <w:spacing w:after="0" w:line="240" w:lineRule="auto"/>
        <w:ind w:left="714" w:hanging="357"/>
        <w:jc w:val="both"/>
        <w:rPr>
          <w:rFonts w:cs="Times New Roman"/>
          <w:szCs w:val="24"/>
        </w:rPr>
      </w:pPr>
      <w:r w:rsidRPr="00894296">
        <w:rPr>
          <w:rFonts w:cs="Times New Roman"/>
          <w:szCs w:val="24"/>
        </w:rPr>
        <w:t>Sadarbībā ar Tiesu administrāciju Eiropas Komisijas piedāvātās E-pierādījumu sistēmas darbības uzsākšana Latvijā un tās sekojoša integrācija pastāvošajās Krimināltiesiskās sadarbības lūgumu un Tiesu informācijas sistēmās.</w:t>
      </w:r>
    </w:p>
    <w:p w14:paraId="42F9DCEE" w14:textId="77777777" w:rsidR="004023CF" w:rsidRPr="004023CF" w:rsidRDefault="004023CF" w:rsidP="004023CF">
      <w:pPr>
        <w:pStyle w:val="ListParagraph"/>
        <w:spacing w:after="0"/>
        <w:ind w:left="714"/>
        <w:jc w:val="both"/>
        <w:rPr>
          <w:rFonts w:cs="Times New Roman"/>
          <w:szCs w:val="24"/>
        </w:rPr>
      </w:pPr>
    </w:p>
    <w:p w14:paraId="6E571A39" w14:textId="16B1CF5D" w:rsidR="002D6563" w:rsidRPr="00292361" w:rsidRDefault="002D6563" w:rsidP="002D6563">
      <w:pPr>
        <w:jc w:val="both"/>
        <w:rPr>
          <w:rFonts w:cs="Times New Roman"/>
          <w:b/>
          <w:bCs/>
          <w:szCs w:val="24"/>
        </w:rPr>
      </w:pPr>
      <w:r w:rsidRPr="00292361">
        <w:rPr>
          <w:rFonts w:cs="Times New Roman"/>
          <w:b/>
          <w:bCs/>
          <w:szCs w:val="24"/>
        </w:rPr>
        <w:t>Ģenerālprokurors</w:t>
      </w:r>
      <w:r w:rsidRPr="00292361">
        <w:rPr>
          <w:rFonts w:cs="Times New Roman"/>
          <w:b/>
          <w:bCs/>
          <w:szCs w:val="24"/>
        </w:rPr>
        <w:tab/>
      </w:r>
      <w:r w:rsidRPr="00292361">
        <w:rPr>
          <w:rFonts w:cs="Times New Roman"/>
          <w:b/>
          <w:bCs/>
          <w:szCs w:val="24"/>
        </w:rPr>
        <w:tab/>
      </w:r>
      <w:r w:rsidRPr="00292361">
        <w:rPr>
          <w:rFonts w:cs="Times New Roman"/>
          <w:b/>
          <w:bCs/>
          <w:szCs w:val="24"/>
        </w:rPr>
        <w:tab/>
      </w:r>
      <w:r w:rsidRPr="00292361">
        <w:rPr>
          <w:rFonts w:cs="Times New Roman"/>
          <w:b/>
          <w:bCs/>
          <w:szCs w:val="24"/>
        </w:rPr>
        <w:tab/>
      </w:r>
      <w:r w:rsidRPr="00292361">
        <w:rPr>
          <w:rFonts w:cs="Times New Roman"/>
          <w:b/>
          <w:bCs/>
          <w:szCs w:val="24"/>
        </w:rPr>
        <w:tab/>
      </w:r>
      <w:r w:rsidRPr="00292361">
        <w:rPr>
          <w:rFonts w:cs="Times New Roman"/>
          <w:b/>
          <w:bCs/>
          <w:szCs w:val="24"/>
        </w:rPr>
        <w:tab/>
      </w:r>
      <w:r w:rsidRPr="00292361">
        <w:rPr>
          <w:rFonts w:cs="Times New Roman"/>
          <w:b/>
          <w:bCs/>
          <w:szCs w:val="24"/>
        </w:rPr>
        <w:tab/>
      </w:r>
      <w:r w:rsidR="00292361">
        <w:rPr>
          <w:rFonts w:cs="Times New Roman"/>
          <w:b/>
          <w:bCs/>
          <w:szCs w:val="24"/>
        </w:rPr>
        <w:tab/>
      </w:r>
      <w:r w:rsidR="00A4403E">
        <w:rPr>
          <w:rFonts w:cs="Times New Roman"/>
          <w:b/>
          <w:bCs/>
          <w:szCs w:val="24"/>
        </w:rPr>
        <w:tab/>
      </w:r>
      <w:r w:rsidRPr="00292361">
        <w:rPr>
          <w:rFonts w:cs="Times New Roman"/>
          <w:b/>
          <w:bCs/>
          <w:szCs w:val="24"/>
        </w:rPr>
        <w:t>J.</w:t>
      </w:r>
      <w:r w:rsidR="00292361">
        <w:rPr>
          <w:rFonts w:cs="Times New Roman"/>
          <w:b/>
          <w:bCs/>
          <w:szCs w:val="24"/>
        </w:rPr>
        <w:t> </w:t>
      </w:r>
      <w:proofErr w:type="spellStart"/>
      <w:r w:rsidRPr="00292361">
        <w:rPr>
          <w:rFonts w:cs="Times New Roman"/>
          <w:b/>
          <w:bCs/>
          <w:szCs w:val="24"/>
        </w:rPr>
        <w:t>Stukāns</w:t>
      </w:r>
      <w:proofErr w:type="spellEnd"/>
    </w:p>
    <w:p w14:paraId="0C687AF0" w14:textId="7218B9B7" w:rsidR="00292361" w:rsidRPr="00292361" w:rsidRDefault="00292361" w:rsidP="002D6563">
      <w:pPr>
        <w:jc w:val="both"/>
        <w:rPr>
          <w:rFonts w:cs="Times New Roman"/>
          <w:b/>
          <w:bCs/>
          <w:szCs w:val="24"/>
        </w:rPr>
      </w:pPr>
      <w:r w:rsidRPr="00292361">
        <w:rPr>
          <w:rFonts w:cs="Times New Roman"/>
          <w:b/>
          <w:bCs/>
          <w:szCs w:val="24"/>
        </w:rPr>
        <w:t>Rīgā 2021. gada 26. februārī</w:t>
      </w:r>
    </w:p>
    <w:p w14:paraId="740BF16E" w14:textId="77777777" w:rsidR="00292361" w:rsidRDefault="00292361" w:rsidP="004023CF">
      <w:pPr>
        <w:jc w:val="center"/>
        <w:rPr>
          <w:rFonts w:cs="Times New Roman"/>
          <w:szCs w:val="24"/>
        </w:rPr>
      </w:pPr>
    </w:p>
    <w:p w14:paraId="4802A55E" w14:textId="7785CBAE" w:rsidR="00292361" w:rsidRPr="002D6563" w:rsidRDefault="002D6563" w:rsidP="00F62B7E">
      <w:pPr>
        <w:jc w:val="center"/>
        <w:rPr>
          <w:rFonts w:cs="Times New Roman"/>
          <w:szCs w:val="24"/>
        </w:rPr>
      </w:pPr>
      <w:r>
        <w:rPr>
          <w:rFonts w:cs="Times New Roman"/>
          <w:szCs w:val="24"/>
        </w:rPr>
        <w:t xml:space="preserve">DOKUMENTS </w:t>
      </w:r>
      <w:r w:rsidR="004B70FD">
        <w:rPr>
          <w:rFonts w:cs="Times New Roman"/>
          <w:szCs w:val="24"/>
        </w:rPr>
        <w:t xml:space="preserve">IR </w:t>
      </w:r>
      <w:r w:rsidR="004023CF">
        <w:rPr>
          <w:rFonts w:cs="Times New Roman"/>
          <w:szCs w:val="24"/>
        </w:rPr>
        <w:t xml:space="preserve">ELEKTRONISKI </w:t>
      </w:r>
      <w:r>
        <w:rPr>
          <w:rFonts w:cs="Times New Roman"/>
          <w:szCs w:val="24"/>
        </w:rPr>
        <w:t xml:space="preserve">PARAKSTĪTS AR DROŠU ELEKTRONISKO PARAKSTU </w:t>
      </w:r>
      <w:r w:rsidR="004023CF">
        <w:rPr>
          <w:rFonts w:cs="Times New Roman"/>
          <w:szCs w:val="24"/>
        </w:rPr>
        <w:t>UN SATUR LAIKA ZĪMOGU</w:t>
      </w:r>
    </w:p>
    <w:p w14:paraId="2D429E56" w14:textId="77777777" w:rsidR="000F2172" w:rsidRPr="00B12B88" w:rsidRDefault="000F2172" w:rsidP="00CF4214">
      <w:pPr>
        <w:spacing w:after="0" w:line="240" w:lineRule="auto"/>
        <w:jc w:val="both"/>
        <w:rPr>
          <w:rFonts w:cs="Times New Roman"/>
          <w:szCs w:val="24"/>
        </w:rPr>
      </w:pPr>
    </w:p>
    <w:sectPr w:rsidR="000F2172" w:rsidRPr="00B12B88" w:rsidSect="00357287">
      <w:pgSz w:w="11906" w:h="16838" w:code="9"/>
      <w:pgMar w:top="993" w:right="849" w:bottom="1135" w:left="1701" w:header="709" w:footer="709" w:gutter="0"/>
      <w:pgNumType w:start="15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C4E2AD" w14:textId="77777777" w:rsidR="00AA4B55" w:rsidRDefault="00AA4B55" w:rsidP="005424E5">
      <w:pPr>
        <w:spacing w:after="0" w:line="240" w:lineRule="auto"/>
      </w:pPr>
      <w:r>
        <w:separator/>
      </w:r>
    </w:p>
  </w:endnote>
  <w:endnote w:type="continuationSeparator" w:id="0">
    <w:p w14:paraId="1EF68744" w14:textId="77777777" w:rsidR="00AA4B55" w:rsidRDefault="00AA4B55" w:rsidP="00542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0002A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BA"/>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BA"/>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51A10F" w14:textId="77777777" w:rsidR="00AA4B55" w:rsidRDefault="00AA4B55" w:rsidP="005424E5">
      <w:pPr>
        <w:spacing w:after="0" w:line="240" w:lineRule="auto"/>
      </w:pPr>
      <w:r>
        <w:separator/>
      </w:r>
    </w:p>
  </w:footnote>
  <w:footnote w:type="continuationSeparator" w:id="0">
    <w:p w14:paraId="201F4A82" w14:textId="77777777" w:rsidR="00AA4B55" w:rsidRDefault="00AA4B55" w:rsidP="005424E5">
      <w:pPr>
        <w:spacing w:after="0" w:line="240" w:lineRule="auto"/>
      </w:pPr>
      <w:r>
        <w:continuationSeparator/>
      </w:r>
    </w:p>
  </w:footnote>
  <w:footnote w:id="1">
    <w:p w14:paraId="18D47C1F" w14:textId="77777777" w:rsidR="008B029D" w:rsidRPr="00B3038B" w:rsidRDefault="008B029D" w:rsidP="00AB5546">
      <w:pPr>
        <w:pStyle w:val="FootnoteText"/>
        <w:jc w:val="both"/>
        <w:rPr>
          <w:rFonts w:ascii="Times New Roman" w:hAnsi="Times New Roman" w:cs="Times New Roman"/>
        </w:rPr>
      </w:pPr>
      <w:r w:rsidRPr="00080436">
        <w:rPr>
          <w:rStyle w:val="FootnoteReference"/>
        </w:rPr>
        <w:footnoteRef/>
      </w:r>
      <w:r w:rsidRPr="00080436">
        <w:t xml:space="preserve"> </w:t>
      </w:r>
      <w:hyperlink r:id="rId1" w:history="1">
        <w:r w:rsidRPr="00A91C91">
          <w:rPr>
            <w:rStyle w:val="Hyperlink"/>
            <w:rFonts w:ascii="Times New Roman" w:hAnsi="Times New Roman" w:cstheme="minorBidi"/>
            <w:color w:val="auto"/>
            <w:u w:val="none"/>
          </w:rPr>
          <w:t>Moneyval 5. kārtas novērtēšanas 2018. gada 23. augusta ziņojums</w:t>
        </w:r>
      </w:hyperlink>
      <w:r w:rsidRPr="00A91C91">
        <w:rPr>
          <w:rFonts w:ascii="Times New Roman" w:hAnsi="Times New Roman" w:cstheme="minorBidi"/>
        </w:rPr>
        <w:t>.</w:t>
      </w:r>
      <w:r>
        <w:rPr>
          <w:rFonts w:ascii="Times New Roman" w:hAnsi="Times New Roman" w:cs="Times New Roman"/>
          <w:color w:val="000000"/>
        </w:rPr>
        <w:t xml:space="preserve"> Pieejams: </w:t>
      </w:r>
      <w:r w:rsidRPr="0047741B">
        <w:t xml:space="preserve"> </w:t>
      </w:r>
      <w:r w:rsidRPr="0047741B">
        <w:rPr>
          <w:rFonts w:ascii="Times New Roman" w:hAnsi="Times New Roman" w:cs="Times New Roman"/>
          <w:color w:val="000000"/>
        </w:rPr>
        <w:t>https://rm.coe.int/moneyval-2018-8-5th-round-mer-latvia/16808ce61b</w:t>
      </w:r>
    </w:p>
  </w:footnote>
  <w:footnote w:id="2">
    <w:p w14:paraId="2AAA6809" w14:textId="77777777" w:rsidR="008B029D" w:rsidRPr="00B3038B" w:rsidRDefault="008B029D" w:rsidP="00AB5546">
      <w:pPr>
        <w:pStyle w:val="FootnoteText"/>
        <w:jc w:val="both"/>
        <w:rPr>
          <w:rFonts w:ascii="Times New Roman" w:hAnsi="Times New Roman" w:cs="Times New Roman"/>
          <w:highlight w:val="yellow"/>
        </w:rPr>
      </w:pPr>
      <w:r w:rsidRPr="00B3038B">
        <w:rPr>
          <w:rStyle w:val="FootnoteReference"/>
          <w:rFonts w:ascii="Times New Roman" w:hAnsi="Times New Roman" w:cs="Times New Roman"/>
        </w:rPr>
        <w:footnoteRef/>
      </w:r>
      <w:r w:rsidRPr="00B3038B">
        <w:rPr>
          <w:rFonts w:ascii="Times New Roman" w:hAnsi="Times New Roman" w:cs="Times New Roman"/>
        </w:rPr>
        <w:t xml:space="preserve"> </w:t>
      </w:r>
      <w:hyperlink r:id="rId2" w:history="1">
        <w:r w:rsidRPr="00187331">
          <w:rPr>
            <w:rFonts w:ascii="Times New Roman" w:hAnsi="Times New Roman" w:cstheme="minorBidi"/>
          </w:rPr>
          <w:t>Ekonomiskās sadarbības un attīstības organizācijas Kukuļošanas apkarošanas starptautiskajos biznesa darījumos darba grupas 3.fāzes Latvijas novērtējuma ziņojums</w:t>
        </w:r>
      </w:hyperlink>
      <w:r w:rsidRPr="00187331">
        <w:rPr>
          <w:rFonts w:ascii="Times New Roman" w:hAnsi="Times New Roman" w:cstheme="minorBidi"/>
        </w:rPr>
        <w:t xml:space="preserve">, 2019. </w:t>
      </w:r>
      <w:r>
        <w:rPr>
          <w:rFonts w:ascii="Times New Roman" w:hAnsi="Times New Roman" w:cstheme="minorBidi"/>
        </w:rPr>
        <w:t xml:space="preserve">gada </w:t>
      </w:r>
      <w:r w:rsidRPr="00187331">
        <w:rPr>
          <w:rFonts w:ascii="Times New Roman" w:hAnsi="Times New Roman" w:cstheme="minorBidi"/>
        </w:rPr>
        <w:t>10. oktobris.</w:t>
      </w:r>
      <w:r w:rsidRPr="00187331">
        <w:rPr>
          <w:rFonts w:ascii="Times New Roman" w:hAnsi="Times New Roman" w:cs="Times New Roman"/>
        </w:rPr>
        <w:t xml:space="preserve"> Pieejams: https://www.oecd.org/corruption/anti-bribery/OECD-Latvia-Phase-3-Report-ENG.pdf</w:t>
      </w:r>
    </w:p>
  </w:footnote>
  <w:footnote w:id="3">
    <w:p w14:paraId="6665F2A4" w14:textId="77777777" w:rsidR="008B029D" w:rsidRPr="004969B9" w:rsidRDefault="008B029D" w:rsidP="00AB5546">
      <w:pPr>
        <w:shd w:val="clear" w:color="auto" w:fill="FFFFFF"/>
        <w:spacing w:after="0"/>
        <w:jc w:val="both"/>
        <w:rPr>
          <w:sz w:val="18"/>
          <w:szCs w:val="20"/>
        </w:rPr>
      </w:pPr>
      <w:r w:rsidRPr="004969B9">
        <w:rPr>
          <w:rStyle w:val="FootnoteReference"/>
          <w:sz w:val="18"/>
        </w:rPr>
        <w:footnoteRef/>
      </w:r>
      <w:r w:rsidRPr="004969B9">
        <w:rPr>
          <w:sz w:val="18"/>
          <w:szCs w:val="20"/>
        </w:rPr>
        <w:t xml:space="preserve"> Likuma 32.</w:t>
      </w:r>
      <w:r w:rsidRPr="004969B9">
        <w:rPr>
          <w:sz w:val="18"/>
          <w:szCs w:val="20"/>
          <w:vertAlign w:val="superscript"/>
        </w:rPr>
        <w:t>1</w:t>
      </w:r>
      <w:r w:rsidRPr="004969B9">
        <w:rPr>
          <w:sz w:val="18"/>
          <w:szCs w:val="20"/>
        </w:rPr>
        <w:t xml:space="preserve"> pants paredz</w:t>
      </w:r>
      <w:r>
        <w:rPr>
          <w:sz w:val="18"/>
          <w:szCs w:val="20"/>
        </w:rPr>
        <w:t>, ka</w:t>
      </w:r>
      <w:r w:rsidRPr="004969B9">
        <w:rPr>
          <w:sz w:val="18"/>
          <w:szCs w:val="20"/>
        </w:rPr>
        <w:t xml:space="preserve"> Finanšu izlūkošanas dienests izdod rīkojumu par līdzekļu iesaldēšanu: </w:t>
      </w:r>
    </w:p>
    <w:p w14:paraId="701A6174" w14:textId="77777777" w:rsidR="008B029D" w:rsidRPr="004969B9" w:rsidRDefault="008B029D" w:rsidP="00AB5546">
      <w:pPr>
        <w:shd w:val="clear" w:color="auto" w:fill="FFFFFF"/>
        <w:spacing w:after="0"/>
        <w:jc w:val="both"/>
        <w:rPr>
          <w:sz w:val="18"/>
          <w:szCs w:val="20"/>
        </w:rPr>
      </w:pPr>
      <w:r w:rsidRPr="004969B9">
        <w:rPr>
          <w:sz w:val="18"/>
          <w:szCs w:val="20"/>
        </w:rPr>
        <w:t>1) pēc tam, kad saņemts Likuma subjekta ziņojums par atturēšanos no darījuma veikšanas;</w:t>
      </w:r>
    </w:p>
    <w:p w14:paraId="3F19A437" w14:textId="77777777" w:rsidR="008B029D" w:rsidRPr="004969B9" w:rsidRDefault="008B029D" w:rsidP="00AB5546">
      <w:pPr>
        <w:shd w:val="clear" w:color="auto" w:fill="FFFFFF"/>
        <w:spacing w:after="0"/>
        <w:jc w:val="both"/>
        <w:rPr>
          <w:sz w:val="18"/>
          <w:szCs w:val="20"/>
        </w:rPr>
      </w:pPr>
      <w:r w:rsidRPr="004969B9">
        <w:rPr>
          <w:sz w:val="18"/>
          <w:szCs w:val="20"/>
        </w:rPr>
        <w:t>2) pēc savas iniciatīvas;</w:t>
      </w:r>
    </w:p>
    <w:p w14:paraId="55BD9C3C" w14:textId="77777777" w:rsidR="008B029D" w:rsidRPr="004969B9" w:rsidRDefault="008B029D" w:rsidP="00AB5546">
      <w:pPr>
        <w:shd w:val="clear" w:color="auto" w:fill="FFFFFF"/>
        <w:spacing w:after="0"/>
        <w:jc w:val="both"/>
        <w:rPr>
          <w:sz w:val="22"/>
        </w:rPr>
      </w:pPr>
      <w:r w:rsidRPr="004969B9">
        <w:rPr>
          <w:sz w:val="18"/>
          <w:szCs w:val="20"/>
        </w:rPr>
        <w:t>3) pēc ārvalstu pilnvaroto iestāžu lūguma par līdzekļu iesaldēšanu.</w:t>
      </w:r>
    </w:p>
  </w:footnote>
  <w:footnote w:id="4">
    <w:p w14:paraId="661F83DC" w14:textId="77777777" w:rsidR="008B029D" w:rsidRPr="004969B9" w:rsidRDefault="008B029D" w:rsidP="00AB5546">
      <w:pPr>
        <w:pStyle w:val="FootnoteText"/>
        <w:jc w:val="both"/>
        <w:rPr>
          <w:rFonts w:ascii="Times New Roman" w:hAnsi="Times New Roman" w:cs="Times New Roman"/>
          <w:sz w:val="18"/>
        </w:rPr>
      </w:pPr>
      <w:r w:rsidRPr="004969B9">
        <w:rPr>
          <w:rStyle w:val="FootnoteReference"/>
          <w:rFonts w:ascii="Times New Roman" w:hAnsi="Times New Roman" w:cs="Times New Roman"/>
          <w:sz w:val="18"/>
        </w:rPr>
        <w:footnoteRef/>
      </w:r>
      <w:r w:rsidRPr="004969B9">
        <w:rPr>
          <w:rFonts w:ascii="Times New Roman" w:hAnsi="Times New Roman" w:cs="Times New Roman"/>
          <w:sz w:val="18"/>
        </w:rPr>
        <w:t xml:space="preserve"> Atbilstoši informācijai līdz 2021. gada 15. janvārim, atsevišķu tiesībaizsardzības iestāžu dati par 2020. gada decembri un novembri vēl nav apkopoti. </w:t>
      </w:r>
    </w:p>
  </w:footnote>
  <w:footnote w:id="5">
    <w:p w14:paraId="6212757F" w14:textId="77777777" w:rsidR="008B029D" w:rsidRPr="00F343D7" w:rsidRDefault="008B029D" w:rsidP="00AB5546">
      <w:pPr>
        <w:pStyle w:val="FootnoteText"/>
        <w:jc w:val="both"/>
        <w:rPr>
          <w:rFonts w:ascii="Times New Roman" w:hAnsi="Times New Roman" w:cs="Times New Roman"/>
          <w:sz w:val="18"/>
          <w:szCs w:val="18"/>
        </w:rPr>
      </w:pPr>
      <w:r>
        <w:rPr>
          <w:rStyle w:val="FootnoteReference"/>
        </w:rPr>
        <w:footnoteRef/>
      </w:r>
      <w:r>
        <w:t xml:space="preserve"> </w:t>
      </w:r>
      <w:r w:rsidRPr="007607F9">
        <w:rPr>
          <w:rFonts w:ascii="Times New Roman" w:eastAsia="Times New Roman" w:hAnsi="Times New Roman" w:cs="Times New Roman"/>
          <w:sz w:val="18"/>
          <w:szCs w:val="18"/>
          <w:lang w:eastAsia="lv-LV"/>
        </w:rPr>
        <w:t>Ministru kabineta 2020. gada 29. septembra rīkojums Nr. 576 “Pasākumu plāns noziedzīgi iegūtu līdzekļu legalizācijas, terorisma un proliferācijas finansēšanas novēršanai laikposmam no 2020. līdz 2022. gadam”</w:t>
      </w:r>
      <w:r>
        <w:rPr>
          <w:rFonts w:ascii="Times New Roman" w:eastAsia="Times New Roman" w:hAnsi="Times New Roman" w:cs="Times New Roman"/>
          <w:sz w:val="18"/>
          <w:szCs w:val="18"/>
          <w:lang w:eastAsia="lv-LV"/>
        </w:rPr>
        <w:t xml:space="preserve">; </w:t>
      </w:r>
      <w:r w:rsidRPr="007607F9">
        <w:rPr>
          <w:rFonts w:ascii="Times New Roman" w:eastAsia="Times New Roman" w:hAnsi="Times New Roman" w:cs="Times New Roman"/>
          <w:bCs/>
          <w:sz w:val="18"/>
          <w:szCs w:val="18"/>
          <w:lang w:eastAsia="lv-LV"/>
        </w:rPr>
        <w:t>Pasākumu plān</w:t>
      </w:r>
      <w:r w:rsidRPr="00F343D7">
        <w:rPr>
          <w:rFonts w:ascii="Times New Roman" w:eastAsia="Times New Roman" w:hAnsi="Times New Roman" w:cs="Times New Roman"/>
          <w:bCs/>
          <w:sz w:val="18"/>
          <w:szCs w:val="18"/>
          <w:lang w:eastAsia="lv-LV"/>
        </w:rPr>
        <w:t>s</w:t>
      </w:r>
      <w:r w:rsidRPr="007607F9">
        <w:rPr>
          <w:rFonts w:ascii="Times New Roman" w:eastAsia="Times New Roman" w:hAnsi="Times New Roman" w:cs="Times New Roman"/>
          <w:bCs/>
          <w:sz w:val="18"/>
          <w:szCs w:val="18"/>
          <w:lang w:eastAsia="lv-LV"/>
        </w:rPr>
        <w:t xml:space="preserve"> samērīgas pieejas nostiprināšanai, izpildot noziedzīgi iegūtu līdzekļu legalizācijas un terorisma un proliferācijas finansēšanas novēršanas prasības</w:t>
      </w:r>
      <w:r>
        <w:rPr>
          <w:rFonts w:ascii="Times New Roman" w:eastAsia="Times New Roman" w:hAnsi="Times New Roman" w:cs="Times New Roman"/>
          <w:bCs/>
          <w:sz w:val="18"/>
          <w:szCs w:val="18"/>
          <w:lang w:eastAsia="lv-LV"/>
        </w:rPr>
        <w:t>.</w:t>
      </w:r>
    </w:p>
  </w:footnote>
  <w:footnote w:id="6">
    <w:p w14:paraId="79327C86" w14:textId="77777777" w:rsidR="008B029D" w:rsidRPr="00686F77" w:rsidRDefault="008B029D" w:rsidP="00AB5546">
      <w:pPr>
        <w:pStyle w:val="FootnoteText"/>
        <w:rPr>
          <w:rFonts w:ascii="Times New Roman" w:hAnsi="Times New Roman" w:cs="Times New Roman"/>
          <w:sz w:val="18"/>
          <w:szCs w:val="18"/>
        </w:rPr>
      </w:pPr>
      <w:r>
        <w:rPr>
          <w:rStyle w:val="FootnoteReference"/>
        </w:rPr>
        <w:footnoteRef/>
      </w:r>
      <w:r>
        <w:t xml:space="preserve"> </w:t>
      </w:r>
      <w:r w:rsidRPr="00686F77">
        <w:rPr>
          <w:rFonts w:ascii="Times New Roman" w:hAnsi="Times New Roman" w:cs="Times New Roman"/>
          <w:sz w:val="18"/>
          <w:szCs w:val="18"/>
        </w:rPr>
        <w:t>Skat.</w:t>
      </w:r>
      <w:r>
        <w:t xml:space="preserve"> </w:t>
      </w:r>
      <w:r w:rsidRPr="00686F77">
        <w:rPr>
          <w:rFonts w:ascii="Times New Roman" w:hAnsi="Times New Roman" w:cs="Times New Roman"/>
          <w:sz w:val="18"/>
          <w:szCs w:val="18"/>
        </w:rPr>
        <w:t>MONEYVAL, OECD</w:t>
      </w:r>
      <w:r>
        <w:rPr>
          <w:rFonts w:ascii="Times New Roman" w:hAnsi="Times New Roman" w:cs="Times New Roman"/>
          <w:sz w:val="18"/>
          <w:szCs w:val="18"/>
        </w:rPr>
        <w:t>, Valsts kontroles ziņojumus.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5271424"/>
      <w:docPartObj>
        <w:docPartGallery w:val="Page Numbers (Top of Page)"/>
        <w:docPartUnique/>
      </w:docPartObj>
    </w:sdtPr>
    <w:sdtEndPr>
      <w:rPr>
        <w:noProof/>
      </w:rPr>
    </w:sdtEndPr>
    <w:sdtContent>
      <w:p w14:paraId="530EB3F9" w14:textId="0DE86F25" w:rsidR="008B029D" w:rsidRDefault="008B029D">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736A5DC" w14:textId="77777777" w:rsidR="008B029D" w:rsidRDefault="008B02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92DBD"/>
    <w:multiLevelType w:val="hybridMultilevel"/>
    <w:tmpl w:val="E200AB0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771368B"/>
    <w:multiLevelType w:val="hybridMultilevel"/>
    <w:tmpl w:val="203E4584"/>
    <w:lvl w:ilvl="0" w:tplc="296806D0">
      <w:start w:val="1"/>
      <w:numFmt w:val="decimal"/>
      <w:lvlText w:val="%1."/>
      <w:lvlJc w:val="left"/>
      <w:pPr>
        <w:ind w:left="720" w:hanging="360"/>
      </w:pPr>
      <w:rPr>
        <w:rFonts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CEA2AF8"/>
    <w:multiLevelType w:val="hybridMultilevel"/>
    <w:tmpl w:val="3996B36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FB36C27"/>
    <w:multiLevelType w:val="hybridMultilevel"/>
    <w:tmpl w:val="AD7E274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00116A1"/>
    <w:multiLevelType w:val="hybridMultilevel"/>
    <w:tmpl w:val="DDC2F17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19E7C44"/>
    <w:multiLevelType w:val="hybridMultilevel"/>
    <w:tmpl w:val="DAE66426"/>
    <w:lvl w:ilvl="0" w:tplc="4E4C3698">
      <w:start w:val="1"/>
      <w:numFmt w:val="decimal"/>
      <w:lvlText w:val="%1."/>
      <w:lvlJc w:val="left"/>
      <w:pPr>
        <w:ind w:left="732" w:hanging="372"/>
      </w:pPr>
      <w:rPr>
        <w:rFonts w:hint="default"/>
        <w:b/>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45A7EAF"/>
    <w:multiLevelType w:val="multilevel"/>
    <w:tmpl w:val="DBEC92AC"/>
    <w:lvl w:ilvl="0">
      <w:start w:val="1"/>
      <w:numFmt w:val="decimal"/>
      <w:lvlText w:val="%1."/>
      <w:lvlJc w:val="left"/>
      <w:pPr>
        <w:ind w:left="540" w:hanging="540"/>
      </w:pPr>
      <w:rPr>
        <w:rFonts w:hint="default"/>
      </w:rPr>
    </w:lvl>
    <w:lvl w:ilvl="1">
      <w:start w:val="1"/>
      <w:numFmt w:val="decimal"/>
      <w:lvlText w:val="%1.%2."/>
      <w:lvlJc w:val="left"/>
      <w:pPr>
        <w:ind w:left="934" w:hanging="540"/>
      </w:pPr>
      <w:rPr>
        <w:rFonts w:hint="default"/>
      </w:rPr>
    </w:lvl>
    <w:lvl w:ilvl="2">
      <w:start w:val="1"/>
      <w:numFmt w:val="decimal"/>
      <w:lvlText w:val="%1.%2.%3."/>
      <w:lvlJc w:val="left"/>
      <w:pPr>
        <w:ind w:left="1508" w:hanging="720"/>
      </w:pPr>
      <w:rPr>
        <w:rFonts w:hint="default"/>
      </w:rPr>
    </w:lvl>
    <w:lvl w:ilvl="3">
      <w:start w:val="1"/>
      <w:numFmt w:val="decimal"/>
      <w:lvlText w:val="%1.%2.%3.%4."/>
      <w:lvlJc w:val="left"/>
      <w:pPr>
        <w:ind w:left="1902" w:hanging="720"/>
      </w:pPr>
      <w:rPr>
        <w:rFonts w:hint="default"/>
      </w:rPr>
    </w:lvl>
    <w:lvl w:ilvl="4">
      <w:start w:val="1"/>
      <w:numFmt w:val="decimal"/>
      <w:lvlText w:val="%1.%2.%3.%4.%5."/>
      <w:lvlJc w:val="left"/>
      <w:pPr>
        <w:ind w:left="2656" w:hanging="1080"/>
      </w:pPr>
      <w:rPr>
        <w:rFonts w:hint="default"/>
      </w:rPr>
    </w:lvl>
    <w:lvl w:ilvl="5">
      <w:start w:val="1"/>
      <w:numFmt w:val="decimal"/>
      <w:lvlText w:val="%1.%2.%3.%4.%5.%6."/>
      <w:lvlJc w:val="left"/>
      <w:pPr>
        <w:ind w:left="3050" w:hanging="1080"/>
      </w:pPr>
      <w:rPr>
        <w:rFonts w:hint="default"/>
      </w:rPr>
    </w:lvl>
    <w:lvl w:ilvl="6">
      <w:start w:val="1"/>
      <w:numFmt w:val="decimal"/>
      <w:lvlText w:val="%1.%2.%3.%4.%5.%6.%7."/>
      <w:lvlJc w:val="left"/>
      <w:pPr>
        <w:ind w:left="3804" w:hanging="1440"/>
      </w:pPr>
      <w:rPr>
        <w:rFonts w:hint="default"/>
      </w:rPr>
    </w:lvl>
    <w:lvl w:ilvl="7">
      <w:start w:val="1"/>
      <w:numFmt w:val="decimal"/>
      <w:lvlText w:val="%1.%2.%3.%4.%5.%6.%7.%8."/>
      <w:lvlJc w:val="left"/>
      <w:pPr>
        <w:ind w:left="4198" w:hanging="1440"/>
      </w:pPr>
      <w:rPr>
        <w:rFonts w:hint="default"/>
      </w:rPr>
    </w:lvl>
    <w:lvl w:ilvl="8">
      <w:start w:val="1"/>
      <w:numFmt w:val="decimal"/>
      <w:lvlText w:val="%1.%2.%3.%4.%5.%6.%7.%8.%9."/>
      <w:lvlJc w:val="left"/>
      <w:pPr>
        <w:ind w:left="4952" w:hanging="1800"/>
      </w:pPr>
      <w:rPr>
        <w:rFonts w:hint="default"/>
      </w:rPr>
    </w:lvl>
  </w:abstractNum>
  <w:abstractNum w:abstractNumId="7" w15:restartNumberingAfterBreak="0">
    <w:nsid w:val="154814B5"/>
    <w:multiLevelType w:val="hybridMultilevel"/>
    <w:tmpl w:val="6504D90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15865E74"/>
    <w:multiLevelType w:val="hybridMultilevel"/>
    <w:tmpl w:val="89B8B8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16392FFA"/>
    <w:multiLevelType w:val="hybridMultilevel"/>
    <w:tmpl w:val="B136E73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17CA5292"/>
    <w:multiLevelType w:val="hybridMultilevel"/>
    <w:tmpl w:val="D784805C"/>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196564E6"/>
    <w:multiLevelType w:val="hybridMultilevel"/>
    <w:tmpl w:val="37087B7E"/>
    <w:lvl w:ilvl="0" w:tplc="0426000B">
      <w:start w:val="1"/>
      <w:numFmt w:val="bullet"/>
      <w:lvlText w:val=""/>
      <w:lvlJc w:val="left"/>
      <w:pPr>
        <w:ind w:left="720" w:hanging="360"/>
      </w:pPr>
      <w:rPr>
        <w:rFonts w:ascii="Wingdings" w:hAnsi="Wingding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1D840D7B"/>
    <w:multiLevelType w:val="hybridMultilevel"/>
    <w:tmpl w:val="54FCC1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1FBE6460"/>
    <w:multiLevelType w:val="hybridMultilevel"/>
    <w:tmpl w:val="2A14A20E"/>
    <w:lvl w:ilvl="0" w:tplc="6A90807C">
      <w:start w:val="1"/>
      <w:numFmt w:val="decimal"/>
      <w:lvlText w:val="%1."/>
      <w:lvlJc w:val="left"/>
      <w:pPr>
        <w:ind w:left="720" w:hanging="360"/>
      </w:pPr>
      <w:rPr>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259D396D"/>
    <w:multiLevelType w:val="hybridMultilevel"/>
    <w:tmpl w:val="5936F8B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2A774D36"/>
    <w:multiLevelType w:val="hybridMultilevel"/>
    <w:tmpl w:val="442E142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2B2B437B"/>
    <w:multiLevelType w:val="hybridMultilevel"/>
    <w:tmpl w:val="51D6026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2B4351C9"/>
    <w:multiLevelType w:val="hybridMultilevel"/>
    <w:tmpl w:val="3E769DF4"/>
    <w:lvl w:ilvl="0" w:tplc="0426000F">
      <w:start w:val="1"/>
      <w:numFmt w:val="decimal"/>
      <w:lvlText w:val="%1."/>
      <w:lvlJc w:val="left"/>
      <w:pPr>
        <w:ind w:left="720" w:hanging="360"/>
      </w:pPr>
      <w:rPr>
        <w:rFonts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2BE813D6"/>
    <w:multiLevelType w:val="hybridMultilevel"/>
    <w:tmpl w:val="04048330"/>
    <w:lvl w:ilvl="0" w:tplc="68B4221C">
      <w:start w:val="1"/>
      <w:numFmt w:val="decimal"/>
      <w:lvlText w:val="%1)"/>
      <w:lvlJc w:val="left"/>
      <w:pPr>
        <w:ind w:left="1069" w:hanging="36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19" w15:restartNumberingAfterBreak="0">
    <w:nsid w:val="2F910833"/>
    <w:multiLevelType w:val="hybridMultilevel"/>
    <w:tmpl w:val="DA9E763C"/>
    <w:lvl w:ilvl="0" w:tplc="0426000F">
      <w:start w:val="1"/>
      <w:numFmt w:val="decimal"/>
      <w:lvlText w:val="%1."/>
      <w:lvlJc w:val="left"/>
      <w:pPr>
        <w:ind w:left="720" w:hanging="360"/>
      </w:pPr>
      <w:rPr>
        <w:rFonts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2FD41619"/>
    <w:multiLevelType w:val="hybridMultilevel"/>
    <w:tmpl w:val="C01A5A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28E2931"/>
    <w:multiLevelType w:val="hybridMultilevel"/>
    <w:tmpl w:val="C5107A6A"/>
    <w:lvl w:ilvl="0" w:tplc="0426000F">
      <w:start w:val="1"/>
      <w:numFmt w:val="decimal"/>
      <w:lvlText w:val="%1."/>
      <w:lvlJc w:val="left"/>
      <w:pPr>
        <w:ind w:left="720" w:hanging="360"/>
      </w:pPr>
      <w:rPr>
        <w:rFonts w:eastAsia="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32B5034E"/>
    <w:multiLevelType w:val="hybridMultilevel"/>
    <w:tmpl w:val="F0BE3A12"/>
    <w:lvl w:ilvl="0" w:tplc="0C4C27DC">
      <w:start w:val="6"/>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33FD31E3"/>
    <w:multiLevelType w:val="hybridMultilevel"/>
    <w:tmpl w:val="D96A7A38"/>
    <w:lvl w:ilvl="0" w:tplc="FED852B0">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34636C65"/>
    <w:multiLevelType w:val="hybridMultilevel"/>
    <w:tmpl w:val="C4CA0212"/>
    <w:lvl w:ilvl="0" w:tplc="F97CC45E">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35856F8F"/>
    <w:multiLevelType w:val="hybridMultilevel"/>
    <w:tmpl w:val="09BCD92C"/>
    <w:lvl w:ilvl="0" w:tplc="56DED5F0">
      <w:start w:val="1"/>
      <w:numFmt w:val="decimal"/>
      <w:lvlText w:val="%1."/>
      <w:lvlJc w:val="left"/>
      <w:pPr>
        <w:ind w:left="720" w:hanging="360"/>
      </w:pPr>
      <w:rPr>
        <w:rFonts w:hint="default"/>
        <w:b/>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372A7C66"/>
    <w:multiLevelType w:val="hybridMultilevel"/>
    <w:tmpl w:val="253A6BE6"/>
    <w:lvl w:ilvl="0" w:tplc="19A40FD8">
      <w:start w:val="36"/>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7" w15:restartNumberingAfterBreak="0">
    <w:nsid w:val="38AE28EE"/>
    <w:multiLevelType w:val="hybridMultilevel"/>
    <w:tmpl w:val="9CD2A900"/>
    <w:lvl w:ilvl="0" w:tplc="63120B52">
      <w:numFmt w:val="bullet"/>
      <w:lvlText w:val="-"/>
      <w:lvlJc w:val="left"/>
      <w:pPr>
        <w:ind w:left="720" w:hanging="360"/>
      </w:pPr>
      <w:rPr>
        <w:rFonts w:ascii="Cambria" w:eastAsiaTheme="minorHAns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91804F3"/>
    <w:multiLevelType w:val="hybridMultilevel"/>
    <w:tmpl w:val="A1DABE1C"/>
    <w:lvl w:ilvl="0" w:tplc="FED852B0">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3A63344D"/>
    <w:multiLevelType w:val="hybridMultilevel"/>
    <w:tmpl w:val="FEBE8910"/>
    <w:lvl w:ilvl="0" w:tplc="46D0F288">
      <w:start w:val="36"/>
      <w:numFmt w:val="decimal"/>
      <w:lvlText w:val="%1"/>
      <w:lvlJc w:val="left"/>
      <w:pPr>
        <w:ind w:left="388" w:hanging="360"/>
      </w:pPr>
      <w:rPr>
        <w:rFonts w:hint="default"/>
      </w:rPr>
    </w:lvl>
    <w:lvl w:ilvl="1" w:tplc="04260019" w:tentative="1">
      <w:start w:val="1"/>
      <w:numFmt w:val="lowerLetter"/>
      <w:lvlText w:val="%2."/>
      <w:lvlJc w:val="left"/>
      <w:pPr>
        <w:ind w:left="1108" w:hanging="360"/>
      </w:pPr>
    </w:lvl>
    <w:lvl w:ilvl="2" w:tplc="0426001B" w:tentative="1">
      <w:start w:val="1"/>
      <w:numFmt w:val="lowerRoman"/>
      <w:lvlText w:val="%3."/>
      <w:lvlJc w:val="right"/>
      <w:pPr>
        <w:ind w:left="1828" w:hanging="180"/>
      </w:pPr>
    </w:lvl>
    <w:lvl w:ilvl="3" w:tplc="0426000F" w:tentative="1">
      <w:start w:val="1"/>
      <w:numFmt w:val="decimal"/>
      <w:lvlText w:val="%4."/>
      <w:lvlJc w:val="left"/>
      <w:pPr>
        <w:ind w:left="2548" w:hanging="360"/>
      </w:pPr>
    </w:lvl>
    <w:lvl w:ilvl="4" w:tplc="04260019" w:tentative="1">
      <w:start w:val="1"/>
      <w:numFmt w:val="lowerLetter"/>
      <w:lvlText w:val="%5."/>
      <w:lvlJc w:val="left"/>
      <w:pPr>
        <w:ind w:left="3268" w:hanging="360"/>
      </w:pPr>
    </w:lvl>
    <w:lvl w:ilvl="5" w:tplc="0426001B" w:tentative="1">
      <w:start w:val="1"/>
      <w:numFmt w:val="lowerRoman"/>
      <w:lvlText w:val="%6."/>
      <w:lvlJc w:val="right"/>
      <w:pPr>
        <w:ind w:left="3988" w:hanging="180"/>
      </w:pPr>
    </w:lvl>
    <w:lvl w:ilvl="6" w:tplc="0426000F" w:tentative="1">
      <w:start w:val="1"/>
      <w:numFmt w:val="decimal"/>
      <w:lvlText w:val="%7."/>
      <w:lvlJc w:val="left"/>
      <w:pPr>
        <w:ind w:left="4708" w:hanging="360"/>
      </w:pPr>
    </w:lvl>
    <w:lvl w:ilvl="7" w:tplc="04260019" w:tentative="1">
      <w:start w:val="1"/>
      <w:numFmt w:val="lowerLetter"/>
      <w:lvlText w:val="%8."/>
      <w:lvlJc w:val="left"/>
      <w:pPr>
        <w:ind w:left="5428" w:hanging="360"/>
      </w:pPr>
    </w:lvl>
    <w:lvl w:ilvl="8" w:tplc="0426001B" w:tentative="1">
      <w:start w:val="1"/>
      <w:numFmt w:val="lowerRoman"/>
      <w:lvlText w:val="%9."/>
      <w:lvlJc w:val="right"/>
      <w:pPr>
        <w:ind w:left="6148" w:hanging="180"/>
      </w:pPr>
    </w:lvl>
  </w:abstractNum>
  <w:abstractNum w:abstractNumId="30" w15:restartNumberingAfterBreak="0">
    <w:nsid w:val="3B5A2B53"/>
    <w:multiLevelType w:val="hybridMultilevel"/>
    <w:tmpl w:val="850484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45965DFD"/>
    <w:multiLevelType w:val="hybridMultilevel"/>
    <w:tmpl w:val="520C1CBE"/>
    <w:lvl w:ilvl="0" w:tplc="241EF7A0">
      <w:start w:val="1"/>
      <w:numFmt w:val="decimal"/>
      <w:lvlText w:val="%1."/>
      <w:lvlJc w:val="left"/>
      <w:pPr>
        <w:ind w:left="720" w:hanging="360"/>
      </w:pPr>
      <w:rPr>
        <w:rFonts w:ascii="Times New Roman" w:eastAsia="Calibri" w:hAnsi="Times New Roman" w:cs="Arial"/>
        <w:color w:val="000000" w:themeColor="text1"/>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45C967DF"/>
    <w:multiLevelType w:val="hybridMultilevel"/>
    <w:tmpl w:val="284440F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46585ED6"/>
    <w:multiLevelType w:val="hybridMultilevel"/>
    <w:tmpl w:val="FA9CD8D8"/>
    <w:lvl w:ilvl="0" w:tplc="F2CC09FA">
      <w:start w:val="1"/>
      <w:numFmt w:val="decimal"/>
      <w:lvlText w:val="%1."/>
      <w:lvlJc w:val="left"/>
      <w:pPr>
        <w:ind w:left="720" w:hanging="360"/>
      </w:pPr>
      <w:rPr>
        <w:rFonts w:hint="default"/>
        <w:b/>
        <w:i w:val="0"/>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47B35B96"/>
    <w:multiLevelType w:val="hybridMultilevel"/>
    <w:tmpl w:val="4CAEFEF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4BB23709"/>
    <w:multiLevelType w:val="hybridMultilevel"/>
    <w:tmpl w:val="574ECB40"/>
    <w:lvl w:ilvl="0" w:tplc="5510DC56">
      <w:start w:val="36"/>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4DA1655D"/>
    <w:multiLevelType w:val="hybridMultilevel"/>
    <w:tmpl w:val="EED8709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50284909"/>
    <w:multiLevelType w:val="hybridMultilevel"/>
    <w:tmpl w:val="CAE89D2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8" w15:restartNumberingAfterBreak="0">
    <w:nsid w:val="524A20BC"/>
    <w:multiLevelType w:val="hybridMultilevel"/>
    <w:tmpl w:val="6F40596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53F17C97"/>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47A1FD8"/>
    <w:multiLevelType w:val="hybridMultilevel"/>
    <w:tmpl w:val="67FA55F2"/>
    <w:lvl w:ilvl="0" w:tplc="4398A730">
      <w:start w:val="3"/>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55475ADD"/>
    <w:multiLevelType w:val="hybridMultilevel"/>
    <w:tmpl w:val="088C4D4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 w15:restartNumberingAfterBreak="0">
    <w:nsid w:val="557E1C2A"/>
    <w:multiLevelType w:val="hybridMultilevel"/>
    <w:tmpl w:val="F9501CCE"/>
    <w:lvl w:ilvl="0" w:tplc="5066CB5A">
      <w:start w:val="36"/>
      <w:numFmt w:val="decimal"/>
      <w:lvlText w:val="%1"/>
      <w:lvlJc w:val="left"/>
      <w:pPr>
        <w:ind w:left="1440" w:hanging="360"/>
      </w:pPr>
      <w:rPr>
        <w:rFonts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43" w15:restartNumberingAfterBreak="0">
    <w:nsid w:val="559C77CE"/>
    <w:multiLevelType w:val="hybridMultilevel"/>
    <w:tmpl w:val="A97A5B4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15:restartNumberingAfterBreak="0">
    <w:nsid w:val="58A737D3"/>
    <w:multiLevelType w:val="hybridMultilevel"/>
    <w:tmpl w:val="D13A1DE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15:restartNumberingAfterBreak="0">
    <w:nsid w:val="5BF20F63"/>
    <w:multiLevelType w:val="hybridMultilevel"/>
    <w:tmpl w:val="4B848818"/>
    <w:lvl w:ilvl="0" w:tplc="82464BEC">
      <w:start w:val="1"/>
      <w:numFmt w:val="decimal"/>
      <w:lvlText w:val="%1."/>
      <w:lvlJc w:val="left"/>
      <w:pPr>
        <w:ind w:left="720" w:hanging="360"/>
      </w:pPr>
      <w:rPr>
        <w:rFonts w:hint="default"/>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15:restartNumberingAfterBreak="0">
    <w:nsid w:val="5C711B4B"/>
    <w:multiLevelType w:val="hybridMultilevel"/>
    <w:tmpl w:val="77D6C20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624E0479"/>
    <w:multiLevelType w:val="multilevel"/>
    <w:tmpl w:val="AEEE8CD2"/>
    <w:lvl w:ilvl="0">
      <w:start w:val="1"/>
      <w:numFmt w:val="decimal"/>
      <w:lvlText w:val="%1."/>
      <w:lvlJc w:val="left"/>
      <w:pPr>
        <w:ind w:left="720" w:hanging="360"/>
      </w:p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8" w15:restartNumberingAfterBreak="0">
    <w:nsid w:val="65246170"/>
    <w:multiLevelType w:val="hybridMultilevel"/>
    <w:tmpl w:val="6DC80DD0"/>
    <w:lvl w:ilvl="0" w:tplc="145A326A">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15:restartNumberingAfterBreak="0">
    <w:nsid w:val="67C53096"/>
    <w:multiLevelType w:val="hybridMultilevel"/>
    <w:tmpl w:val="D7A2ED7E"/>
    <w:lvl w:ilvl="0" w:tplc="6D360DCE">
      <w:start w:val="1"/>
      <w:numFmt w:val="decimal"/>
      <w:lvlText w:val="%1."/>
      <w:lvlJc w:val="left"/>
      <w:pPr>
        <w:ind w:left="720" w:hanging="360"/>
      </w:pPr>
      <w:rPr>
        <w:rFonts w:hint="default"/>
        <w:b/>
        <w:i w:val="0"/>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 w15:restartNumberingAfterBreak="0">
    <w:nsid w:val="67F74039"/>
    <w:multiLevelType w:val="hybridMultilevel"/>
    <w:tmpl w:val="7124F068"/>
    <w:lvl w:ilvl="0" w:tplc="8D5C8D92">
      <w:start w:val="7"/>
      <w:numFmt w:val="bullet"/>
      <w:lvlText w:val="-"/>
      <w:lvlJc w:val="left"/>
      <w:pPr>
        <w:ind w:left="720" w:hanging="360"/>
      </w:pPr>
      <w:rPr>
        <w:rFonts w:ascii="Times New Roman" w:eastAsiaTheme="minorHAnsi" w:hAnsi="Times New Roman" w:cs="Times New Roman" w:hint="default"/>
      </w:rPr>
    </w:lvl>
    <w:lvl w:ilvl="1" w:tplc="A01CCBB0" w:tentative="1">
      <w:start w:val="1"/>
      <w:numFmt w:val="bullet"/>
      <w:lvlText w:val="o"/>
      <w:lvlJc w:val="left"/>
      <w:pPr>
        <w:ind w:left="1440" w:hanging="360"/>
      </w:pPr>
      <w:rPr>
        <w:rFonts w:ascii="Courier New" w:hAnsi="Courier New" w:cs="Courier New" w:hint="default"/>
      </w:rPr>
    </w:lvl>
    <w:lvl w:ilvl="2" w:tplc="D62A9352" w:tentative="1">
      <w:start w:val="1"/>
      <w:numFmt w:val="bullet"/>
      <w:lvlText w:val=""/>
      <w:lvlJc w:val="left"/>
      <w:pPr>
        <w:ind w:left="2160" w:hanging="360"/>
      </w:pPr>
      <w:rPr>
        <w:rFonts w:ascii="Wingdings" w:hAnsi="Wingdings" w:hint="default"/>
      </w:rPr>
    </w:lvl>
    <w:lvl w:ilvl="3" w:tplc="3B28FF5E" w:tentative="1">
      <w:start w:val="1"/>
      <w:numFmt w:val="bullet"/>
      <w:lvlText w:val=""/>
      <w:lvlJc w:val="left"/>
      <w:pPr>
        <w:ind w:left="2880" w:hanging="360"/>
      </w:pPr>
      <w:rPr>
        <w:rFonts w:ascii="Symbol" w:hAnsi="Symbol" w:hint="default"/>
      </w:rPr>
    </w:lvl>
    <w:lvl w:ilvl="4" w:tplc="4C5CD58A" w:tentative="1">
      <w:start w:val="1"/>
      <w:numFmt w:val="bullet"/>
      <w:lvlText w:val="o"/>
      <w:lvlJc w:val="left"/>
      <w:pPr>
        <w:ind w:left="3600" w:hanging="360"/>
      </w:pPr>
      <w:rPr>
        <w:rFonts w:ascii="Courier New" w:hAnsi="Courier New" w:cs="Courier New" w:hint="default"/>
      </w:rPr>
    </w:lvl>
    <w:lvl w:ilvl="5" w:tplc="89F4F170" w:tentative="1">
      <w:start w:val="1"/>
      <w:numFmt w:val="bullet"/>
      <w:lvlText w:val=""/>
      <w:lvlJc w:val="left"/>
      <w:pPr>
        <w:ind w:left="4320" w:hanging="360"/>
      </w:pPr>
      <w:rPr>
        <w:rFonts w:ascii="Wingdings" w:hAnsi="Wingdings" w:hint="default"/>
      </w:rPr>
    </w:lvl>
    <w:lvl w:ilvl="6" w:tplc="0638F4C2" w:tentative="1">
      <w:start w:val="1"/>
      <w:numFmt w:val="bullet"/>
      <w:lvlText w:val=""/>
      <w:lvlJc w:val="left"/>
      <w:pPr>
        <w:ind w:left="5040" w:hanging="360"/>
      </w:pPr>
      <w:rPr>
        <w:rFonts w:ascii="Symbol" w:hAnsi="Symbol" w:hint="default"/>
      </w:rPr>
    </w:lvl>
    <w:lvl w:ilvl="7" w:tplc="46409B42" w:tentative="1">
      <w:start w:val="1"/>
      <w:numFmt w:val="bullet"/>
      <w:lvlText w:val="o"/>
      <w:lvlJc w:val="left"/>
      <w:pPr>
        <w:ind w:left="5760" w:hanging="360"/>
      </w:pPr>
      <w:rPr>
        <w:rFonts w:ascii="Courier New" w:hAnsi="Courier New" w:cs="Courier New" w:hint="default"/>
      </w:rPr>
    </w:lvl>
    <w:lvl w:ilvl="8" w:tplc="9E7EBE86" w:tentative="1">
      <w:start w:val="1"/>
      <w:numFmt w:val="bullet"/>
      <w:lvlText w:val=""/>
      <w:lvlJc w:val="left"/>
      <w:pPr>
        <w:ind w:left="6480" w:hanging="360"/>
      </w:pPr>
      <w:rPr>
        <w:rFonts w:ascii="Wingdings" w:hAnsi="Wingdings" w:hint="default"/>
      </w:rPr>
    </w:lvl>
  </w:abstractNum>
  <w:abstractNum w:abstractNumId="51" w15:restartNumberingAfterBreak="0">
    <w:nsid w:val="6850155D"/>
    <w:multiLevelType w:val="hybridMultilevel"/>
    <w:tmpl w:val="38D6C2A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 w15:restartNumberingAfterBreak="0">
    <w:nsid w:val="6CB34AFF"/>
    <w:multiLevelType w:val="hybridMultilevel"/>
    <w:tmpl w:val="AE6878FE"/>
    <w:lvl w:ilvl="0" w:tplc="14D0C208">
      <w:start w:val="1"/>
      <w:numFmt w:val="bullet"/>
      <w:lvlText w:val=""/>
      <w:lvlJc w:val="left"/>
      <w:pPr>
        <w:ind w:left="720" w:hanging="360"/>
      </w:pPr>
      <w:rPr>
        <w:rFonts w:ascii="Wingdings" w:hAnsi="Wingdings" w:hint="default"/>
      </w:rPr>
    </w:lvl>
    <w:lvl w:ilvl="1" w:tplc="3C54F008" w:tentative="1">
      <w:start w:val="1"/>
      <w:numFmt w:val="bullet"/>
      <w:lvlText w:val="o"/>
      <w:lvlJc w:val="left"/>
      <w:pPr>
        <w:ind w:left="1440" w:hanging="360"/>
      </w:pPr>
      <w:rPr>
        <w:rFonts w:ascii="Courier New" w:hAnsi="Courier New" w:cs="Courier New" w:hint="default"/>
      </w:rPr>
    </w:lvl>
    <w:lvl w:ilvl="2" w:tplc="ECC6E648" w:tentative="1">
      <w:start w:val="1"/>
      <w:numFmt w:val="bullet"/>
      <w:lvlText w:val=""/>
      <w:lvlJc w:val="left"/>
      <w:pPr>
        <w:ind w:left="2160" w:hanging="360"/>
      </w:pPr>
      <w:rPr>
        <w:rFonts w:ascii="Wingdings" w:hAnsi="Wingdings" w:hint="default"/>
      </w:rPr>
    </w:lvl>
    <w:lvl w:ilvl="3" w:tplc="F70C1D72" w:tentative="1">
      <w:start w:val="1"/>
      <w:numFmt w:val="bullet"/>
      <w:lvlText w:val=""/>
      <w:lvlJc w:val="left"/>
      <w:pPr>
        <w:ind w:left="2880" w:hanging="360"/>
      </w:pPr>
      <w:rPr>
        <w:rFonts w:ascii="Symbol" w:hAnsi="Symbol" w:hint="default"/>
      </w:rPr>
    </w:lvl>
    <w:lvl w:ilvl="4" w:tplc="E23838E2" w:tentative="1">
      <w:start w:val="1"/>
      <w:numFmt w:val="bullet"/>
      <w:lvlText w:val="o"/>
      <w:lvlJc w:val="left"/>
      <w:pPr>
        <w:ind w:left="3600" w:hanging="360"/>
      </w:pPr>
      <w:rPr>
        <w:rFonts w:ascii="Courier New" w:hAnsi="Courier New" w:cs="Courier New" w:hint="default"/>
      </w:rPr>
    </w:lvl>
    <w:lvl w:ilvl="5" w:tplc="A4CCC70C" w:tentative="1">
      <w:start w:val="1"/>
      <w:numFmt w:val="bullet"/>
      <w:lvlText w:val=""/>
      <w:lvlJc w:val="left"/>
      <w:pPr>
        <w:ind w:left="4320" w:hanging="360"/>
      </w:pPr>
      <w:rPr>
        <w:rFonts w:ascii="Wingdings" w:hAnsi="Wingdings" w:hint="default"/>
      </w:rPr>
    </w:lvl>
    <w:lvl w:ilvl="6" w:tplc="A1CCAD22" w:tentative="1">
      <w:start w:val="1"/>
      <w:numFmt w:val="bullet"/>
      <w:lvlText w:val=""/>
      <w:lvlJc w:val="left"/>
      <w:pPr>
        <w:ind w:left="5040" w:hanging="360"/>
      </w:pPr>
      <w:rPr>
        <w:rFonts w:ascii="Symbol" w:hAnsi="Symbol" w:hint="default"/>
      </w:rPr>
    </w:lvl>
    <w:lvl w:ilvl="7" w:tplc="6CEC2E9C" w:tentative="1">
      <w:start w:val="1"/>
      <w:numFmt w:val="bullet"/>
      <w:lvlText w:val="o"/>
      <w:lvlJc w:val="left"/>
      <w:pPr>
        <w:ind w:left="5760" w:hanging="360"/>
      </w:pPr>
      <w:rPr>
        <w:rFonts w:ascii="Courier New" w:hAnsi="Courier New" w:cs="Courier New" w:hint="default"/>
      </w:rPr>
    </w:lvl>
    <w:lvl w:ilvl="8" w:tplc="6DCCA9C2" w:tentative="1">
      <w:start w:val="1"/>
      <w:numFmt w:val="bullet"/>
      <w:lvlText w:val=""/>
      <w:lvlJc w:val="left"/>
      <w:pPr>
        <w:ind w:left="6480" w:hanging="360"/>
      </w:pPr>
      <w:rPr>
        <w:rFonts w:ascii="Wingdings" w:hAnsi="Wingdings" w:hint="default"/>
      </w:rPr>
    </w:lvl>
  </w:abstractNum>
  <w:abstractNum w:abstractNumId="53" w15:restartNumberingAfterBreak="0">
    <w:nsid w:val="6E4F22A8"/>
    <w:multiLevelType w:val="hybridMultilevel"/>
    <w:tmpl w:val="9730A15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 w15:restartNumberingAfterBreak="0">
    <w:nsid w:val="70D316D7"/>
    <w:multiLevelType w:val="hybridMultilevel"/>
    <w:tmpl w:val="E23A819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5" w15:restartNumberingAfterBreak="0">
    <w:nsid w:val="712C6C89"/>
    <w:multiLevelType w:val="hybridMultilevel"/>
    <w:tmpl w:val="E2F8E61E"/>
    <w:lvl w:ilvl="0" w:tplc="6D6ADB46">
      <w:start w:val="1"/>
      <w:numFmt w:val="decimal"/>
      <w:lvlText w:val="%1)"/>
      <w:lvlJc w:val="left"/>
      <w:pPr>
        <w:ind w:left="1080" w:hanging="360"/>
      </w:pPr>
      <w:rPr>
        <w:rFonts w:hint="default"/>
      </w:rPr>
    </w:lvl>
    <w:lvl w:ilvl="1" w:tplc="9D58DCE2">
      <w:start w:val="1"/>
      <w:numFmt w:val="decimal"/>
      <w:lvlText w:val="%2."/>
      <w:lvlJc w:val="left"/>
      <w:pPr>
        <w:ind w:left="1800" w:hanging="360"/>
      </w:pPr>
      <w:rPr>
        <w:rFonts w:hint="default"/>
      </w:r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56" w15:restartNumberingAfterBreak="0">
    <w:nsid w:val="72422FD5"/>
    <w:multiLevelType w:val="hybridMultilevel"/>
    <w:tmpl w:val="DD3E25A0"/>
    <w:lvl w:ilvl="0" w:tplc="0426000F">
      <w:start w:val="8"/>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7" w15:restartNumberingAfterBreak="0">
    <w:nsid w:val="74EA078E"/>
    <w:multiLevelType w:val="hybridMultilevel"/>
    <w:tmpl w:val="4662ACB6"/>
    <w:lvl w:ilvl="0" w:tplc="73D64D8C">
      <w:start w:val="1"/>
      <w:numFmt w:val="decimal"/>
      <w:lvlText w:val="%1."/>
      <w:lvlJc w:val="left"/>
      <w:pPr>
        <w:ind w:left="764" w:hanging="360"/>
      </w:pPr>
      <w:rPr>
        <w:rFonts w:hint="default"/>
        <w:i w:val="0"/>
        <w:iCs w:val="0"/>
      </w:rPr>
    </w:lvl>
    <w:lvl w:ilvl="1" w:tplc="04260019" w:tentative="1">
      <w:start w:val="1"/>
      <w:numFmt w:val="lowerLetter"/>
      <w:lvlText w:val="%2."/>
      <w:lvlJc w:val="left"/>
      <w:pPr>
        <w:ind w:left="1484" w:hanging="360"/>
      </w:pPr>
    </w:lvl>
    <w:lvl w:ilvl="2" w:tplc="0426001B" w:tentative="1">
      <w:start w:val="1"/>
      <w:numFmt w:val="lowerRoman"/>
      <w:lvlText w:val="%3."/>
      <w:lvlJc w:val="right"/>
      <w:pPr>
        <w:ind w:left="2204" w:hanging="180"/>
      </w:pPr>
    </w:lvl>
    <w:lvl w:ilvl="3" w:tplc="0426000F" w:tentative="1">
      <w:start w:val="1"/>
      <w:numFmt w:val="decimal"/>
      <w:lvlText w:val="%4."/>
      <w:lvlJc w:val="left"/>
      <w:pPr>
        <w:ind w:left="2924" w:hanging="360"/>
      </w:pPr>
    </w:lvl>
    <w:lvl w:ilvl="4" w:tplc="04260019" w:tentative="1">
      <w:start w:val="1"/>
      <w:numFmt w:val="lowerLetter"/>
      <w:lvlText w:val="%5."/>
      <w:lvlJc w:val="left"/>
      <w:pPr>
        <w:ind w:left="3644" w:hanging="360"/>
      </w:pPr>
    </w:lvl>
    <w:lvl w:ilvl="5" w:tplc="0426001B" w:tentative="1">
      <w:start w:val="1"/>
      <w:numFmt w:val="lowerRoman"/>
      <w:lvlText w:val="%6."/>
      <w:lvlJc w:val="right"/>
      <w:pPr>
        <w:ind w:left="4364" w:hanging="180"/>
      </w:pPr>
    </w:lvl>
    <w:lvl w:ilvl="6" w:tplc="0426000F" w:tentative="1">
      <w:start w:val="1"/>
      <w:numFmt w:val="decimal"/>
      <w:lvlText w:val="%7."/>
      <w:lvlJc w:val="left"/>
      <w:pPr>
        <w:ind w:left="5084" w:hanging="360"/>
      </w:pPr>
    </w:lvl>
    <w:lvl w:ilvl="7" w:tplc="04260019" w:tentative="1">
      <w:start w:val="1"/>
      <w:numFmt w:val="lowerLetter"/>
      <w:lvlText w:val="%8."/>
      <w:lvlJc w:val="left"/>
      <w:pPr>
        <w:ind w:left="5804" w:hanging="360"/>
      </w:pPr>
    </w:lvl>
    <w:lvl w:ilvl="8" w:tplc="0426001B" w:tentative="1">
      <w:start w:val="1"/>
      <w:numFmt w:val="lowerRoman"/>
      <w:lvlText w:val="%9."/>
      <w:lvlJc w:val="right"/>
      <w:pPr>
        <w:ind w:left="6524" w:hanging="180"/>
      </w:pPr>
    </w:lvl>
  </w:abstractNum>
  <w:abstractNum w:abstractNumId="58" w15:restartNumberingAfterBreak="0">
    <w:nsid w:val="75B908C1"/>
    <w:multiLevelType w:val="hybridMultilevel"/>
    <w:tmpl w:val="5E6CE18A"/>
    <w:lvl w:ilvl="0" w:tplc="141E3C14">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9" w15:restartNumberingAfterBreak="0">
    <w:nsid w:val="75C603FE"/>
    <w:multiLevelType w:val="hybridMultilevel"/>
    <w:tmpl w:val="536A5FFA"/>
    <w:lvl w:ilvl="0" w:tplc="EB3CF0E0">
      <w:numFmt w:val="bullet"/>
      <w:lvlText w:val="-"/>
      <w:lvlJc w:val="left"/>
      <w:pPr>
        <w:ind w:left="720" w:hanging="360"/>
      </w:pPr>
      <w:rPr>
        <w:rFonts w:ascii="Cambria" w:eastAsiaTheme="minorHAns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66B316A"/>
    <w:multiLevelType w:val="hybridMultilevel"/>
    <w:tmpl w:val="DB48D998"/>
    <w:lvl w:ilvl="0" w:tplc="1CFEA916">
      <w:start w:val="1"/>
      <w:numFmt w:val="decimal"/>
      <w:lvlText w:val="%1."/>
      <w:lvlJc w:val="left"/>
      <w:pPr>
        <w:ind w:left="720" w:hanging="360"/>
      </w:pPr>
      <w:rPr>
        <w:rFonts w:hint="default"/>
        <w:b w:val="0"/>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1" w15:restartNumberingAfterBreak="0">
    <w:nsid w:val="7ACC42CD"/>
    <w:multiLevelType w:val="hybridMultilevel"/>
    <w:tmpl w:val="621E8F34"/>
    <w:lvl w:ilvl="0" w:tplc="AA60A50C">
      <w:numFmt w:val="bullet"/>
      <w:lvlText w:val="-"/>
      <w:lvlJc w:val="left"/>
      <w:pPr>
        <w:ind w:left="720" w:hanging="360"/>
      </w:pPr>
      <w:rPr>
        <w:rFonts w:ascii="Cambria" w:eastAsiaTheme="minorHAnsi"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C5D427B"/>
    <w:multiLevelType w:val="hybridMultilevel"/>
    <w:tmpl w:val="FAE258F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3" w15:restartNumberingAfterBreak="0">
    <w:nsid w:val="7C6047AC"/>
    <w:multiLevelType w:val="hybridMultilevel"/>
    <w:tmpl w:val="64126086"/>
    <w:lvl w:ilvl="0" w:tplc="730C0BE0">
      <w:start w:val="1"/>
      <w:numFmt w:val="decimal"/>
      <w:lvlText w:val="%1."/>
      <w:lvlJc w:val="left"/>
      <w:pPr>
        <w:ind w:left="720" w:hanging="360"/>
      </w:pPr>
      <w:rPr>
        <w:rFonts w:hint="default"/>
        <w:i w:val="0"/>
        <w:i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4" w15:restartNumberingAfterBreak="0">
    <w:nsid w:val="7CED7350"/>
    <w:multiLevelType w:val="hybridMultilevel"/>
    <w:tmpl w:val="390E55B4"/>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7FBC1CF1"/>
    <w:multiLevelType w:val="hybridMultilevel"/>
    <w:tmpl w:val="695A112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52"/>
  </w:num>
  <w:num w:numId="2">
    <w:abstractNumId w:val="49"/>
  </w:num>
  <w:num w:numId="3">
    <w:abstractNumId w:val="5"/>
  </w:num>
  <w:num w:numId="4">
    <w:abstractNumId w:val="33"/>
  </w:num>
  <w:num w:numId="5">
    <w:abstractNumId w:val="15"/>
  </w:num>
  <w:num w:numId="6">
    <w:abstractNumId w:val="41"/>
  </w:num>
  <w:num w:numId="7">
    <w:abstractNumId w:val="31"/>
  </w:num>
  <w:num w:numId="8">
    <w:abstractNumId w:val="36"/>
  </w:num>
  <w:num w:numId="9">
    <w:abstractNumId w:val="53"/>
  </w:num>
  <w:num w:numId="10">
    <w:abstractNumId w:val="13"/>
  </w:num>
  <w:num w:numId="11">
    <w:abstractNumId w:val="47"/>
  </w:num>
  <w:num w:numId="12">
    <w:abstractNumId w:val="46"/>
  </w:num>
  <w:num w:numId="13">
    <w:abstractNumId w:val="0"/>
  </w:num>
  <w:num w:numId="14">
    <w:abstractNumId w:val="50"/>
  </w:num>
  <w:num w:numId="15">
    <w:abstractNumId w:val="25"/>
  </w:num>
  <w:num w:numId="16">
    <w:abstractNumId w:val="37"/>
  </w:num>
  <w:num w:numId="17">
    <w:abstractNumId w:val="2"/>
  </w:num>
  <w:num w:numId="18">
    <w:abstractNumId w:val="65"/>
  </w:num>
  <w:num w:numId="19">
    <w:abstractNumId w:val="34"/>
  </w:num>
  <w:num w:numId="20">
    <w:abstractNumId w:val="14"/>
  </w:num>
  <w:num w:numId="21">
    <w:abstractNumId w:val="23"/>
  </w:num>
  <w:num w:numId="22">
    <w:abstractNumId w:val="18"/>
  </w:num>
  <w:num w:numId="23">
    <w:abstractNumId w:val="4"/>
  </w:num>
  <w:num w:numId="24">
    <w:abstractNumId w:val="44"/>
  </w:num>
  <w:num w:numId="25">
    <w:abstractNumId w:val="28"/>
  </w:num>
  <w:num w:numId="26">
    <w:abstractNumId w:val="12"/>
  </w:num>
  <w:num w:numId="27">
    <w:abstractNumId w:val="59"/>
  </w:num>
  <w:num w:numId="28">
    <w:abstractNumId w:val="27"/>
  </w:num>
  <w:num w:numId="29">
    <w:abstractNumId w:val="61"/>
  </w:num>
  <w:num w:numId="30">
    <w:abstractNumId w:val="1"/>
  </w:num>
  <w:num w:numId="31">
    <w:abstractNumId w:val="19"/>
  </w:num>
  <w:num w:numId="32">
    <w:abstractNumId w:val="55"/>
  </w:num>
  <w:num w:numId="33">
    <w:abstractNumId w:val="57"/>
  </w:num>
  <w:num w:numId="34">
    <w:abstractNumId w:val="10"/>
  </w:num>
  <w:num w:numId="35">
    <w:abstractNumId w:val="60"/>
  </w:num>
  <w:num w:numId="36">
    <w:abstractNumId w:val="63"/>
  </w:num>
  <w:num w:numId="37">
    <w:abstractNumId w:val="45"/>
  </w:num>
  <w:num w:numId="38">
    <w:abstractNumId w:val="58"/>
  </w:num>
  <w:num w:numId="39">
    <w:abstractNumId w:val="17"/>
  </w:num>
  <w:num w:numId="40">
    <w:abstractNumId w:val="21"/>
  </w:num>
  <w:num w:numId="41">
    <w:abstractNumId w:val="29"/>
  </w:num>
  <w:num w:numId="42">
    <w:abstractNumId w:val="62"/>
  </w:num>
  <w:num w:numId="43">
    <w:abstractNumId w:val="48"/>
  </w:num>
  <w:num w:numId="44">
    <w:abstractNumId w:val="39"/>
  </w:num>
  <w:num w:numId="45">
    <w:abstractNumId w:val="54"/>
  </w:num>
  <w:num w:numId="46">
    <w:abstractNumId w:val="38"/>
  </w:num>
  <w:num w:numId="47">
    <w:abstractNumId w:val="11"/>
  </w:num>
  <w:num w:numId="48">
    <w:abstractNumId w:val="8"/>
  </w:num>
  <w:num w:numId="49">
    <w:abstractNumId w:val="16"/>
  </w:num>
  <w:num w:numId="50">
    <w:abstractNumId w:val="24"/>
  </w:num>
  <w:num w:numId="51">
    <w:abstractNumId w:val="51"/>
  </w:num>
  <w:num w:numId="52">
    <w:abstractNumId w:val="7"/>
  </w:num>
  <w:num w:numId="53">
    <w:abstractNumId w:val="20"/>
  </w:num>
  <w:num w:numId="54">
    <w:abstractNumId w:val="30"/>
  </w:num>
  <w:num w:numId="55">
    <w:abstractNumId w:val="6"/>
  </w:num>
  <w:num w:numId="56">
    <w:abstractNumId w:val="64"/>
  </w:num>
  <w:num w:numId="57">
    <w:abstractNumId w:val="40"/>
  </w:num>
  <w:num w:numId="58">
    <w:abstractNumId w:val="43"/>
  </w:num>
  <w:num w:numId="59">
    <w:abstractNumId w:val="32"/>
  </w:num>
  <w:num w:numId="60">
    <w:abstractNumId w:val="22"/>
  </w:num>
  <w:num w:numId="61">
    <w:abstractNumId w:val="3"/>
  </w:num>
  <w:num w:numId="62">
    <w:abstractNumId w:val="9"/>
  </w:num>
  <w:num w:numId="63">
    <w:abstractNumId w:val="56"/>
  </w:num>
  <w:num w:numId="64">
    <w:abstractNumId w:val="35"/>
  </w:num>
  <w:num w:numId="65">
    <w:abstractNumId w:val="26"/>
  </w:num>
  <w:num w:numId="66">
    <w:abstractNumId w:val="4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7A6C"/>
    <w:rsid w:val="000008BE"/>
    <w:rsid w:val="0000149A"/>
    <w:rsid w:val="0000193D"/>
    <w:rsid w:val="00001BEE"/>
    <w:rsid w:val="00001F0A"/>
    <w:rsid w:val="00002107"/>
    <w:rsid w:val="00002836"/>
    <w:rsid w:val="00003227"/>
    <w:rsid w:val="00004902"/>
    <w:rsid w:val="0000494A"/>
    <w:rsid w:val="00004F26"/>
    <w:rsid w:val="00005B2B"/>
    <w:rsid w:val="0000679C"/>
    <w:rsid w:val="00010001"/>
    <w:rsid w:val="00010F4A"/>
    <w:rsid w:val="00011CBD"/>
    <w:rsid w:val="000127A6"/>
    <w:rsid w:val="00012A0D"/>
    <w:rsid w:val="00013AC7"/>
    <w:rsid w:val="000144DB"/>
    <w:rsid w:val="00016F9C"/>
    <w:rsid w:val="00020B7D"/>
    <w:rsid w:val="0002101A"/>
    <w:rsid w:val="00021A0D"/>
    <w:rsid w:val="00022E9A"/>
    <w:rsid w:val="00023379"/>
    <w:rsid w:val="0002361F"/>
    <w:rsid w:val="000236A4"/>
    <w:rsid w:val="000236E6"/>
    <w:rsid w:val="00023B3A"/>
    <w:rsid w:val="00024730"/>
    <w:rsid w:val="000248D0"/>
    <w:rsid w:val="000253C7"/>
    <w:rsid w:val="00025BF8"/>
    <w:rsid w:val="00025CB0"/>
    <w:rsid w:val="00026CEF"/>
    <w:rsid w:val="00026F50"/>
    <w:rsid w:val="00030589"/>
    <w:rsid w:val="00030C1E"/>
    <w:rsid w:val="00030E03"/>
    <w:rsid w:val="00032240"/>
    <w:rsid w:val="000326F3"/>
    <w:rsid w:val="000327E3"/>
    <w:rsid w:val="00032ACC"/>
    <w:rsid w:val="00032B6E"/>
    <w:rsid w:val="00033159"/>
    <w:rsid w:val="00033B1F"/>
    <w:rsid w:val="00034760"/>
    <w:rsid w:val="000348FF"/>
    <w:rsid w:val="00034B7F"/>
    <w:rsid w:val="00034C36"/>
    <w:rsid w:val="00035C05"/>
    <w:rsid w:val="000361CE"/>
    <w:rsid w:val="00036B20"/>
    <w:rsid w:val="00036E41"/>
    <w:rsid w:val="0004000D"/>
    <w:rsid w:val="0004026B"/>
    <w:rsid w:val="00040274"/>
    <w:rsid w:val="00040F22"/>
    <w:rsid w:val="00041945"/>
    <w:rsid w:val="000421C0"/>
    <w:rsid w:val="00042D80"/>
    <w:rsid w:val="0004392C"/>
    <w:rsid w:val="00043F51"/>
    <w:rsid w:val="000465C2"/>
    <w:rsid w:val="00046A3C"/>
    <w:rsid w:val="00047140"/>
    <w:rsid w:val="00047478"/>
    <w:rsid w:val="00047597"/>
    <w:rsid w:val="00047BCD"/>
    <w:rsid w:val="00050F10"/>
    <w:rsid w:val="00052661"/>
    <w:rsid w:val="000526CA"/>
    <w:rsid w:val="00052BAB"/>
    <w:rsid w:val="00052EA5"/>
    <w:rsid w:val="00055F31"/>
    <w:rsid w:val="000565E2"/>
    <w:rsid w:val="00056896"/>
    <w:rsid w:val="00056AAE"/>
    <w:rsid w:val="00060760"/>
    <w:rsid w:val="000616BA"/>
    <w:rsid w:val="00061F9A"/>
    <w:rsid w:val="00062281"/>
    <w:rsid w:val="0006250D"/>
    <w:rsid w:val="00062570"/>
    <w:rsid w:val="00063151"/>
    <w:rsid w:val="00064C02"/>
    <w:rsid w:val="00065107"/>
    <w:rsid w:val="000655D0"/>
    <w:rsid w:val="0006587F"/>
    <w:rsid w:val="00065E21"/>
    <w:rsid w:val="0006606C"/>
    <w:rsid w:val="0006615E"/>
    <w:rsid w:val="00066536"/>
    <w:rsid w:val="000667E8"/>
    <w:rsid w:val="00066C50"/>
    <w:rsid w:val="0006753A"/>
    <w:rsid w:val="000677A5"/>
    <w:rsid w:val="0006783B"/>
    <w:rsid w:val="00067C99"/>
    <w:rsid w:val="00070769"/>
    <w:rsid w:val="00070980"/>
    <w:rsid w:val="00070E24"/>
    <w:rsid w:val="00071704"/>
    <w:rsid w:val="00071E7B"/>
    <w:rsid w:val="00072A26"/>
    <w:rsid w:val="00072DDC"/>
    <w:rsid w:val="0007324A"/>
    <w:rsid w:val="0007362D"/>
    <w:rsid w:val="00073FC0"/>
    <w:rsid w:val="0007497C"/>
    <w:rsid w:val="000753BD"/>
    <w:rsid w:val="00076725"/>
    <w:rsid w:val="00076ED9"/>
    <w:rsid w:val="00077533"/>
    <w:rsid w:val="00077ECC"/>
    <w:rsid w:val="00081459"/>
    <w:rsid w:val="000815A0"/>
    <w:rsid w:val="00081E33"/>
    <w:rsid w:val="000821DD"/>
    <w:rsid w:val="000824CB"/>
    <w:rsid w:val="00082CA2"/>
    <w:rsid w:val="00082D10"/>
    <w:rsid w:val="00082F6F"/>
    <w:rsid w:val="000832C7"/>
    <w:rsid w:val="00083596"/>
    <w:rsid w:val="0008363C"/>
    <w:rsid w:val="0008412A"/>
    <w:rsid w:val="00084946"/>
    <w:rsid w:val="000869DE"/>
    <w:rsid w:val="00086D7A"/>
    <w:rsid w:val="00086FC8"/>
    <w:rsid w:val="00087257"/>
    <w:rsid w:val="000877F8"/>
    <w:rsid w:val="00090720"/>
    <w:rsid w:val="000912A0"/>
    <w:rsid w:val="00093124"/>
    <w:rsid w:val="000937F3"/>
    <w:rsid w:val="00095169"/>
    <w:rsid w:val="0009568E"/>
    <w:rsid w:val="00096303"/>
    <w:rsid w:val="00097E33"/>
    <w:rsid w:val="000A0600"/>
    <w:rsid w:val="000A0B6D"/>
    <w:rsid w:val="000A0DBA"/>
    <w:rsid w:val="000A18EF"/>
    <w:rsid w:val="000A2364"/>
    <w:rsid w:val="000A2A4D"/>
    <w:rsid w:val="000A2DC5"/>
    <w:rsid w:val="000A4501"/>
    <w:rsid w:val="000A488E"/>
    <w:rsid w:val="000A4C2A"/>
    <w:rsid w:val="000A4EAD"/>
    <w:rsid w:val="000A51B5"/>
    <w:rsid w:val="000A53EB"/>
    <w:rsid w:val="000A5BF1"/>
    <w:rsid w:val="000A66AF"/>
    <w:rsid w:val="000A7052"/>
    <w:rsid w:val="000A71B6"/>
    <w:rsid w:val="000A7548"/>
    <w:rsid w:val="000A7B75"/>
    <w:rsid w:val="000B02CC"/>
    <w:rsid w:val="000B02ED"/>
    <w:rsid w:val="000B08ED"/>
    <w:rsid w:val="000B0D66"/>
    <w:rsid w:val="000B1757"/>
    <w:rsid w:val="000B2372"/>
    <w:rsid w:val="000B285D"/>
    <w:rsid w:val="000B2A12"/>
    <w:rsid w:val="000B2B32"/>
    <w:rsid w:val="000B321E"/>
    <w:rsid w:val="000B40E1"/>
    <w:rsid w:val="000B4A29"/>
    <w:rsid w:val="000B4E96"/>
    <w:rsid w:val="000B50DB"/>
    <w:rsid w:val="000B5282"/>
    <w:rsid w:val="000B54DC"/>
    <w:rsid w:val="000B5CE3"/>
    <w:rsid w:val="000B5FDF"/>
    <w:rsid w:val="000B60A3"/>
    <w:rsid w:val="000B624C"/>
    <w:rsid w:val="000B687B"/>
    <w:rsid w:val="000B6C35"/>
    <w:rsid w:val="000B7811"/>
    <w:rsid w:val="000B7966"/>
    <w:rsid w:val="000C1611"/>
    <w:rsid w:val="000C1922"/>
    <w:rsid w:val="000C1F90"/>
    <w:rsid w:val="000C2266"/>
    <w:rsid w:val="000C3C69"/>
    <w:rsid w:val="000C438F"/>
    <w:rsid w:val="000C49E3"/>
    <w:rsid w:val="000C51B1"/>
    <w:rsid w:val="000C58C5"/>
    <w:rsid w:val="000C5A1C"/>
    <w:rsid w:val="000C5D97"/>
    <w:rsid w:val="000C6A5C"/>
    <w:rsid w:val="000D0B47"/>
    <w:rsid w:val="000D16A7"/>
    <w:rsid w:val="000D1AA1"/>
    <w:rsid w:val="000D20BD"/>
    <w:rsid w:val="000D2328"/>
    <w:rsid w:val="000D2968"/>
    <w:rsid w:val="000D2B2F"/>
    <w:rsid w:val="000D34CB"/>
    <w:rsid w:val="000D356C"/>
    <w:rsid w:val="000D3D7F"/>
    <w:rsid w:val="000D3E21"/>
    <w:rsid w:val="000D3F15"/>
    <w:rsid w:val="000D4222"/>
    <w:rsid w:val="000D4BA0"/>
    <w:rsid w:val="000D60A5"/>
    <w:rsid w:val="000D6B09"/>
    <w:rsid w:val="000E13E2"/>
    <w:rsid w:val="000E169A"/>
    <w:rsid w:val="000E1E75"/>
    <w:rsid w:val="000E2414"/>
    <w:rsid w:val="000E24FB"/>
    <w:rsid w:val="000E2686"/>
    <w:rsid w:val="000E26DD"/>
    <w:rsid w:val="000E27EA"/>
    <w:rsid w:val="000E2D80"/>
    <w:rsid w:val="000E4982"/>
    <w:rsid w:val="000E4A62"/>
    <w:rsid w:val="000E4BE5"/>
    <w:rsid w:val="000E4C5F"/>
    <w:rsid w:val="000E6073"/>
    <w:rsid w:val="000E6513"/>
    <w:rsid w:val="000F0FD2"/>
    <w:rsid w:val="000F12E0"/>
    <w:rsid w:val="000F1329"/>
    <w:rsid w:val="000F17CF"/>
    <w:rsid w:val="000F2172"/>
    <w:rsid w:val="000F2846"/>
    <w:rsid w:val="000F2F4B"/>
    <w:rsid w:val="000F399D"/>
    <w:rsid w:val="000F3B1E"/>
    <w:rsid w:val="000F3E68"/>
    <w:rsid w:val="000F5964"/>
    <w:rsid w:val="000F5E0A"/>
    <w:rsid w:val="000F6036"/>
    <w:rsid w:val="000F6096"/>
    <w:rsid w:val="000F64CA"/>
    <w:rsid w:val="000F65C4"/>
    <w:rsid w:val="000F660B"/>
    <w:rsid w:val="000F6D9B"/>
    <w:rsid w:val="000F6E92"/>
    <w:rsid w:val="000F7396"/>
    <w:rsid w:val="000F7AD9"/>
    <w:rsid w:val="000F7C28"/>
    <w:rsid w:val="000F7C50"/>
    <w:rsid w:val="000F7E68"/>
    <w:rsid w:val="0010013D"/>
    <w:rsid w:val="00100695"/>
    <w:rsid w:val="00101056"/>
    <w:rsid w:val="001012C7"/>
    <w:rsid w:val="00101E83"/>
    <w:rsid w:val="00102067"/>
    <w:rsid w:val="001024C9"/>
    <w:rsid w:val="00102953"/>
    <w:rsid w:val="00102BD7"/>
    <w:rsid w:val="00102DE4"/>
    <w:rsid w:val="00103102"/>
    <w:rsid w:val="0010344C"/>
    <w:rsid w:val="00103DAD"/>
    <w:rsid w:val="0010432F"/>
    <w:rsid w:val="0010445A"/>
    <w:rsid w:val="00104BEC"/>
    <w:rsid w:val="00104DF4"/>
    <w:rsid w:val="001056F3"/>
    <w:rsid w:val="00105992"/>
    <w:rsid w:val="00105CC7"/>
    <w:rsid w:val="00105D1F"/>
    <w:rsid w:val="00105D27"/>
    <w:rsid w:val="00105F82"/>
    <w:rsid w:val="001061BC"/>
    <w:rsid w:val="00106BEA"/>
    <w:rsid w:val="00107904"/>
    <w:rsid w:val="0011037E"/>
    <w:rsid w:val="00110679"/>
    <w:rsid w:val="00110BE0"/>
    <w:rsid w:val="00110DAA"/>
    <w:rsid w:val="00110F3A"/>
    <w:rsid w:val="00111CFB"/>
    <w:rsid w:val="0011286B"/>
    <w:rsid w:val="00112BB8"/>
    <w:rsid w:val="00112D1C"/>
    <w:rsid w:val="0011335B"/>
    <w:rsid w:val="001137C1"/>
    <w:rsid w:val="001145B3"/>
    <w:rsid w:val="00114718"/>
    <w:rsid w:val="00115798"/>
    <w:rsid w:val="00116846"/>
    <w:rsid w:val="001170D0"/>
    <w:rsid w:val="0012002B"/>
    <w:rsid w:val="0012008B"/>
    <w:rsid w:val="00120854"/>
    <w:rsid w:val="001208DF"/>
    <w:rsid w:val="00120B64"/>
    <w:rsid w:val="00120CF3"/>
    <w:rsid w:val="0012550C"/>
    <w:rsid w:val="001259DF"/>
    <w:rsid w:val="00125D01"/>
    <w:rsid w:val="00125ECC"/>
    <w:rsid w:val="001269FF"/>
    <w:rsid w:val="00126F67"/>
    <w:rsid w:val="00127017"/>
    <w:rsid w:val="001277A0"/>
    <w:rsid w:val="00127C65"/>
    <w:rsid w:val="00127E8B"/>
    <w:rsid w:val="00127F57"/>
    <w:rsid w:val="001318B2"/>
    <w:rsid w:val="00131EA4"/>
    <w:rsid w:val="00132487"/>
    <w:rsid w:val="00132D0B"/>
    <w:rsid w:val="0013357D"/>
    <w:rsid w:val="001340BB"/>
    <w:rsid w:val="00134724"/>
    <w:rsid w:val="00134AF1"/>
    <w:rsid w:val="00134DFC"/>
    <w:rsid w:val="00134F91"/>
    <w:rsid w:val="00135566"/>
    <w:rsid w:val="001356F0"/>
    <w:rsid w:val="00135933"/>
    <w:rsid w:val="0013634D"/>
    <w:rsid w:val="00136350"/>
    <w:rsid w:val="00136D45"/>
    <w:rsid w:val="00137170"/>
    <w:rsid w:val="00140310"/>
    <w:rsid w:val="00140C63"/>
    <w:rsid w:val="00140C7E"/>
    <w:rsid w:val="00141038"/>
    <w:rsid w:val="00142FD5"/>
    <w:rsid w:val="001435D3"/>
    <w:rsid w:val="001438FE"/>
    <w:rsid w:val="00143FC6"/>
    <w:rsid w:val="00144230"/>
    <w:rsid w:val="00144262"/>
    <w:rsid w:val="00144B09"/>
    <w:rsid w:val="00144FFF"/>
    <w:rsid w:val="001470B6"/>
    <w:rsid w:val="001470BE"/>
    <w:rsid w:val="0014778E"/>
    <w:rsid w:val="001479E7"/>
    <w:rsid w:val="00150204"/>
    <w:rsid w:val="001504D5"/>
    <w:rsid w:val="00150DDA"/>
    <w:rsid w:val="00151C89"/>
    <w:rsid w:val="001526AD"/>
    <w:rsid w:val="001531D5"/>
    <w:rsid w:val="0015330E"/>
    <w:rsid w:val="00153993"/>
    <w:rsid w:val="001545D7"/>
    <w:rsid w:val="00155ADB"/>
    <w:rsid w:val="00156208"/>
    <w:rsid w:val="001573EB"/>
    <w:rsid w:val="00157AC3"/>
    <w:rsid w:val="001609C5"/>
    <w:rsid w:val="00160B0C"/>
    <w:rsid w:val="00160F6B"/>
    <w:rsid w:val="00161407"/>
    <w:rsid w:val="00161899"/>
    <w:rsid w:val="001638BB"/>
    <w:rsid w:val="00163C3D"/>
    <w:rsid w:val="00163E68"/>
    <w:rsid w:val="001642A3"/>
    <w:rsid w:val="001642A4"/>
    <w:rsid w:val="00164657"/>
    <w:rsid w:val="00164BF6"/>
    <w:rsid w:val="00165A0E"/>
    <w:rsid w:val="00165D0C"/>
    <w:rsid w:val="00165FE7"/>
    <w:rsid w:val="0016717E"/>
    <w:rsid w:val="00167A6C"/>
    <w:rsid w:val="001710BC"/>
    <w:rsid w:val="00171149"/>
    <w:rsid w:val="001718B6"/>
    <w:rsid w:val="0017196D"/>
    <w:rsid w:val="00172B7F"/>
    <w:rsid w:val="001734F4"/>
    <w:rsid w:val="00173CE5"/>
    <w:rsid w:val="001745DD"/>
    <w:rsid w:val="00174FFE"/>
    <w:rsid w:val="00175A5F"/>
    <w:rsid w:val="00176385"/>
    <w:rsid w:val="001768EA"/>
    <w:rsid w:val="0017707B"/>
    <w:rsid w:val="00177BC0"/>
    <w:rsid w:val="00181691"/>
    <w:rsid w:val="0018178A"/>
    <w:rsid w:val="001820C5"/>
    <w:rsid w:val="00182113"/>
    <w:rsid w:val="00183446"/>
    <w:rsid w:val="00183E28"/>
    <w:rsid w:val="00184E58"/>
    <w:rsid w:val="00185933"/>
    <w:rsid w:val="00186791"/>
    <w:rsid w:val="001900BC"/>
    <w:rsid w:val="00191621"/>
    <w:rsid w:val="0019443A"/>
    <w:rsid w:val="0019476D"/>
    <w:rsid w:val="001948B8"/>
    <w:rsid w:val="00194AD4"/>
    <w:rsid w:val="00195538"/>
    <w:rsid w:val="001959CA"/>
    <w:rsid w:val="00196249"/>
    <w:rsid w:val="0019640E"/>
    <w:rsid w:val="00196A17"/>
    <w:rsid w:val="00196E2E"/>
    <w:rsid w:val="00196E77"/>
    <w:rsid w:val="001975EF"/>
    <w:rsid w:val="00197B6B"/>
    <w:rsid w:val="00197BE0"/>
    <w:rsid w:val="00197CDA"/>
    <w:rsid w:val="001A0472"/>
    <w:rsid w:val="001A05BD"/>
    <w:rsid w:val="001A0EEE"/>
    <w:rsid w:val="001A11B2"/>
    <w:rsid w:val="001A1CEF"/>
    <w:rsid w:val="001A1E4E"/>
    <w:rsid w:val="001A21AA"/>
    <w:rsid w:val="001A2409"/>
    <w:rsid w:val="001A3DA4"/>
    <w:rsid w:val="001A3EED"/>
    <w:rsid w:val="001A4700"/>
    <w:rsid w:val="001A4DAD"/>
    <w:rsid w:val="001A4DE5"/>
    <w:rsid w:val="001A514A"/>
    <w:rsid w:val="001A552D"/>
    <w:rsid w:val="001A5801"/>
    <w:rsid w:val="001A5843"/>
    <w:rsid w:val="001A5C7A"/>
    <w:rsid w:val="001A5F16"/>
    <w:rsid w:val="001A6A1A"/>
    <w:rsid w:val="001A6E84"/>
    <w:rsid w:val="001B12BC"/>
    <w:rsid w:val="001B19D0"/>
    <w:rsid w:val="001B1F94"/>
    <w:rsid w:val="001B2700"/>
    <w:rsid w:val="001B31F6"/>
    <w:rsid w:val="001B3E0C"/>
    <w:rsid w:val="001B4755"/>
    <w:rsid w:val="001B4DD0"/>
    <w:rsid w:val="001B4FDA"/>
    <w:rsid w:val="001B5FC6"/>
    <w:rsid w:val="001B635F"/>
    <w:rsid w:val="001C060F"/>
    <w:rsid w:val="001C09DF"/>
    <w:rsid w:val="001C0DF0"/>
    <w:rsid w:val="001C0E1D"/>
    <w:rsid w:val="001C19C7"/>
    <w:rsid w:val="001C27F6"/>
    <w:rsid w:val="001C3672"/>
    <w:rsid w:val="001C3857"/>
    <w:rsid w:val="001C3AC9"/>
    <w:rsid w:val="001C3C00"/>
    <w:rsid w:val="001C460E"/>
    <w:rsid w:val="001C4722"/>
    <w:rsid w:val="001C50D5"/>
    <w:rsid w:val="001C5AB5"/>
    <w:rsid w:val="001C759A"/>
    <w:rsid w:val="001D0015"/>
    <w:rsid w:val="001D007A"/>
    <w:rsid w:val="001D02D8"/>
    <w:rsid w:val="001D0C54"/>
    <w:rsid w:val="001D0CC1"/>
    <w:rsid w:val="001D1638"/>
    <w:rsid w:val="001D1646"/>
    <w:rsid w:val="001D1A7D"/>
    <w:rsid w:val="001D1CD3"/>
    <w:rsid w:val="001D2336"/>
    <w:rsid w:val="001D2C43"/>
    <w:rsid w:val="001D2DD0"/>
    <w:rsid w:val="001D3655"/>
    <w:rsid w:val="001D36C7"/>
    <w:rsid w:val="001D4738"/>
    <w:rsid w:val="001D5946"/>
    <w:rsid w:val="001D5D61"/>
    <w:rsid w:val="001D6844"/>
    <w:rsid w:val="001D6BBC"/>
    <w:rsid w:val="001D6DC6"/>
    <w:rsid w:val="001D7E89"/>
    <w:rsid w:val="001E0BDD"/>
    <w:rsid w:val="001E0DAE"/>
    <w:rsid w:val="001E1019"/>
    <w:rsid w:val="001E1173"/>
    <w:rsid w:val="001E1950"/>
    <w:rsid w:val="001E1D64"/>
    <w:rsid w:val="001E3242"/>
    <w:rsid w:val="001E3B7F"/>
    <w:rsid w:val="001E4617"/>
    <w:rsid w:val="001E4661"/>
    <w:rsid w:val="001E46FC"/>
    <w:rsid w:val="001E4E78"/>
    <w:rsid w:val="001E5188"/>
    <w:rsid w:val="001E5394"/>
    <w:rsid w:val="001E5D7F"/>
    <w:rsid w:val="001E5E4D"/>
    <w:rsid w:val="001E5FCE"/>
    <w:rsid w:val="001E6B22"/>
    <w:rsid w:val="001E6EDB"/>
    <w:rsid w:val="001F03AA"/>
    <w:rsid w:val="001F111A"/>
    <w:rsid w:val="001F2C4E"/>
    <w:rsid w:val="001F30AA"/>
    <w:rsid w:val="001F35CA"/>
    <w:rsid w:val="001F36AE"/>
    <w:rsid w:val="001F3D30"/>
    <w:rsid w:val="001F4117"/>
    <w:rsid w:val="001F431D"/>
    <w:rsid w:val="001F4686"/>
    <w:rsid w:val="001F5408"/>
    <w:rsid w:val="001F6622"/>
    <w:rsid w:val="001F6851"/>
    <w:rsid w:val="001F71A7"/>
    <w:rsid w:val="00200784"/>
    <w:rsid w:val="00200F16"/>
    <w:rsid w:val="00201D71"/>
    <w:rsid w:val="0020228E"/>
    <w:rsid w:val="00203F14"/>
    <w:rsid w:val="00203FA1"/>
    <w:rsid w:val="00204A0D"/>
    <w:rsid w:val="0020505B"/>
    <w:rsid w:val="0020530D"/>
    <w:rsid w:val="002055F8"/>
    <w:rsid w:val="002066EB"/>
    <w:rsid w:val="0020694E"/>
    <w:rsid w:val="00206B25"/>
    <w:rsid w:val="00206B4C"/>
    <w:rsid w:val="00207D31"/>
    <w:rsid w:val="00210B31"/>
    <w:rsid w:val="00210BAD"/>
    <w:rsid w:val="00210C87"/>
    <w:rsid w:val="00211C81"/>
    <w:rsid w:val="00211D75"/>
    <w:rsid w:val="0021205E"/>
    <w:rsid w:val="0021339B"/>
    <w:rsid w:val="00213C6D"/>
    <w:rsid w:val="00213ED0"/>
    <w:rsid w:val="00214B23"/>
    <w:rsid w:val="00214D8E"/>
    <w:rsid w:val="00214F57"/>
    <w:rsid w:val="00215305"/>
    <w:rsid w:val="00215F53"/>
    <w:rsid w:val="00215FB1"/>
    <w:rsid w:val="00216043"/>
    <w:rsid w:val="002171C6"/>
    <w:rsid w:val="002176C2"/>
    <w:rsid w:val="0022021B"/>
    <w:rsid w:val="00220438"/>
    <w:rsid w:val="002205FB"/>
    <w:rsid w:val="00221051"/>
    <w:rsid w:val="00221835"/>
    <w:rsid w:val="00221A0E"/>
    <w:rsid w:val="00221BE5"/>
    <w:rsid w:val="00222273"/>
    <w:rsid w:val="00222DF3"/>
    <w:rsid w:val="002230D0"/>
    <w:rsid w:val="002230DD"/>
    <w:rsid w:val="00225856"/>
    <w:rsid w:val="00225A93"/>
    <w:rsid w:val="0022611B"/>
    <w:rsid w:val="00226567"/>
    <w:rsid w:val="002268BD"/>
    <w:rsid w:val="00226F30"/>
    <w:rsid w:val="002271A9"/>
    <w:rsid w:val="0022724F"/>
    <w:rsid w:val="00227CF2"/>
    <w:rsid w:val="00227D48"/>
    <w:rsid w:val="00227EE6"/>
    <w:rsid w:val="002306BA"/>
    <w:rsid w:val="00230C41"/>
    <w:rsid w:val="00232A97"/>
    <w:rsid w:val="00233291"/>
    <w:rsid w:val="002338C9"/>
    <w:rsid w:val="00233FA5"/>
    <w:rsid w:val="00234D98"/>
    <w:rsid w:val="002359CF"/>
    <w:rsid w:val="0023623C"/>
    <w:rsid w:val="00237261"/>
    <w:rsid w:val="00240372"/>
    <w:rsid w:val="002405EB"/>
    <w:rsid w:val="00242EE6"/>
    <w:rsid w:val="0024388D"/>
    <w:rsid w:val="00245021"/>
    <w:rsid w:val="00245FF8"/>
    <w:rsid w:val="002468C8"/>
    <w:rsid w:val="002474F4"/>
    <w:rsid w:val="00250955"/>
    <w:rsid w:val="00251606"/>
    <w:rsid w:val="00251F3F"/>
    <w:rsid w:val="00251F86"/>
    <w:rsid w:val="0025331E"/>
    <w:rsid w:val="002538D2"/>
    <w:rsid w:val="00253E3C"/>
    <w:rsid w:val="002543F9"/>
    <w:rsid w:val="00254BBF"/>
    <w:rsid w:val="00255C75"/>
    <w:rsid w:val="00255CBF"/>
    <w:rsid w:val="002567D0"/>
    <w:rsid w:val="00256D1A"/>
    <w:rsid w:val="00256E82"/>
    <w:rsid w:val="00256F3D"/>
    <w:rsid w:val="00256F87"/>
    <w:rsid w:val="002576CC"/>
    <w:rsid w:val="00257FB0"/>
    <w:rsid w:val="0026091E"/>
    <w:rsid w:val="00260BC6"/>
    <w:rsid w:val="00260CE4"/>
    <w:rsid w:val="002617B7"/>
    <w:rsid w:val="00261D89"/>
    <w:rsid w:val="0026275F"/>
    <w:rsid w:val="00262E2B"/>
    <w:rsid w:val="002638D4"/>
    <w:rsid w:val="002638DA"/>
    <w:rsid w:val="002645FD"/>
    <w:rsid w:val="0026520F"/>
    <w:rsid w:val="0026571F"/>
    <w:rsid w:val="00265F89"/>
    <w:rsid w:val="00266325"/>
    <w:rsid w:val="002667A3"/>
    <w:rsid w:val="00266A2F"/>
    <w:rsid w:val="0026700E"/>
    <w:rsid w:val="002671D6"/>
    <w:rsid w:val="00267266"/>
    <w:rsid w:val="00267ABF"/>
    <w:rsid w:val="00270EF9"/>
    <w:rsid w:val="00271D7F"/>
    <w:rsid w:val="00273818"/>
    <w:rsid w:val="00273F68"/>
    <w:rsid w:val="00274C3F"/>
    <w:rsid w:val="00274C64"/>
    <w:rsid w:val="00275D2D"/>
    <w:rsid w:val="0027647C"/>
    <w:rsid w:val="00276D03"/>
    <w:rsid w:val="002775D8"/>
    <w:rsid w:val="00277F07"/>
    <w:rsid w:val="002829E2"/>
    <w:rsid w:val="00282B8C"/>
    <w:rsid w:val="00282BB5"/>
    <w:rsid w:val="002833D8"/>
    <w:rsid w:val="00283E61"/>
    <w:rsid w:val="002843CB"/>
    <w:rsid w:val="002848CF"/>
    <w:rsid w:val="00284E08"/>
    <w:rsid w:val="00284EA4"/>
    <w:rsid w:val="00285F26"/>
    <w:rsid w:val="00285FFC"/>
    <w:rsid w:val="002864B6"/>
    <w:rsid w:val="00286740"/>
    <w:rsid w:val="002875C4"/>
    <w:rsid w:val="00287F39"/>
    <w:rsid w:val="0029139F"/>
    <w:rsid w:val="00291ADD"/>
    <w:rsid w:val="00292361"/>
    <w:rsid w:val="0029252C"/>
    <w:rsid w:val="00292931"/>
    <w:rsid w:val="00292B4E"/>
    <w:rsid w:val="0029355D"/>
    <w:rsid w:val="00293727"/>
    <w:rsid w:val="0029431A"/>
    <w:rsid w:val="002948A5"/>
    <w:rsid w:val="00294DCF"/>
    <w:rsid w:val="00295250"/>
    <w:rsid w:val="002962D3"/>
    <w:rsid w:val="002973D8"/>
    <w:rsid w:val="002976CB"/>
    <w:rsid w:val="002978CD"/>
    <w:rsid w:val="00297A5D"/>
    <w:rsid w:val="00297E52"/>
    <w:rsid w:val="002A0A36"/>
    <w:rsid w:val="002A23FE"/>
    <w:rsid w:val="002A2AB4"/>
    <w:rsid w:val="002A2C4B"/>
    <w:rsid w:val="002A365A"/>
    <w:rsid w:val="002A3C17"/>
    <w:rsid w:val="002A405A"/>
    <w:rsid w:val="002A60FD"/>
    <w:rsid w:val="002A61D4"/>
    <w:rsid w:val="002A63E0"/>
    <w:rsid w:val="002A6631"/>
    <w:rsid w:val="002A69A3"/>
    <w:rsid w:val="002A79E6"/>
    <w:rsid w:val="002A7C36"/>
    <w:rsid w:val="002A7E40"/>
    <w:rsid w:val="002B1252"/>
    <w:rsid w:val="002B1CD8"/>
    <w:rsid w:val="002B3B58"/>
    <w:rsid w:val="002B518D"/>
    <w:rsid w:val="002B676D"/>
    <w:rsid w:val="002B6812"/>
    <w:rsid w:val="002B6953"/>
    <w:rsid w:val="002B6CB3"/>
    <w:rsid w:val="002B6F64"/>
    <w:rsid w:val="002B76E1"/>
    <w:rsid w:val="002C049C"/>
    <w:rsid w:val="002C064D"/>
    <w:rsid w:val="002C260B"/>
    <w:rsid w:val="002C2739"/>
    <w:rsid w:val="002C2A32"/>
    <w:rsid w:val="002C354B"/>
    <w:rsid w:val="002C3B29"/>
    <w:rsid w:val="002C4422"/>
    <w:rsid w:val="002C45D0"/>
    <w:rsid w:val="002C47EA"/>
    <w:rsid w:val="002C562D"/>
    <w:rsid w:val="002C5DC8"/>
    <w:rsid w:val="002C6D32"/>
    <w:rsid w:val="002C6D4A"/>
    <w:rsid w:val="002C7177"/>
    <w:rsid w:val="002C718B"/>
    <w:rsid w:val="002C7A19"/>
    <w:rsid w:val="002C7AAA"/>
    <w:rsid w:val="002C7AC6"/>
    <w:rsid w:val="002D03B9"/>
    <w:rsid w:val="002D1177"/>
    <w:rsid w:val="002D17BD"/>
    <w:rsid w:val="002D1853"/>
    <w:rsid w:val="002D1CCA"/>
    <w:rsid w:val="002D2B6D"/>
    <w:rsid w:val="002D3A1F"/>
    <w:rsid w:val="002D444A"/>
    <w:rsid w:val="002D45DD"/>
    <w:rsid w:val="002D4B12"/>
    <w:rsid w:val="002D4D2C"/>
    <w:rsid w:val="002D51A3"/>
    <w:rsid w:val="002D5745"/>
    <w:rsid w:val="002D5F82"/>
    <w:rsid w:val="002D6563"/>
    <w:rsid w:val="002E106F"/>
    <w:rsid w:val="002E1C26"/>
    <w:rsid w:val="002E243D"/>
    <w:rsid w:val="002E28BE"/>
    <w:rsid w:val="002E32D5"/>
    <w:rsid w:val="002E4637"/>
    <w:rsid w:val="002E52F3"/>
    <w:rsid w:val="002E5CCD"/>
    <w:rsid w:val="002E5EF4"/>
    <w:rsid w:val="002E5FAE"/>
    <w:rsid w:val="002E6B97"/>
    <w:rsid w:val="002E7A44"/>
    <w:rsid w:val="002F16D5"/>
    <w:rsid w:val="002F1B4D"/>
    <w:rsid w:val="002F1E35"/>
    <w:rsid w:val="002F29E1"/>
    <w:rsid w:val="002F2DFC"/>
    <w:rsid w:val="002F4A4D"/>
    <w:rsid w:val="002F4C67"/>
    <w:rsid w:val="002F4CE7"/>
    <w:rsid w:val="002F5068"/>
    <w:rsid w:val="002F5EB2"/>
    <w:rsid w:val="002F6CDE"/>
    <w:rsid w:val="002F74ED"/>
    <w:rsid w:val="002F77A2"/>
    <w:rsid w:val="002F7A48"/>
    <w:rsid w:val="002F7C59"/>
    <w:rsid w:val="003007AF"/>
    <w:rsid w:val="00301BE8"/>
    <w:rsid w:val="0030206C"/>
    <w:rsid w:val="003023C1"/>
    <w:rsid w:val="003028F6"/>
    <w:rsid w:val="00302A63"/>
    <w:rsid w:val="00302F44"/>
    <w:rsid w:val="0030364F"/>
    <w:rsid w:val="00303D29"/>
    <w:rsid w:val="00304535"/>
    <w:rsid w:val="003048BE"/>
    <w:rsid w:val="0030491F"/>
    <w:rsid w:val="00304F62"/>
    <w:rsid w:val="00305865"/>
    <w:rsid w:val="00306D17"/>
    <w:rsid w:val="00306D43"/>
    <w:rsid w:val="00307608"/>
    <w:rsid w:val="00307733"/>
    <w:rsid w:val="00307876"/>
    <w:rsid w:val="00307C7A"/>
    <w:rsid w:val="00307EB3"/>
    <w:rsid w:val="00310423"/>
    <w:rsid w:val="00312314"/>
    <w:rsid w:val="00312C7D"/>
    <w:rsid w:val="0031391A"/>
    <w:rsid w:val="00313ED8"/>
    <w:rsid w:val="00314021"/>
    <w:rsid w:val="003155BA"/>
    <w:rsid w:val="00315CE1"/>
    <w:rsid w:val="003161B4"/>
    <w:rsid w:val="00316204"/>
    <w:rsid w:val="00316C40"/>
    <w:rsid w:val="0031747F"/>
    <w:rsid w:val="003179FA"/>
    <w:rsid w:val="00321E7C"/>
    <w:rsid w:val="00321FDE"/>
    <w:rsid w:val="003225EB"/>
    <w:rsid w:val="00323271"/>
    <w:rsid w:val="00323319"/>
    <w:rsid w:val="00323378"/>
    <w:rsid w:val="003233E5"/>
    <w:rsid w:val="00323D81"/>
    <w:rsid w:val="00323E54"/>
    <w:rsid w:val="003263E3"/>
    <w:rsid w:val="0032678B"/>
    <w:rsid w:val="00327486"/>
    <w:rsid w:val="00327D63"/>
    <w:rsid w:val="00327F8C"/>
    <w:rsid w:val="0033047F"/>
    <w:rsid w:val="00330B67"/>
    <w:rsid w:val="0033126C"/>
    <w:rsid w:val="00331C6A"/>
    <w:rsid w:val="00332082"/>
    <w:rsid w:val="003320DC"/>
    <w:rsid w:val="00332324"/>
    <w:rsid w:val="00333ADD"/>
    <w:rsid w:val="00333CD6"/>
    <w:rsid w:val="00335158"/>
    <w:rsid w:val="00335A04"/>
    <w:rsid w:val="00335D7B"/>
    <w:rsid w:val="00336277"/>
    <w:rsid w:val="003363A2"/>
    <w:rsid w:val="0033665E"/>
    <w:rsid w:val="00336CF3"/>
    <w:rsid w:val="00337611"/>
    <w:rsid w:val="00337615"/>
    <w:rsid w:val="003376DD"/>
    <w:rsid w:val="003377C5"/>
    <w:rsid w:val="0033794F"/>
    <w:rsid w:val="003400F2"/>
    <w:rsid w:val="003414A6"/>
    <w:rsid w:val="003416BF"/>
    <w:rsid w:val="00341C75"/>
    <w:rsid w:val="00342109"/>
    <w:rsid w:val="003422A2"/>
    <w:rsid w:val="0034299B"/>
    <w:rsid w:val="003449AB"/>
    <w:rsid w:val="00344FD1"/>
    <w:rsid w:val="003450C3"/>
    <w:rsid w:val="00345CD7"/>
    <w:rsid w:val="0034624B"/>
    <w:rsid w:val="0034793A"/>
    <w:rsid w:val="00347CEB"/>
    <w:rsid w:val="00347D3B"/>
    <w:rsid w:val="0035109A"/>
    <w:rsid w:val="003511AA"/>
    <w:rsid w:val="00351273"/>
    <w:rsid w:val="00352466"/>
    <w:rsid w:val="003524EC"/>
    <w:rsid w:val="00352AD5"/>
    <w:rsid w:val="00352C96"/>
    <w:rsid w:val="003534DE"/>
    <w:rsid w:val="003540E1"/>
    <w:rsid w:val="003546B9"/>
    <w:rsid w:val="00355CFE"/>
    <w:rsid w:val="00355DD7"/>
    <w:rsid w:val="00356ABB"/>
    <w:rsid w:val="00356D78"/>
    <w:rsid w:val="00357122"/>
    <w:rsid w:val="00357287"/>
    <w:rsid w:val="00357B21"/>
    <w:rsid w:val="00360419"/>
    <w:rsid w:val="00361544"/>
    <w:rsid w:val="00362564"/>
    <w:rsid w:val="0036280F"/>
    <w:rsid w:val="0036289F"/>
    <w:rsid w:val="00362B4A"/>
    <w:rsid w:val="003630CA"/>
    <w:rsid w:val="003631E3"/>
    <w:rsid w:val="003631F7"/>
    <w:rsid w:val="0036320A"/>
    <w:rsid w:val="00363378"/>
    <w:rsid w:val="00363821"/>
    <w:rsid w:val="0036399A"/>
    <w:rsid w:val="00364319"/>
    <w:rsid w:val="00366177"/>
    <w:rsid w:val="0036649C"/>
    <w:rsid w:val="003668B8"/>
    <w:rsid w:val="00366E54"/>
    <w:rsid w:val="00367197"/>
    <w:rsid w:val="003671F1"/>
    <w:rsid w:val="00367E5D"/>
    <w:rsid w:val="0037065A"/>
    <w:rsid w:val="00370908"/>
    <w:rsid w:val="00370C46"/>
    <w:rsid w:val="00371376"/>
    <w:rsid w:val="003717E1"/>
    <w:rsid w:val="0037226B"/>
    <w:rsid w:val="00375172"/>
    <w:rsid w:val="003755BA"/>
    <w:rsid w:val="003757B9"/>
    <w:rsid w:val="0037727A"/>
    <w:rsid w:val="0037771D"/>
    <w:rsid w:val="0037778F"/>
    <w:rsid w:val="0037785C"/>
    <w:rsid w:val="00377F13"/>
    <w:rsid w:val="003801D8"/>
    <w:rsid w:val="00380C8E"/>
    <w:rsid w:val="0038175F"/>
    <w:rsid w:val="0038212D"/>
    <w:rsid w:val="0038357E"/>
    <w:rsid w:val="00383649"/>
    <w:rsid w:val="0038476C"/>
    <w:rsid w:val="003848FE"/>
    <w:rsid w:val="00386071"/>
    <w:rsid w:val="0038675F"/>
    <w:rsid w:val="00386E3D"/>
    <w:rsid w:val="0039163D"/>
    <w:rsid w:val="00391BD2"/>
    <w:rsid w:val="00392180"/>
    <w:rsid w:val="00392F0B"/>
    <w:rsid w:val="003956E1"/>
    <w:rsid w:val="003958FD"/>
    <w:rsid w:val="00395FF2"/>
    <w:rsid w:val="003969A2"/>
    <w:rsid w:val="003969F1"/>
    <w:rsid w:val="00397872"/>
    <w:rsid w:val="003A0369"/>
    <w:rsid w:val="003A087F"/>
    <w:rsid w:val="003A120C"/>
    <w:rsid w:val="003A13CA"/>
    <w:rsid w:val="003A146A"/>
    <w:rsid w:val="003A15D7"/>
    <w:rsid w:val="003A17E1"/>
    <w:rsid w:val="003A19F8"/>
    <w:rsid w:val="003A1BA9"/>
    <w:rsid w:val="003A20B2"/>
    <w:rsid w:val="003A2701"/>
    <w:rsid w:val="003A387B"/>
    <w:rsid w:val="003A3ECF"/>
    <w:rsid w:val="003A4193"/>
    <w:rsid w:val="003A45DB"/>
    <w:rsid w:val="003A494F"/>
    <w:rsid w:val="003A4ADF"/>
    <w:rsid w:val="003A5126"/>
    <w:rsid w:val="003A51F9"/>
    <w:rsid w:val="003A59A6"/>
    <w:rsid w:val="003A5AB2"/>
    <w:rsid w:val="003A5D23"/>
    <w:rsid w:val="003A73BF"/>
    <w:rsid w:val="003A7713"/>
    <w:rsid w:val="003A7A6A"/>
    <w:rsid w:val="003A7DD5"/>
    <w:rsid w:val="003B0354"/>
    <w:rsid w:val="003B0748"/>
    <w:rsid w:val="003B0A7A"/>
    <w:rsid w:val="003B129F"/>
    <w:rsid w:val="003B13C9"/>
    <w:rsid w:val="003B1AB9"/>
    <w:rsid w:val="003B2072"/>
    <w:rsid w:val="003B25E2"/>
    <w:rsid w:val="003B329A"/>
    <w:rsid w:val="003B32A0"/>
    <w:rsid w:val="003B3957"/>
    <w:rsid w:val="003B4040"/>
    <w:rsid w:val="003B4A0F"/>
    <w:rsid w:val="003B4AEA"/>
    <w:rsid w:val="003B51F5"/>
    <w:rsid w:val="003B5872"/>
    <w:rsid w:val="003B5F7C"/>
    <w:rsid w:val="003B65A8"/>
    <w:rsid w:val="003B6CC8"/>
    <w:rsid w:val="003B7388"/>
    <w:rsid w:val="003B7F31"/>
    <w:rsid w:val="003C12A5"/>
    <w:rsid w:val="003C23B4"/>
    <w:rsid w:val="003C2864"/>
    <w:rsid w:val="003C2D52"/>
    <w:rsid w:val="003C3316"/>
    <w:rsid w:val="003C3C53"/>
    <w:rsid w:val="003C3F3F"/>
    <w:rsid w:val="003C447C"/>
    <w:rsid w:val="003C53E1"/>
    <w:rsid w:val="003C6F60"/>
    <w:rsid w:val="003C79F3"/>
    <w:rsid w:val="003C7EFD"/>
    <w:rsid w:val="003C7FCD"/>
    <w:rsid w:val="003D085B"/>
    <w:rsid w:val="003D0B80"/>
    <w:rsid w:val="003D0BD0"/>
    <w:rsid w:val="003D0DCC"/>
    <w:rsid w:val="003D0E53"/>
    <w:rsid w:val="003D159B"/>
    <w:rsid w:val="003D3545"/>
    <w:rsid w:val="003D3983"/>
    <w:rsid w:val="003D39BD"/>
    <w:rsid w:val="003D3B08"/>
    <w:rsid w:val="003D3D14"/>
    <w:rsid w:val="003D3F86"/>
    <w:rsid w:val="003D4A02"/>
    <w:rsid w:val="003D54B3"/>
    <w:rsid w:val="003D6226"/>
    <w:rsid w:val="003D6483"/>
    <w:rsid w:val="003D75E4"/>
    <w:rsid w:val="003D7E9C"/>
    <w:rsid w:val="003E03D0"/>
    <w:rsid w:val="003E04C7"/>
    <w:rsid w:val="003E0C6D"/>
    <w:rsid w:val="003E0CB5"/>
    <w:rsid w:val="003E0E38"/>
    <w:rsid w:val="003E1718"/>
    <w:rsid w:val="003E221E"/>
    <w:rsid w:val="003E304E"/>
    <w:rsid w:val="003E30EB"/>
    <w:rsid w:val="003E385D"/>
    <w:rsid w:val="003E3B82"/>
    <w:rsid w:val="003E3EC0"/>
    <w:rsid w:val="003E42E8"/>
    <w:rsid w:val="003E465E"/>
    <w:rsid w:val="003E46B1"/>
    <w:rsid w:val="003E484D"/>
    <w:rsid w:val="003E4997"/>
    <w:rsid w:val="003E4C03"/>
    <w:rsid w:val="003E52A7"/>
    <w:rsid w:val="003E551E"/>
    <w:rsid w:val="003E56C3"/>
    <w:rsid w:val="003E5E51"/>
    <w:rsid w:val="003E6142"/>
    <w:rsid w:val="003E6146"/>
    <w:rsid w:val="003E6A36"/>
    <w:rsid w:val="003E77EA"/>
    <w:rsid w:val="003E7FB3"/>
    <w:rsid w:val="003F0B35"/>
    <w:rsid w:val="003F10C2"/>
    <w:rsid w:val="003F12BE"/>
    <w:rsid w:val="003F1970"/>
    <w:rsid w:val="003F1C10"/>
    <w:rsid w:val="003F1C35"/>
    <w:rsid w:val="003F267F"/>
    <w:rsid w:val="003F2CEC"/>
    <w:rsid w:val="003F3230"/>
    <w:rsid w:val="003F32BD"/>
    <w:rsid w:val="003F3784"/>
    <w:rsid w:val="003F3C42"/>
    <w:rsid w:val="003F4119"/>
    <w:rsid w:val="003F4A69"/>
    <w:rsid w:val="003F5031"/>
    <w:rsid w:val="003F63DB"/>
    <w:rsid w:val="003F65C4"/>
    <w:rsid w:val="003F71CC"/>
    <w:rsid w:val="003F7217"/>
    <w:rsid w:val="003F7293"/>
    <w:rsid w:val="003F785C"/>
    <w:rsid w:val="003F7B6F"/>
    <w:rsid w:val="003F7EE2"/>
    <w:rsid w:val="004002F5"/>
    <w:rsid w:val="00400563"/>
    <w:rsid w:val="0040076D"/>
    <w:rsid w:val="004009D5"/>
    <w:rsid w:val="00400BB1"/>
    <w:rsid w:val="004011F3"/>
    <w:rsid w:val="00401204"/>
    <w:rsid w:val="004014E1"/>
    <w:rsid w:val="00401CC7"/>
    <w:rsid w:val="004020BD"/>
    <w:rsid w:val="004023CF"/>
    <w:rsid w:val="00402460"/>
    <w:rsid w:val="00402AC0"/>
    <w:rsid w:val="00403366"/>
    <w:rsid w:val="004038B9"/>
    <w:rsid w:val="00403D49"/>
    <w:rsid w:val="004054F8"/>
    <w:rsid w:val="00406929"/>
    <w:rsid w:val="00406BE7"/>
    <w:rsid w:val="004070F9"/>
    <w:rsid w:val="00407883"/>
    <w:rsid w:val="00407CCD"/>
    <w:rsid w:val="00410AF5"/>
    <w:rsid w:val="00411F58"/>
    <w:rsid w:val="0041228E"/>
    <w:rsid w:val="00412664"/>
    <w:rsid w:val="00412804"/>
    <w:rsid w:val="004135E5"/>
    <w:rsid w:val="00414318"/>
    <w:rsid w:val="0041445E"/>
    <w:rsid w:val="00414B37"/>
    <w:rsid w:val="004155ED"/>
    <w:rsid w:val="00415DB6"/>
    <w:rsid w:val="0041647F"/>
    <w:rsid w:val="00417A0A"/>
    <w:rsid w:val="00417DFA"/>
    <w:rsid w:val="004204A5"/>
    <w:rsid w:val="00420A9F"/>
    <w:rsid w:val="00420C57"/>
    <w:rsid w:val="00420CC8"/>
    <w:rsid w:val="00421424"/>
    <w:rsid w:val="00421A15"/>
    <w:rsid w:val="00423AF6"/>
    <w:rsid w:val="00423E3B"/>
    <w:rsid w:val="00425C3A"/>
    <w:rsid w:val="00426007"/>
    <w:rsid w:val="00426862"/>
    <w:rsid w:val="00426A17"/>
    <w:rsid w:val="00426D3A"/>
    <w:rsid w:val="00427731"/>
    <w:rsid w:val="00427C79"/>
    <w:rsid w:val="00427FF3"/>
    <w:rsid w:val="0043036A"/>
    <w:rsid w:val="00431D88"/>
    <w:rsid w:val="00431F1C"/>
    <w:rsid w:val="004324A0"/>
    <w:rsid w:val="0043333F"/>
    <w:rsid w:val="00433478"/>
    <w:rsid w:val="00433A3A"/>
    <w:rsid w:val="00433D2B"/>
    <w:rsid w:val="004346D2"/>
    <w:rsid w:val="00435ADE"/>
    <w:rsid w:val="00435C10"/>
    <w:rsid w:val="00435FD1"/>
    <w:rsid w:val="00436068"/>
    <w:rsid w:val="00436113"/>
    <w:rsid w:val="00436EEE"/>
    <w:rsid w:val="00437DE8"/>
    <w:rsid w:val="0044037A"/>
    <w:rsid w:val="00440ACC"/>
    <w:rsid w:val="00440DC0"/>
    <w:rsid w:val="0044188A"/>
    <w:rsid w:val="00441925"/>
    <w:rsid w:val="0044231E"/>
    <w:rsid w:val="004423BE"/>
    <w:rsid w:val="004426E1"/>
    <w:rsid w:val="004448E4"/>
    <w:rsid w:val="00444A08"/>
    <w:rsid w:val="00444BBD"/>
    <w:rsid w:val="00444F6E"/>
    <w:rsid w:val="00445547"/>
    <w:rsid w:val="004468FC"/>
    <w:rsid w:val="0044747C"/>
    <w:rsid w:val="004476BD"/>
    <w:rsid w:val="00447FAE"/>
    <w:rsid w:val="004502D2"/>
    <w:rsid w:val="00451709"/>
    <w:rsid w:val="004517D9"/>
    <w:rsid w:val="00452F44"/>
    <w:rsid w:val="00452F88"/>
    <w:rsid w:val="00453747"/>
    <w:rsid w:val="00453858"/>
    <w:rsid w:val="00454154"/>
    <w:rsid w:val="00454518"/>
    <w:rsid w:val="0045454B"/>
    <w:rsid w:val="00454C3C"/>
    <w:rsid w:val="00456A11"/>
    <w:rsid w:val="0045719B"/>
    <w:rsid w:val="0045735D"/>
    <w:rsid w:val="00457810"/>
    <w:rsid w:val="004578B0"/>
    <w:rsid w:val="0046016B"/>
    <w:rsid w:val="004605A1"/>
    <w:rsid w:val="004605E4"/>
    <w:rsid w:val="00460D08"/>
    <w:rsid w:val="00461AC3"/>
    <w:rsid w:val="0046206B"/>
    <w:rsid w:val="004636B4"/>
    <w:rsid w:val="004639B8"/>
    <w:rsid w:val="00464786"/>
    <w:rsid w:val="004647CC"/>
    <w:rsid w:val="00464D58"/>
    <w:rsid w:val="00465CAE"/>
    <w:rsid w:val="00466192"/>
    <w:rsid w:val="004663E2"/>
    <w:rsid w:val="00466430"/>
    <w:rsid w:val="0046670E"/>
    <w:rsid w:val="00466EFE"/>
    <w:rsid w:val="00466FDD"/>
    <w:rsid w:val="00467257"/>
    <w:rsid w:val="00470389"/>
    <w:rsid w:val="0047151B"/>
    <w:rsid w:val="00471D28"/>
    <w:rsid w:val="004727ED"/>
    <w:rsid w:val="00473643"/>
    <w:rsid w:val="00473797"/>
    <w:rsid w:val="004739EC"/>
    <w:rsid w:val="00474368"/>
    <w:rsid w:val="0047478A"/>
    <w:rsid w:val="004748D5"/>
    <w:rsid w:val="004753EF"/>
    <w:rsid w:val="004769AC"/>
    <w:rsid w:val="00476F0A"/>
    <w:rsid w:val="00477AA2"/>
    <w:rsid w:val="00477E33"/>
    <w:rsid w:val="00480132"/>
    <w:rsid w:val="004813EF"/>
    <w:rsid w:val="004821A6"/>
    <w:rsid w:val="0048235C"/>
    <w:rsid w:val="00482D21"/>
    <w:rsid w:val="00482F24"/>
    <w:rsid w:val="00482FF7"/>
    <w:rsid w:val="00483261"/>
    <w:rsid w:val="00483606"/>
    <w:rsid w:val="00483B99"/>
    <w:rsid w:val="004840A1"/>
    <w:rsid w:val="00484E8F"/>
    <w:rsid w:val="00484EF8"/>
    <w:rsid w:val="004854C3"/>
    <w:rsid w:val="004860DB"/>
    <w:rsid w:val="00486238"/>
    <w:rsid w:val="004863D9"/>
    <w:rsid w:val="004869A1"/>
    <w:rsid w:val="00486C9E"/>
    <w:rsid w:val="00486E11"/>
    <w:rsid w:val="00487667"/>
    <w:rsid w:val="00487DF9"/>
    <w:rsid w:val="004902C8"/>
    <w:rsid w:val="00490335"/>
    <w:rsid w:val="00490627"/>
    <w:rsid w:val="00490820"/>
    <w:rsid w:val="00490961"/>
    <w:rsid w:val="00490B61"/>
    <w:rsid w:val="00490F01"/>
    <w:rsid w:val="00491A2F"/>
    <w:rsid w:val="00491B39"/>
    <w:rsid w:val="00491B5A"/>
    <w:rsid w:val="00491B90"/>
    <w:rsid w:val="00491CCC"/>
    <w:rsid w:val="00492EF4"/>
    <w:rsid w:val="0049342D"/>
    <w:rsid w:val="00493C93"/>
    <w:rsid w:val="00493D7F"/>
    <w:rsid w:val="0049453D"/>
    <w:rsid w:val="0049486C"/>
    <w:rsid w:val="00495EC8"/>
    <w:rsid w:val="004967D2"/>
    <w:rsid w:val="00496D0B"/>
    <w:rsid w:val="00497ED6"/>
    <w:rsid w:val="004A01D4"/>
    <w:rsid w:val="004A0C0D"/>
    <w:rsid w:val="004A0F32"/>
    <w:rsid w:val="004A1925"/>
    <w:rsid w:val="004A1B87"/>
    <w:rsid w:val="004A29C4"/>
    <w:rsid w:val="004A2E93"/>
    <w:rsid w:val="004A2F47"/>
    <w:rsid w:val="004A30B3"/>
    <w:rsid w:val="004A32E6"/>
    <w:rsid w:val="004A33DA"/>
    <w:rsid w:val="004A3BD8"/>
    <w:rsid w:val="004A4CE9"/>
    <w:rsid w:val="004A4F12"/>
    <w:rsid w:val="004A50B8"/>
    <w:rsid w:val="004A516A"/>
    <w:rsid w:val="004A5D9F"/>
    <w:rsid w:val="004A5F8B"/>
    <w:rsid w:val="004A646F"/>
    <w:rsid w:val="004A6959"/>
    <w:rsid w:val="004A6CBD"/>
    <w:rsid w:val="004A70C3"/>
    <w:rsid w:val="004A739B"/>
    <w:rsid w:val="004A7711"/>
    <w:rsid w:val="004A78B6"/>
    <w:rsid w:val="004A7AB9"/>
    <w:rsid w:val="004A7C99"/>
    <w:rsid w:val="004B0108"/>
    <w:rsid w:val="004B0D5F"/>
    <w:rsid w:val="004B1F7F"/>
    <w:rsid w:val="004B3650"/>
    <w:rsid w:val="004B3A31"/>
    <w:rsid w:val="004B3DBF"/>
    <w:rsid w:val="004B47C4"/>
    <w:rsid w:val="004B55A0"/>
    <w:rsid w:val="004B5EC2"/>
    <w:rsid w:val="004B5F79"/>
    <w:rsid w:val="004B63A7"/>
    <w:rsid w:val="004B6916"/>
    <w:rsid w:val="004B6974"/>
    <w:rsid w:val="004B6DE9"/>
    <w:rsid w:val="004B6F02"/>
    <w:rsid w:val="004B70FD"/>
    <w:rsid w:val="004B7515"/>
    <w:rsid w:val="004C0707"/>
    <w:rsid w:val="004C0984"/>
    <w:rsid w:val="004C10C6"/>
    <w:rsid w:val="004C1429"/>
    <w:rsid w:val="004C24AD"/>
    <w:rsid w:val="004C27F1"/>
    <w:rsid w:val="004C2941"/>
    <w:rsid w:val="004C3275"/>
    <w:rsid w:val="004C34E0"/>
    <w:rsid w:val="004C3CAB"/>
    <w:rsid w:val="004C4818"/>
    <w:rsid w:val="004C4AA3"/>
    <w:rsid w:val="004C4ED8"/>
    <w:rsid w:val="004C536B"/>
    <w:rsid w:val="004C67BA"/>
    <w:rsid w:val="004C6E3A"/>
    <w:rsid w:val="004C750B"/>
    <w:rsid w:val="004D01B6"/>
    <w:rsid w:val="004D02A2"/>
    <w:rsid w:val="004D0A59"/>
    <w:rsid w:val="004D236A"/>
    <w:rsid w:val="004D2926"/>
    <w:rsid w:val="004D3012"/>
    <w:rsid w:val="004D33C9"/>
    <w:rsid w:val="004D373B"/>
    <w:rsid w:val="004D383E"/>
    <w:rsid w:val="004D3EDF"/>
    <w:rsid w:val="004D3F13"/>
    <w:rsid w:val="004D46D5"/>
    <w:rsid w:val="004D4A3D"/>
    <w:rsid w:val="004D4A93"/>
    <w:rsid w:val="004D504E"/>
    <w:rsid w:val="004D59CD"/>
    <w:rsid w:val="004D630F"/>
    <w:rsid w:val="004D6C1C"/>
    <w:rsid w:val="004E0F00"/>
    <w:rsid w:val="004E2215"/>
    <w:rsid w:val="004E2537"/>
    <w:rsid w:val="004E259D"/>
    <w:rsid w:val="004E31F5"/>
    <w:rsid w:val="004E44B6"/>
    <w:rsid w:val="004E481A"/>
    <w:rsid w:val="004E59F4"/>
    <w:rsid w:val="004E5F12"/>
    <w:rsid w:val="004E6B65"/>
    <w:rsid w:val="004E6B9D"/>
    <w:rsid w:val="004E6F94"/>
    <w:rsid w:val="004E728E"/>
    <w:rsid w:val="004F0297"/>
    <w:rsid w:val="004F02AB"/>
    <w:rsid w:val="004F0C86"/>
    <w:rsid w:val="004F1036"/>
    <w:rsid w:val="004F245B"/>
    <w:rsid w:val="004F2A97"/>
    <w:rsid w:val="004F2F77"/>
    <w:rsid w:val="004F3B91"/>
    <w:rsid w:val="004F4B83"/>
    <w:rsid w:val="004F5F2B"/>
    <w:rsid w:val="004F603E"/>
    <w:rsid w:val="004F65B6"/>
    <w:rsid w:val="004F6904"/>
    <w:rsid w:val="004F6A35"/>
    <w:rsid w:val="004F6A9E"/>
    <w:rsid w:val="004F7313"/>
    <w:rsid w:val="00500255"/>
    <w:rsid w:val="0050055A"/>
    <w:rsid w:val="005014DA"/>
    <w:rsid w:val="00502199"/>
    <w:rsid w:val="00502CA9"/>
    <w:rsid w:val="0050397A"/>
    <w:rsid w:val="00504088"/>
    <w:rsid w:val="00504343"/>
    <w:rsid w:val="005043D2"/>
    <w:rsid w:val="005044B3"/>
    <w:rsid w:val="005044CD"/>
    <w:rsid w:val="0050450E"/>
    <w:rsid w:val="005052E5"/>
    <w:rsid w:val="0050545D"/>
    <w:rsid w:val="00505A34"/>
    <w:rsid w:val="00505DE6"/>
    <w:rsid w:val="00505EC5"/>
    <w:rsid w:val="005062EE"/>
    <w:rsid w:val="00506911"/>
    <w:rsid w:val="005075FF"/>
    <w:rsid w:val="00507668"/>
    <w:rsid w:val="0051023F"/>
    <w:rsid w:val="0051120A"/>
    <w:rsid w:val="00511664"/>
    <w:rsid w:val="00511D6C"/>
    <w:rsid w:val="00511DDB"/>
    <w:rsid w:val="00512613"/>
    <w:rsid w:val="00512E25"/>
    <w:rsid w:val="00513CFD"/>
    <w:rsid w:val="00513DEC"/>
    <w:rsid w:val="00514088"/>
    <w:rsid w:val="00514DEB"/>
    <w:rsid w:val="0051616C"/>
    <w:rsid w:val="005161A2"/>
    <w:rsid w:val="00516293"/>
    <w:rsid w:val="00516507"/>
    <w:rsid w:val="00516B8E"/>
    <w:rsid w:val="00520043"/>
    <w:rsid w:val="0052023A"/>
    <w:rsid w:val="005208ED"/>
    <w:rsid w:val="00520999"/>
    <w:rsid w:val="00520B04"/>
    <w:rsid w:val="00521787"/>
    <w:rsid w:val="00521AE9"/>
    <w:rsid w:val="00521E19"/>
    <w:rsid w:val="00523CE5"/>
    <w:rsid w:val="00523E15"/>
    <w:rsid w:val="00524064"/>
    <w:rsid w:val="00524204"/>
    <w:rsid w:val="00524641"/>
    <w:rsid w:val="005246DC"/>
    <w:rsid w:val="00524B02"/>
    <w:rsid w:val="005259A8"/>
    <w:rsid w:val="00525C57"/>
    <w:rsid w:val="00525CB4"/>
    <w:rsid w:val="0052602E"/>
    <w:rsid w:val="0052669A"/>
    <w:rsid w:val="005267FB"/>
    <w:rsid w:val="00526E02"/>
    <w:rsid w:val="005278FA"/>
    <w:rsid w:val="0053067F"/>
    <w:rsid w:val="00530AA8"/>
    <w:rsid w:val="00531552"/>
    <w:rsid w:val="00531DB9"/>
    <w:rsid w:val="005323D8"/>
    <w:rsid w:val="00532E45"/>
    <w:rsid w:val="005333C6"/>
    <w:rsid w:val="0053386C"/>
    <w:rsid w:val="00533EFF"/>
    <w:rsid w:val="005346E8"/>
    <w:rsid w:val="00535911"/>
    <w:rsid w:val="00535ADB"/>
    <w:rsid w:val="00535CD5"/>
    <w:rsid w:val="00535FE7"/>
    <w:rsid w:val="00536537"/>
    <w:rsid w:val="00536AAE"/>
    <w:rsid w:val="0053777D"/>
    <w:rsid w:val="00537D12"/>
    <w:rsid w:val="00537DF4"/>
    <w:rsid w:val="00537FB1"/>
    <w:rsid w:val="00540126"/>
    <w:rsid w:val="00540AE2"/>
    <w:rsid w:val="00541711"/>
    <w:rsid w:val="005424E5"/>
    <w:rsid w:val="00542622"/>
    <w:rsid w:val="00542858"/>
    <w:rsid w:val="005437F3"/>
    <w:rsid w:val="00543AC2"/>
    <w:rsid w:val="005443FA"/>
    <w:rsid w:val="005448AF"/>
    <w:rsid w:val="005455A7"/>
    <w:rsid w:val="00545A5A"/>
    <w:rsid w:val="005469CF"/>
    <w:rsid w:val="00546CF7"/>
    <w:rsid w:val="005471CE"/>
    <w:rsid w:val="0055069F"/>
    <w:rsid w:val="00551878"/>
    <w:rsid w:val="00551DDB"/>
    <w:rsid w:val="00551F60"/>
    <w:rsid w:val="0055260F"/>
    <w:rsid w:val="00552E05"/>
    <w:rsid w:val="00553648"/>
    <w:rsid w:val="00553AB7"/>
    <w:rsid w:val="00553B67"/>
    <w:rsid w:val="00555082"/>
    <w:rsid w:val="005550B3"/>
    <w:rsid w:val="00555149"/>
    <w:rsid w:val="0055550E"/>
    <w:rsid w:val="005559DD"/>
    <w:rsid w:val="00555E57"/>
    <w:rsid w:val="00556E75"/>
    <w:rsid w:val="00556E8A"/>
    <w:rsid w:val="005572FE"/>
    <w:rsid w:val="00557CB3"/>
    <w:rsid w:val="005610FF"/>
    <w:rsid w:val="00561EDC"/>
    <w:rsid w:val="005624E3"/>
    <w:rsid w:val="005645C5"/>
    <w:rsid w:val="005648EB"/>
    <w:rsid w:val="00564BE8"/>
    <w:rsid w:val="00566636"/>
    <w:rsid w:val="00566AA1"/>
    <w:rsid w:val="00567727"/>
    <w:rsid w:val="00567A44"/>
    <w:rsid w:val="00567F0D"/>
    <w:rsid w:val="0057105E"/>
    <w:rsid w:val="00571F81"/>
    <w:rsid w:val="005720FB"/>
    <w:rsid w:val="0057273F"/>
    <w:rsid w:val="0057283D"/>
    <w:rsid w:val="00572A97"/>
    <w:rsid w:val="00573798"/>
    <w:rsid w:val="0057461C"/>
    <w:rsid w:val="005752BF"/>
    <w:rsid w:val="00575396"/>
    <w:rsid w:val="0057580D"/>
    <w:rsid w:val="005758C3"/>
    <w:rsid w:val="00576108"/>
    <w:rsid w:val="00576AE3"/>
    <w:rsid w:val="00576EC5"/>
    <w:rsid w:val="00577161"/>
    <w:rsid w:val="00577A8A"/>
    <w:rsid w:val="00577BF3"/>
    <w:rsid w:val="00577EBF"/>
    <w:rsid w:val="00580660"/>
    <w:rsid w:val="00581137"/>
    <w:rsid w:val="00581993"/>
    <w:rsid w:val="00581DBE"/>
    <w:rsid w:val="00581E82"/>
    <w:rsid w:val="00582903"/>
    <w:rsid w:val="00582A62"/>
    <w:rsid w:val="00583E7C"/>
    <w:rsid w:val="00583F97"/>
    <w:rsid w:val="00584569"/>
    <w:rsid w:val="005853AA"/>
    <w:rsid w:val="00585DF4"/>
    <w:rsid w:val="0058631D"/>
    <w:rsid w:val="00586899"/>
    <w:rsid w:val="0058744B"/>
    <w:rsid w:val="005879AF"/>
    <w:rsid w:val="00587C15"/>
    <w:rsid w:val="00587E6D"/>
    <w:rsid w:val="0059032B"/>
    <w:rsid w:val="005915B2"/>
    <w:rsid w:val="005917F3"/>
    <w:rsid w:val="00591C01"/>
    <w:rsid w:val="00591E6F"/>
    <w:rsid w:val="00592602"/>
    <w:rsid w:val="00592687"/>
    <w:rsid w:val="00593E06"/>
    <w:rsid w:val="00594075"/>
    <w:rsid w:val="00594114"/>
    <w:rsid w:val="005944A5"/>
    <w:rsid w:val="00595307"/>
    <w:rsid w:val="005963CD"/>
    <w:rsid w:val="005968C8"/>
    <w:rsid w:val="005973EF"/>
    <w:rsid w:val="00597EB8"/>
    <w:rsid w:val="005A0FE6"/>
    <w:rsid w:val="005A115A"/>
    <w:rsid w:val="005A1CD7"/>
    <w:rsid w:val="005A3286"/>
    <w:rsid w:val="005A338C"/>
    <w:rsid w:val="005A3E60"/>
    <w:rsid w:val="005A41E5"/>
    <w:rsid w:val="005A47B0"/>
    <w:rsid w:val="005A50BB"/>
    <w:rsid w:val="005A5408"/>
    <w:rsid w:val="005A5948"/>
    <w:rsid w:val="005A64ED"/>
    <w:rsid w:val="005A6B34"/>
    <w:rsid w:val="005A6C67"/>
    <w:rsid w:val="005A6E85"/>
    <w:rsid w:val="005A704B"/>
    <w:rsid w:val="005B0059"/>
    <w:rsid w:val="005B02BF"/>
    <w:rsid w:val="005B0941"/>
    <w:rsid w:val="005B0BAA"/>
    <w:rsid w:val="005B0D32"/>
    <w:rsid w:val="005B2340"/>
    <w:rsid w:val="005B297A"/>
    <w:rsid w:val="005B2C6F"/>
    <w:rsid w:val="005B308B"/>
    <w:rsid w:val="005B4E7D"/>
    <w:rsid w:val="005B4ECA"/>
    <w:rsid w:val="005B583A"/>
    <w:rsid w:val="005B657D"/>
    <w:rsid w:val="005B65EE"/>
    <w:rsid w:val="005C0A81"/>
    <w:rsid w:val="005C10A5"/>
    <w:rsid w:val="005C1150"/>
    <w:rsid w:val="005C1B76"/>
    <w:rsid w:val="005C200C"/>
    <w:rsid w:val="005C217D"/>
    <w:rsid w:val="005C27F7"/>
    <w:rsid w:val="005C2FEF"/>
    <w:rsid w:val="005C3552"/>
    <w:rsid w:val="005C43CC"/>
    <w:rsid w:val="005C4534"/>
    <w:rsid w:val="005C4B1B"/>
    <w:rsid w:val="005C4C6A"/>
    <w:rsid w:val="005C4DF6"/>
    <w:rsid w:val="005C4E40"/>
    <w:rsid w:val="005C5215"/>
    <w:rsid w:val="005C56CA"/>
    <w:rsid w:val="005C5E82"/>
    <w:rsid w:val="005C627C"/>
    <w:rsid w:val="005C6794"/>
    <w:rsid w:val="005C7E6F"/>
    <w:rsid w:val="005C7F3C"/>
    <w:rsid w:val="005D06E0"/>
    <w:rsid w:val="005D0D2E"/>
    <w:rsid w:val="005D0F38"/>
    <w:rsid w:val="005D10F3"/>
    <w:rsid w:val="005D1E3E"/>
    <w:rsid w:val="005D402C"/>
    <w:rsid w:val="005D4868"/>
    <w:rsid w:val="005D695A"/>
    <w:rsid w:val="005D78B6"/>
    <w:rsid w:val="005D79E9"/>
    <w:rsid w:val="005E098C"/>
    <w:rsid w:val="005E14CF"/>
    <w:rsid w:val="005E167D"/>
    <w:rsid w:val="005E1BAD"/>
    <w:rsid w:val="005E202C"/>
    <w:rsid w:val="005E22C2"/>
    <w:rsid w:val="005E2581"/>
    <w:rsid w:val="005E272A"/>
    <w:rsid w:val="005E27ED"/>
    <w:rsid w:val="005E3785"/>
    <w:rsid w:val="005E3BA1"/>
    <w:rsid w:val="005E5175"/>
    <w:rsid w:val="005E5692"/>
    <w:rsid w:val="005E636B"/>
    <w:rsid w:val="005E63AF"/>
    <w:rsid w:val="005E73D7"/>
    <w:rsid w:val="005E7783"/>
    <w:rsid w:val="005F095F"/>
    <w:rsid w:val="005F14CC"/>
    <w:rsid w:val="005F1D2E"/>
    <w:rsid w:val="005F2AC9"/>
    <w:rsid w:val="005F3494"/>
    <w:rsid w:val="005F3A90"/>
    <w:rsid w:val="005F3B56"/>
    <w:rsid w:val="005F3FAC"/>
    <w:rsid w:val="005F44FD"/>
    <w:rsid w:val="005F4AD0"/>
    <w:rsid w:val="005F5BEF"/>
    <w:rsid w:val="005F60A5"/>
    <w:rsid w:val="005F6ABD"/>
    <w:rsid w:val="005F6ABF"/>
    <w:rsid w:val="00600813"/>
    <w:rsid w:val="00600A25"/>
    <w:rsid w:val="006012FD"/>
    <w:rsid w:val="00602DA7"/>
    <w:rsid w:val="00603172"/>
    <w:rsid w:val="006043A8"/>
    <w:rsid w:val="0060618F"/>
    <w:rsid w:val="00606200"/>
    <w:rsid w:val="0060637E"/>
    <w:rsid w:val="00607302"/>
    <w:rsid w:val="0060775F"/>
    <w:rsid w:val="00607E63"/>
    <w:rsid w:val="006102F3"/>
    <w:rsid w:val="00610CFC"/>
    <w:rsid w:val="00610D25"/>
    <w:rsid w:val="006112E0"/>
    <w:rsid w:val="00611AB3"/>
    <w:rsid w:val="00611B66"/>
    <w:rsid w:val="006125AF"/>
    <w:rsid w:val="006128C1"/>
    <w:rsid w:val="00612EBA"/>
    <w:rsid w:val="006130DD"/>
    <w:rsid w:val="006133E2"/>
    <w:rsid w:val="006137BD"/>
    <w:rsid w:val="00615592"/>
    <w:rsid w:val="0061709B"/>
    <w:rsid w:val="006178B8"/>
    <w:rsid w:val="006203BF"/>
    <w:rsid w:val="00620FA3"/>
    <w:rsid w:val="006210F9"/>
    <w:rsid w:val="00621637"/>
    <w:rsid w:val="00621BB7"/>
    <w:rsid w:val="00621D95"/>
    <w:rsid w:val="00621DDF"/>
    <w:rsid w:val="00622170"/>
    <w:rsid w:val="00622B12"/>
    <w:rsid w:val="006233FE"/>
    <w:rsid w:val="006234AF"/>
    <w:rsid w:val="00623519"/>
    <w:rsid w:val="00623F41"/>
    <w:rsid w:val="00624683"/>
    <w:rsid w:val="006248A7"/>
    <w:rsid w:val="006251CB"/>
    <w:rsid w:val="00625587"/>
    <w:rsid w:val="00625EB2"/>
    <w:rsid w:val="006267BB"/>
    <w:rsid w:val="006267FA"/>
    <w:rsid w:val="006276EC"/>
    <w:rsid w:val="00630244"/>
    <w:rsid w:val="006302BC"/>
    <w:rsid w:val="00630C27"/>
    <w:rsid w:val="00631CA8"/>
    <w:rsid w:val="00631E29"/>
    <w:rsid w:val="0063243E"/>
    <w:rsid w:val="00632F47"/>
    <w:rsid w:val="00634D3C"/>
    <w:rsid w:val="00635369"/>
    <w:rsid w:val="00635478"/>
    <w:rsid w:val="0063651E"/>
    <w:rsid w:val="0063669A"/>
    <w:rsid w:val="0063684A"/>
    <w:rsid w:val="00636E78"/>
    <w:rsid w:val="00636F12"/>
    <w:rsid w:val="006371CF"/>
    <w:rsid w:val="0063791D"/>
    <w:rsid w:val="0064005D"/>
    <w:rsid w:val="006402AC"/>
    <w:rsid w:val="00640318"/>
    <w:rsid w:val="00640459"/>
    <w:rsid w:val="0064070C"/>
    <w:rsid w:val="00640CB5"/>
    <w:rsid w:val="006410B0"/>
    <w:rsid w:val="00641669"/>
    <w:rsid w:val="0064255A"/>
    <w:rsid w:val="00642CB2"/>
    <w:rsid w:val="00644CE7"/>
    <w:rsid w:val="0064577E"/>
    <w:rsid w:val="0064634F"/>
    <w:rsid w:val="0064659A"/>
    <w:rsid w:val="00647409"/>
    <w:rsid w:val="00647650"/>
    <w:rsid w:val="006501B4"/>
    <w:rsid w:val="00650F43"/>
    <w:rsid w:val="006511A9"/>
    <w:rsid w:val="00651B04"/>
    <w:rsid w:val="0065217A"/>
    <w:rsid w:val="00652F24"/>
    <w:rsid w:val="00653354"/>
    <w:rsid w:val="00653420"/>
    <w:rsid w:val="0065395E"/>
    <w:rsid w:val="00653C6C"/>
    <w:rsid w:val="00654D20"/>
    <w:rsid w:val="006550B0"/>
    <w:rsid w:val="00655787"/>
    <w:rsid w:val="00655921"/>
    <w:rsid w:val="00655E53"/>
    <w:rsid w:val="00656611"/>
    <w:rsid w:val="00657445"/>
    <w:rsid w:val="0065792C"/>
    <w:rsid w:val="00660327"/>
    <w:rsid w:val="00660FD8"/>
    <w:rsid w:val="00661DF8"/>
    <w:rsid w:val="00662361"/>
    <w:rsid w:val="00662E9A"/>
    <w:rsid w:val="0066360D"/>
    <w:rsid w:val="00663959"/>
    <w:rsid w:val="00663E51"/>
    <w:rsid w:val="00664178"/>
    <w:rsid w:val="006642BE"/>
    <w:rsid w:val="006644C0"/>
    <w:rsid w:val="006646F1"/>
    <w:rsid w:val="00665437"/>
    <w:rsid w:val="00666768"/>
    <w:rsid w:val="0066721E"/>
    <w:rsid w:val="00667916"/>
    <w:rsid w:val="00667F0A"/>
    <w:rsid w:val="0067010F"/>
    <w:rsid w:val="006703CD"/>
    <w:rsid w:val="00670705"/>
    <w:rsid w:val="00671B79"/>
    <w:rsid w:val="00672B02"/>
    <w:rsid w:val="006740F3"/>
    <w:rsid w:val="006761C9"/>
    <w:rsid w:val="006762BB"/>
    <w:rsid w:val="0067636D"/>
    <w:rsid w:val="00676C8A"/>
    <w:rsid w:val="00677082"/>
    <w:rsid w:val="006775B9"/>
    <w:rsid w:val="00677FAC"/>
    <w:rsid w:val="00680C09"/>
    <w:rsid w:val="006812E9"/>
    <w:rsid w:val="00681E86"/>
    <w:rsid w:val="006828E8"/>
    <w:rsid w:val="00682DBA"/>
    <w:rsid w:val="00683219"/>
    <w:rsid w:val="00683BF6"/>
    <w:rsid w:val="0068405D"/>
    <w:rsid w:val="006840E5"/>
    <w:rsid w:val="0068530F"/>
    <w:rsid w:val="00685A28"/>
    <w:rsid w:val="00685B8E"/>
    <w:rsid w:val="00685CE3"/>
    <w:rsid w:val="006866AD"/>
    <w:rsid w:val="00687A2A"/>
    <w:rsid w:val="00687A66"/>
    <w:rsid w:val="006907FE"/>
    <w:rsid w:val="0069166E"/>
    <w:rsid w:val="00691EBF"/>
    <w:rsid w:val="00692CA5"/>
    <w:rsid w:val="00692F30"/>
    <w:rsid w:val="00693171"/>
    <w:rsid w:val="006943E0"/>
    <w:rsid w:val="006947AC"/>
    <w:rsid w:val="006956E6"/>
    <w:rsid w:val="00695808"/>
    <w:rsid w:val="006965A3"/>
    <w:rsid w:val="00697224"/>
    <w:rsid w:val="006972E1"/>
    <w:rsid w:val="0069758D"/>
    <w:rsid w:val="00697ABC"/>
    <w:rsid w:val="00697D32"/>
    <w:rsid w:val="006A0CC6"/>
    <w:rsid w:val="006A1E4D"/>
    <w:rsid w:val="006A2A51"/>
    <w:rsid w:val="006A392E"/>
    <w:rsid w:val="006A56BB"/>
    <w:rsid w:val="006A5C2B"/>
    <w:rsid w:val="006A6300"/>
    <w:rsid w:val="006A6885"/>
    <w:rsid w:val="006A70FF"/>
    <w:rsid w:val="006A755E"/>
    <w:rsid w:val="006A7BF3"/>
    <w:rsid w:val="006B0050"/>
    <w:rsid w:val="006B03B3"/>
    <w:rsid w:val="006B1060"/>
    <w:rsid w:val="006B12D7"/>
    <w:rsid w:val="006B15A5"/>
    <w:rsid w:val="006B177F"/>
    <w:rsid w:val="006B1A68"/>
    <w:rsid w:val="006B1F98"/>
    <w:rsid w:val="006B2696"/>
    <w:rsid w:val="006B2A28"/>
    <w:rsid w:val="006B2B7C"/>
    <w:rsid w:val="006B435D"/>
    <w:rsid w:val="006B44E4"/>
    <w:rsid w:val="006B469D"/>
    <w:rsid w:val="006B4AA4"/>
    <w:rsid w:val="006B591A"/>
    <w:rsid w:val="006B5C6E"/>
    <w:rsid w:val="006B5D9F"/>
    <w:rsid w:val="006B6BCB"/>
    <w:rsid w:val="006B7319"/>
    <w:rsid w:val="006B794C"/>
    <w:rsid w:val="006C045F"/>
    <w:rsid w:val="006C0F1A"/>
    <w:rsid w:val="006C1226"/>
    <w:rsid w:val="006C13EA"/>
    <w:rsid w:val="006C1416"/>
    <w:rsid w:val="006C1A83"/>
    <w:rsid w:val="006C1B0D"/>
    <w:rsid w:val="006C24C2"/>
    <w:rsid w:val="006C2663"/>
    <w:rsid w:val="006C26A7"/>
    <w:rsid w:val="006C2CBC"/>
    <w:rsid w:val="006C310E"/>
    <w:rsid w:val="006C5036"/>
    <w:rsid w:val="006C53AA"/>
    <w:rsid w:val="006C5DDA"/>
    <w:rsid w:val="006C613A"/>
    <w:rsid w:val="006C6FB1"/>
    <w:rsid w:val="006C79DF"/>
    <w:rsid w:val="006C7FCA"/>
    <w:rsid w:val="006D011E"/>
    <w:rsid w:val="006D08E0"/>
    <w:rsid w:val="006D09C0"/>
    <w:rsid w:val="006D0B93"/>
    <w:rsid w:val="006D1099"/>
    <w:rsid w:val="006D1942"/>
    <w:rsid w:val="006D2FA2"/>
    <w:rsid w:val="006D307B"/>
    <w:rsid w:val="006D339C"/>
    <w:rsid w:val="006D4374"/>
    <w:rsid w:val="006D44E0"/>
    <w:rsid w:val="006D455E"/>
    <w:rsid w:val="006D5175"/>
    <w:rsid w:val="006D51B5"/>
    <w:rsid w:val="006D562D"/>
    <w:rsid w:val="006D5C35"/>
    <w:rsid w:val="006D6212"/>
    <w:rsid w:val="006D6B53"/>
    <w:rsid w:val="006D7476"/>
    <w:rsid w:val="006E015B"/>
    <w:rsid w:val="006E036C"/>
    <w:rsid w:val="006E0501"/>
    <w:rsid w:val="006E07F1"/>
    <w:rsid w:val="006E0C65"/>
    <w:rsid w:val="006E138B"/>
    <w:rsid w:val="006E1508"/>
    <w:rsid w:val="006E262D"/>
    <w:rsid w:val="006E3BF9"/>
    <w:rsid w:val="006E4231"/>
    <w:rsid w:val="006E4352"/>
    <w:rsid w:val="006E4AFD"/>
    <w:rsid w:val="006E5B47"/>
    <w:rsid w:val="006E5E53"/>
    <w:rsid w:val="006E5F2E"/>
    <w:rsid w:val="006E6453"/>
    <w:rsid w:val="006E67A8"/>
    <w:rsid w:val="006E6DAB"/>
    <w:rsid w:val="006E6FAB"/>
    <w:rsid w:val="006E7D2C"/>
    <w:rsid w:val="006F003E"/>
    <w:rsid w:val="006F0466"/>
    <w:rsid w:val="006F12BA"/>
    <w:rsid w:val="006F24AD"/>
    <w:rsid w:val="006F2AE4"/>
    <w:rsid w:val="006F3107"/>
    <w:rsid w:val="006F32FE"/>
    <w:rsid w:val="006F3F00"/>
    <w:rsid w:val="006F4BAD"/>
    <w:rsid w:val="006F5C94"/>
    <w:rsid w:val="006F629B"/>
    <w:rsid w:val="006F6614"/>
    <w:rsid w:val="006F718C"/>
    <w:rsid w:val="006F777C"/>
    <w:rsid w:val="006F7852"/>
    <w:rsid w:val="00700087"/>
    <w:rsid w:val="0070016E"/>
    <w:rsid w:val="00700C7E"/>
    <w:rsid w:val="00700DB4"/>
    <w:rsid w:val="00701171"/>
    <w:rsid w:val="007011E9"/>
    <w:rsid w:val="00701831"/>
    <w:rsid w:val="007018F9"/>
    <w:rsid w:val="0070198C"/>
    <w:rsid w:val="007022C0"/>
    <w:rsid w:val="00704B45"/>
    <w:rsid w:val="00704F30"/>
    <w:rsid w:val="00705281"/>
    <w:rsid w:val="00705ED7"/>
    <w:rsid w:val="00705F07"/>
    <w:rsid w:val="00705FC4"/>
    <w:rsid w:val="007066D0"/>
    <w:rsid w:val="00706A13"/>
    <w:rsid w:val="00706C5C"/>
    <w:rsid w:val="00706D25"/>
    <w:rsid w:val="00707180"/>
    <w:rsid w:val="00707293"/>
    <w:rsid w:val="0070747B"/>
    <w:rsid w:val="007076B5"/>
    <w:rsid w:val="007079EF"/>
    <w:rsid w:val="00710297"/>
    <w:rsid w:val="00710616"/>
    <w:rsid w:val="00710C6B"/>
    <w:rsid w:val="00710CD6"/>
    <w:rsid w:val="007116CF"/>
    <w:rsid w:val="0071189A"/>
    <w:rsid w:val="00711A18"/>
    <w:rsid w:val="00711D85"/>
    <w:rsid w:val="00712D00"/>
    <w:rsid w:val="0071358C"/>
    <w:rsid w:val="00713836"/>
    <w:rsid w:val="00715883"/>
    <w:rsid w:val="00716503"/>
    <w:rsid w:val="00716C06"/>
    <w:rsid w:val="00716D19"/>
    <w:rsid w:val="007173CC"/>
    <w:rsid w:val="00717BE7"/>
    <w:rsid w:val="00717D29"/>
    <w:rsid w:val="00717F55"/>
    <w:rsid w:val="00720473"/>
    <w:rsid w:val="0072144D"/>
    <w:rsid w:val="00721513"/>
    <w:rsid w:val="00721555"/>
    <w:rsid w:val="007217BC"/>
    <w:rsid w:val="007217DF"/>
    <w:rsid w:val="00721E30"/>
    <w:rsid w:val="007220D2"/>
    <w:rsid w:val="00722867"/>
    <w:rsid w:val="00722B00"/>
    <w:rsid w:val="00722DB9"/>
    <w:rsid w:val="00723206"/>
    <w:rsid w:val="007232B0"/>
    <w:rsid w:val="007236F5"/>
    <w:rsid w:val="007241CF"/>
    <w:rsid w:val="0072497D"/>
    <w:rsid w:val="0072520E"/>
    <w:rsid w:val="0072566E"/>
    <w:rsid w:val="00725C75"/>
    <w:rsid w:val="00725C7B"/>
    <w:rsid w:val="00726117"/>
    <w:rsid w:val="00726118"/>
    <w:rsid w:val="007277DD"/>
    <w:rsid w:val="00727E66"/>
    <w:rsid w:val="007306BA"/>
    <w:rsid w:val="00731858"/>
    <w:rsid w:val="00731B16"/>
    <w:rsid w:val="00732A28"/>
    <w:rsid w:val="00733152"/>
    <w:rsid w:val="00733721"/>
    <w:rsid w:val="0073380F"/>
    <w:rsid w:val="00734419"/>
    <w:rsid w:val="007344D4"/>
    <w:rsid w:val="00734522"/>
    <w:rsid w:val="007345AC"/>
    <w:rsid w:val="00734F17"/>
    <w:rsid w:val="00735361"/>
    <w:rsid w:val="00735556"/>
    <w:rsid w:val="00735805"/>
    <w:rsid w:val="007367C3"/>
    <w:rsid w:val="007368E6"/>
    <w:rsid w:val="00736BDB"/>
    <w:rsid w:val="00736BEC"/>
    <w:rsid w:val="00736DFB"/>
    <w:rsid w:val="00737AA6"/>
    <w:rsid w:val="0074034E"/>
    <w:rsid w:val="00740B31"/>
    <w:rsid w:val="0074135D"/>
    <w:rsid w:val="00741412"/>
    <w:rsid w:val="007415CA"/>
    <w:rsid w:val="00741AC9"/>
    <w:rsid w:val="00741F4C"/>
    <w:rsid w:val="00742B70"/>
    <w:rsid w:val="00742DBC"/>
    <w:rsid w:val="00743C83"/>
    <w:rsid w:val="0074450F"/>
    <w:rsid w:val="0074470A"/>
    <w:rsid w:val="00745D4A"/>
    <w:rsid w:val="0074693B"/>
    <w:rsid w:val="0074700C"/>
    <w:rsid w:val="00752A07"/>
    <w:rsid w:val="00753027"/>
    <w:rsid w:val="007535F9"/>
    <w:rsid w:val="00755246"/>
    <w:rsid w:val="0075555E"/>
    <w:rsid w:val="007560E1"/>
    <w:rsid w:val="00756E01"/>
    <w:rsid w:val="007574C9"/>
    <w:rsid w:val="00760595"/>
    <w:rsid w:val="00760C1A"/>
    <w:rsid w:val="00760CCB"/>
    <w:rsid w:val="00762FB2"/>
    <w:rsid w:val="00763130"/>
    <w:rsid w:val="00763E64"/>
    <w:rsid w:val="007640FC"/>
    <w:rsid w:val="00764168"/>
    <w:rsid w:val="00764667"/>
    <w:rsid w:val="00765511"/>
    <w:rsid w:val="00765742"/>
    <w:rsid w:val="00765799"/>
    <w:rsid w:val="00765E44"/>
    <w:rsid w:val="00765F4D"/>
    <w:rsid w:val="00765FC4"/>
    <w:rsid w:val="00766041"/>
    <w:rsid w:val="007664D8"/>
    <w:rsid w:val="00766BEF"/>
    <w:rsid w:val="007675AC"/>
    <w:rsid w:val="007677F0"/>
    <w:rsid w:val="00767922"/>
    <w:rsid w:val="00771173"/>
    <w:rsid w:val="007712C1"/>
    <w:rsid w:val="007718A1"/>
    <w:rsid w:val="00772C8A"/>
    <w:rsid w:val="00773B34"/>
    <w:rsid w:val="00773C7A"/>
    <w:rsid w:val="00773CCA"/>
    <w:rsid w:val="007743D6"/>
    <w:rsid w:val="00774A42"/>
    <w:rsid w:val="00774E91"/>
    <w:rsid w:val="00774FF0"/>
    <w:rsid w:val="00775407"/>
    <w:rsid w:val="007755AC"/>
    <w:rsid w:val="00775CBE"/>
    <w:rsid w:val="00776F5E"/>
    <w:rsid w:val="00777ADF"/>
    <w:rsid w:val="00777B81"/>
    <w:rsid w:val="00780753"/>
    <w:rsid w:val="007811B4"/>
    <w:rsid w:val="007820A1"/>
    <w:rsid w:val="00782298"/>
    <w:rsid w:val="007822C6"/>
    <w:rsid w:val="0078340A"/>
    <w:rsid w:val="007834A3"/>
    <w:rsid w:val="00783B24"/>
    <w:rsid w:val="00783C77"/>
    <w:rsid w:val="00784C66"/>
    <w:rsid w:val="00784C8A"/>
    <w:rsid w:val="0078534E"/>
    <w:rsid w:val="0078629F"/>
    <w:rsid w:val="00786FCC"/>
    <w:rsid w:val="00787689"/>
    <w:rsid w:val="00790708"/>
    <w:rsid w:val="00790818"/>
    <w:rsid w:val="007908A5"/>
    <w:rsid w:val="00790A39"/>
    <w:rsid w:val="00790CFA"/>
    <w:rsid w:val="0079154E"/>
    <w:rsid w:val="00791CFB"/>
    <w:rsid w:val="00792F43"/>
    <w:rsid w:val="0079353A"/>
    <w:rsid w:val="00793D07"/>
    <w:rsid w:val="00793F2E"/>
    <w:rsid w:val="00794907"/>
    <w:rsid w:val="00794E9D"/>
    <w:rsid w:val="00795C41"/>
    <w:rsid w:val="00796440"/>
    <w:rsid w:val="007967FF"/>
    <w:rsid w:val="00796DB1"/>
    <w:rsid w:val="007970F8"/>
    <w:rsid w:val="007978DF"/>
    <w:rsid w:val="007A00B5"/>
    <w:rsid w:val="007A11C8"/>
    <w:rsid w:val="007A171F"/>
    <w:rsid w:val="007A17AB"/>
    <w:rsid w:val="007A19AF"/>
    <w:rsid w:val="007A1D7C"/>
    <w:rsid w:val="007A220C"/>
    <w:rsid w:val="007A2B3E"/>
    <w:rsid w:val="007A33A5"/>
    <w:rsid w:val="007A395F"/>
    <w:rsid w:val="007A41AB"/>
    <w:rsid w:val="007A4A20"/>
    <w:rsid w:val="007A4E30"/>
    <w:rsid w:val="007A4E80"/>
    <w:rsid w:val="007A581A"/>
    <w:rsid w:val="007A63C1"/>
    <w:rsid w:val="007A65D4"/>
    <w:rsid w:val="007A66B8"/>
    <w:rsid w:val="007A754A"/>
    <w:rsid w:val="007A78E0"/>
    <w:rsid w:val="007B05E9"/>
    <w:rsid w:val="007B077D"/>
    <w:rsid w:val="007B1152"/>
    <w:rsid w:val="007B120C"/>
    <w:rsid w:val="007B1B91"/>
    <w:rsid w:val="007B1CB9"/>
    <w:rsid w:val="007B30F0"/>
    <w:rsid w:val="007B3328"/>
    <w:rsid w:val="007B33DA"/>
    <w:rsid w:val="007B34C1"/>
    <w:rsid w:val="007B3CF6"/>
    <w:rsid w:val="007B4A65"/>
    <w:rsid w:val="007B4AE7"/>
    <w:rsid w:val="007B5769"/>
    <w:rsid w:val="007B5D06"/>
    <w:rsid w:val="007B61D1"/>
    <w:rsid w:val="007B63A2"/>
    <w:rsid w:val="007B6731"/>
    <w:rsid w:val="007B683C"/>
    <w:rsid w:val="007B7174"/>
    <w:rsid w:val="007B7563"/>
    <w:rsid w:val="007B770D"/>
    <w:rsid w:val="007B7BD5"/>
    <w:rsid w:val="007B7CF0"/>
    <w:rsid w:val="007C1524"/>
    <w:rsid w:val="007C18B8"/>
    <w:rsid w:val="007C19B7"/>
    <w:rsid w:val="007C2177"/>
    <w:rsid w:val="007C2C7B"/>
    <w:rsid w:val="007C4863"/>
    <w:rsid w:val="007C64D7"/>
    <w:rsid w:val="007C6536"/>
    <w:rsid w:val="007C661B"/>
    <w:rsid w:val="007C669A"/>
    <w:rsid w:val="007C6A8F"/>
    <w:rsid w:val="007C705A"/>
    <w:rsid w:val="007C7066"/>
    <w:rsid w:val="007C718E"/>
    <w:rsid w:val="007C720F"/>
    <w:rsid w:val="007C7A03"/>
    <w:rsid w:val="007C7D7B"/>
    <w:rsid w:val="007D1F0C"/>
    <w:rsid w:val="007D3743"/>
    <w:rsid w:val="007D40EB"/>
    <w:rsid w:val="007D460E"/>
    <w:rsid w:val="007D46A5"/>
    <w:rsid w:val="007D4CE4"/>
    <w:rsid w:val="007D502F"/>
    <w:rsid w:val="007D519A"/>
    <w:rsid w:val="007D519C"/>
    <w:rsid w:val="007D5DE7"/>
    <w:rsid w:val="007D6705"/>
    <w:rsid w:val="007D75D7"/>
    <w:rsid w:val="007D7AE9"/>
    <w:rsid w:val="007D7BCF"/>
    <w:rsid w:val="007E05C5"/>
    <w:rsid w:val="007E0D5A"/>
    <w:rsid w:val="007E14CD"/>
    <w:rsid w:val="007E2C37"/>
    <w:rsid w:val="007E4D59"/>
    <w:rsid w:val="007E6DF8"/>
    <w:rsid w:val="007E7696"/>
    <w:rsid w:val="007E7C3B"/>
    <w:rsid w:val="007F1A0E"/>
    <w:rsid w:val="007F1AFE"/>
    <w:rsid w:val="007F1B2B"/>
    <w:rsid w:val="007F2DB6"/>
    <w:rsid w:val="007F310F"/>
    <w:rsid w:val="007F3783"/>
    <w:rsid w:val="007F3875"/>
    <w:rsid w:val="007F3C44"/>
    <w:rsid w:val="007F5064"/>
    <w:rsid w:val="007F5135"/>
    <w:rsid w:val="007F5F6F"/>
    <w:rsid w:val="007F61AB"/>
    <w:rsid w:val="007F7002"/>
    <w:rsid w:val="007F7164"/>
    <w:rsid w:val="007F7684"/>
    <w:rsid w:val="007F7859"/>
    <w:rsid w:val="007F7ED3"/>
    <w:rsid w:val="00800EF2"/>
    <w:rsid w:val="00801118"/>
    <w:rsid w:val="008013BF"/>
    <w:rsid w:val="0080270E"/>
    <w:rsid w:val="008036DE"/>
    <w:rsid w:val="00803D49"/>
    <w:rsid w:val="008040FF"/>
    <w:rsid w:val="008045E2"/>
    <w:rsid w:val="00804DAE"/>
    <w:rsid w:val="00805398"/>
    <w:rsid w:val="008055DD"/>
    <w:rsid w:val="00805E58"/>
    <w:rsid w:val="00805FE2"/>
    <w:rsid w:val="00806299"/>
    <w:rsid w:val="00806630"/>
    <w:rsid w:val="00806F68"/>
    <w:rsid w:val="008101E1"/>
    <w:rsid w:val="00810343"/>
    <w:rsid w:val="00811218"/>
    <w:rsid w:val="0081130B"/>
    <w:rsid w:val="0081176F"/>
    <w:rsid w:val="0081182A"/>
    <w:rsid w:val="00811BF2"/>
    <w:rsid w:val="00812743"/>
    <w:rsid w:val="0081279E"/>
    <w:rsid w:val="008131CD"/>
    <w:rsid w:val="008132DD"/>
    <w:rsid w:val="00813329"/>
    <w:rsid w:val="008138EA"/>
    <w:rsid w:val="00814C46"/>
    <w:rsid w:val="00814FBE"/>
    <w:rsid w:val="00815601"/>
    <w:rsid w:val="008164EE"/>
    <w:rsid w:val="00816646"/>
    <w:rsid w:val="00816853"/>
    <w:rsid w:val="00817540"/>
    <w:rsid w:val="00817B00"/>
    <w:rsid w:val="00820184"/>
    <w:rsid w:val="00820780"/>
    <w:rsid w:val="0082125B"/>
    <w:rsid w:val="00822CF1"/>
    <w:rsid w:val="00823B35"/>
    <w:rsid w:val="008243A2"/>
    <w:rsid w:val="008244FA"/>
    <w:rsid w:val="00824504"/>
    <w:rsid w:val="00824567"/>
    <w:rsid w:val="00824CE7"/>
    <w:rsid w:val="00824DF4"/>
    <w:rsid w:val="008257F4"/>
    <w:rsid w:val="0082641F"/>
    <w:rsid w:val="00826AF1"/>
    <w:rsid w:val="00826B1C"/>
    <w:rsid w:val="008275D3"/>
    <w:rsid w:val="00827A0C"/>
    <w:rsid w:val="008313DD"/>
    <w:rsid w:val="00831673"/>
    <w:rsid w:val="00831C31"/>
    <w:rsid w:val="00832209"/>
    <w:rsid w:val="00833016"/>
    <w:rsid w:val="008332EE"/>
    <w:rsid w:val="00833716"/>
    <w:rsid w:val="00833A7E"/>
    <w:rsid w:val="00833C58"/>
    <w:rsid w:val="00833D88"/>
    <w:rsid w:val="00834BDD"/>
    <w:rsid w:val="00834C8B"/>
    <w:rsid w:val="00835081"/>
    <w:rsid w:val="008355EE"/>
    <w:rsid w:val="0083568C"/>
    <w:rsid w:val="00835799"/>
    <w:rsid w:val="008357FF"/>
    <w:rsid w:val="00835E2F"/>
    <w:rsid w:val="0083660E"/>
    <w:rsid w:val="008373D4"/>
    <w:rsid w:val="00837D94"/>
    <w:rsid w:val="008400D9"/>
    <w:rsid w:val="008406E9"/>
    <w:rsid w:val="008407CB"/>
    <w:rsid w:val="00840CB8"/>
    <w:rsid w:val="008423D0"/>
    <w:rsid w:val="008424E5"/>
    <w:rsid w:val="00842611"/>
    <w:rsid w:val="008428C0"/>
    <w:rsid w:val="00842FFA"/>
    <w:rsid w:val="008442FB"/>
    <w:rsid w:val="008448C7"/>
    <w:rsid w:val="0084504B"/>
    <w:rsid w:val="00845252"/>
    <w:rsid w:val="00847C15"/>
    <w:rsid w:val="00847FA4"/>
    <w:rsid w:val="00850F73"/>
    <w:rsid w:val="00851C5F"/>
    <w:rsid w:val="00851F44"/>
    <w:rsid w:val="0085278C"/>
    <w:rsid w:val="00852C10"/>
    <w:rsid w:val="00852F90"/>
    <w:rsid w:val="008530D0"/>
    <w:rsid w:val="00853FD4"/>
    <w:rsid w:val="008549EA"/>
    <w:rsid w:val="0085569E"/>
    <w:rsid w:val="00855B93"/>
    <w:rsid w:val="008563B1"/>
    <w:rsid w:val="00857197"/>
    <w:rsid w:val="008571BB"/>
    <w:rsid w:val="00860388"/>
    <w:rsid w:val="00860E03"/>
    <w:rsid w:val="00861124"/>
    <w:rsid w:val="00862480"/>
    <w:rsid w:val="00862851"/>
    <w:rsid w:val="00862F9D"/>
    <w:rsid w:val="008631A2"/>
    <w:rsid w:val="008638C9"/>
    <w:rsid w:val="00865635"/>
    <w:rsid w:val="00865A1D"/>
    <w:rsid w:val="00865CC2"/>
    <w:rsid w:val="00865E20"/>
    <w:rsid w:val="0086657F"/>
    <w:rsid w:val="00866C76"/>
    <w:rsid w:val="0086712D"/>
    <w:rsid w:val="00870653"/>
    <w:rsid w:val="00870D4B"/>
    <w:rsid w:val="0087116B"/>
    <w:rsid w:val="0087191D"/>
    <w:rsid w:val="008721BF"/>
    <w:rsid w:val="00872528"/>
    <w:rsid w:val="00872F6D"/>
    <w:rsid w:val="00873568"/>
    <w:rsid w:val="00873BCC"/>
    <w:rsid w:val="00873C7A"/>
    <w:rsid w:val="008764E1"/>
    <w:rsid w:val="00877ACC"/>
    <w:rsid w:val="00880152"/>
    <w:rsid w:val="00881B08"/>
    <w:rsid w:val="00884316"/>
    <w:rsid w:val="008846BD"/>
    <w:rsid w:val="008860BC"/>
    <w:rsid w:val="008861B4"/>
    <w:rsid w:val="0088646B"/>
    <w:rsid w:val="00886476"/>
    <w:rsid w:val="00886680"/>
    <w:rsid w:val="00887233"/>
    <w:rsid w:val="00887E7B"/>
    <w:rsid w:val="0089062F"/>
    <w:rsid w:val="00891509"/>
    <w:rsid w:val="00891CA3"/>
    <w:rsid w:val="0089253A"/>
    <w:rsid w:val="00893353"/>
    <w:rsid w:val="00894C25"/>
    <w:rsid w:val="00894C7D"/>
    <w:rsid w:val="00894D4F"/>
    <w:rsid w:val="00894E81"/>
    <w:rsid w:val="008953D3"/>
    <w:rsid w:val="00895868"/>
    <w:rsid w:val="0089636F"/>
    <w:rsid w:val="00896A8A"/>
    <w:rsid w:val="008A0D0A"/>
    <w:rsid w:val="008A12F7"/>
    <w:rsid w:val="008A1A54"/>
    <w:rsid w:val="008A1C1E"/>
    <w:rsid w:val="008A249E"/>
    <w:rsid w:val="008A25DB"/>
    <w:rsid w:val="008A2B5B"/>
    <w:rsid w:val="008A3429"/>
    <w:rsid w:val="008A37B9"/>
    <w:rsid w:val="008A3CF1"/>
    <w:rsid w:val="008A3F2F"/>
    <w:rsid w:val="008A47EC"/>
    <w:rsid w:val="008A507D"/>
    <w:rsid w:val="008A5209"/>
    <w:rsid w:val="008A55ED"/>
    <w:rsid w:val="008A5762"/>
    <w:rsid w:val="008A6092"/>
    <w:rsid w:val="008A63B0"/>
    <w:rsid w:val="008A649B"/>
    <w:rsid w:val="008A6823"/>
    <w:rsid w:val="008A6923"/>
    <w:rsid w:val="008A6EF5"/>
    <w:rsid w:val="008A72F2"/>
    <w:rsid w:val="008B029D"/>
    <w:rsid w:val="008B0A93"/>
    <w:rsid w:val="008B0D05"/>
    <w:rsid w:val="008B1B40"/>
    <w:rsid w:val="008B25B5"/>
    <w:rsid w:val="008B34EE"/>
    <w:rsid w:val="008B3FD2"/>
    <w:rsid w:val="008B5B81"/>
    <w:rsid w:val="008B617E"/>
    <w:rsid w:val="008B68BB"/>
    <w:rsid w:val="008B6929"/>
    <w:rsid w:val="008B6AAA"/>
    <w:rsid w:val="008B6C90"/>
    <w:rsid w:val="008B6F98"/>
    <w:rsid w:val="008C03F1"/>
    <w:rsid w:val="008C060D"/>
    <w:rsid w:val="008C0C08"/>
    <w:rsid w:val="008C0F44"/>
    <w:rsid w:val="008C1417"/>
    <w:rsid w:val="008C21FA"/>
    <w:rsid w:val="008C234F"/>
    <w:rsid w:val="008C291A"/>
    <w:rsid w:val="008C2EA8"/>
    <w:rsid w:val="008C2EE1"/>
    <w:rsid w:val="008C3490"/>
    <w:rsid w:val="008C3CBA"/>
    <w:rsid w:val="008C3CF8"/>
    <w:rsid w:val="008C3F70"/>
    <w:rsid w:val="008C4934"/>
    <w:rsid w:val="008C4CCD"/>
    <w:rsid w:val="008C4F65"/>
    <w:rsid w:val="008C588A"/>
    <w:rsid w:val="008C58C7"/>
    <w:rsid w:val="008C62A6"/>
    <w:rsid w:val="008C7E1E"/>
    <w:rsid w:val="008D00AA"/>
    <w:rsid w:val="008D04CB"/>
    <w:rsid w:val="008D19B1"/>
    <w:rsid w:val="008D1CFA"/>
    <w:rsid w:val="008D4C21"/>
    <w:rsid w:val="008D4ECD"/>
    <w:rsid w:val="008D500F"/>
    <w:rsid w:val="008D5664"/>
    <w:rsid w:val="008D664D"/>
    <w:rsid w:val="008D7A39"/>
    <w:rsid w:val="008D7E00"/>
    <w:rsid w:val="008E09F8"/>
    <w:rsid w:val="008E0BA0"/>
    <w:rsid w:val="008E14DC"/>
    <w:rsid w:val="008E1F5F"/>
    <w:rsid w:val="008E22BA"/>
    <w:rsid w:val="008E3F84"/>
    <w:rsid w:val="008E3FBA"/>
    <w:rsid w:val="008E4310"/>
    <w:rsid w:val="008E6715"/>
    <w:rsid w:val="008E6914"/>
    <w:rsid w:val="008E6B6D"/>
    <w:rsid w:val="008E74FD"/>
    <w:rsid w:val="008E792D"/>
    <w:rsid w:val="008E7963"/>
    <w:rsid w:val="008F03D9"/>
    <w:rsid w:val="008F1098"/>
    <w:rsid w:val="008F22C8"/>
    <w:rsid w:val="008F2C59"/>
    <w:rsid w:val="008F2F70"/>
    <w:rsid w:val="008F3D9F"/>
    <w:rsid w:val="008F4652"/>
    <w:rsid w:val="008F4C6E"/>
    <w:rsid w:val="008F4D1B"/>
    <w:rsid w:val="008F4D34"/>
    <w:rsid w:val="008F4D5E"/>
    <w:rsid w:val="008F55CA"/>
    <w:rsid w:val="008F580C"/>
    <w:rsid w:val="008F5BD1"/>
    <w:rsid w:val="008F639F"/>
    <w:rsid w:val="008F6D3E"/>
    <w:rsid w:val="009000A7"/>
    <w:rsid w:val="00900980"/>
    <w:rsid w:val="00900B2C"/>
    <w:rsid w:val="009010F6"/>
    <w:rsid w:val="00901F9C"/>
    <w:rsid w:val="00902F38"/>
    <w:rsid w:val="0090466B"/>
    <w:rsid w:val="00904776"/>
    <w:rsid w:val="0090484E"/>
    <w:rsid w:val="00904DED"/>
    <w:rsid w:val="009057C3"/>
    <w:rsid w:val="00905ACD"/>
    <w:rsid w:val="0090632F"/>
    <w:rsid w:val="00906936"/>
    <w:rsid w:val="00906D4B"/>
    <w:rsid w:val="00906D6C"/>
    <w:rsid w:val="009077CD"/>
    <w:rsid w:val="009079A8"/>
    <w:rsid w:val="00910178"/>
    <w:rsid w:val="009111D8"/>
    <w:rsid w:val="00911D37"/>
    <w:rsid w:val="00911DB3"/>
    <w:rsid w:val="0091261D"/>
    <w:rsid w:val="00912A4E"/>
    <w:rsid w:val="00912EA6"/>
    <w:rsid w:val="00913050"/>
    <w:rsid w:val="00914AE7"/>
    <w:rsid w:val="00914BDC"/>
    <w:rsid w:val="00914E15"/>
    <w:rsid w:val="00915BA7"/>
    <w:rsid w:val="00916147"/>
    <w:rsid w:val="00916CC1"/>
    <w:rsid w:val="00917014"/>
    <w:rsid w:val="00917303"/>
    <w:rsid w:val="00917C9F"/>
    <w:rsid w:val="009209CE"/>
    <w:rsid w:val="0092137D"/>
    <w:rsid w:val="00921F36"/>
    <w:rsid w:val="009224B2"/>
    <w:rsid w:val="00923736"/>
    <w:rsid w:val="00923B89"/>
    <w:rsid w:val="009241B4"/>
    <w:rsid w:val="009268A7"/>
    <w:rsid w:val="00926941"/>
    <w:rsid w:val="00926D53"/>
    <w:rsid w:val="00927DB3"/>
    <w:rsid w:val="0093044C"/>
    <w:rsid w:val="009305DE"/>
    <w:rsid w:val="009307F0"/>
    <w:rsid w:val="00930984"/>
    <w:rsid w:val="00931610"/>
    <w:rsid w:val="0093199B"/>
    <w:rsid w:val="009327CA"/>
    <w:rsid w:val="00932B36"/>
    <w:rsid w:val="0093358C"/>
    <w:rsid w:val="00933914"/>
    <w:rsid w:val="00934224"/>
    <w:rsid w:val="00934571"/>
    <w:rsid w:val="00934837"/>
    <w:rsid w:val="0093496A"/>
    <w:rsid w:val="00934D11"/>
    <w:rsid w:val="00936368"/>
    <w:rsid w:val="0093688C"/>
    <w:rsid w:val="0093689E"/>
    <w:rsid w:val="00936954"/>
    <w:rsid w:val="00937039"/>
    <w:rsid w:val="009372C9"/>
    <w:rsid w:val="0093743F"/>
    <w:rsid w:val="009379DA"/>
    <w:rsid w:val="00937CB0"/>
    <w:rsid w:val="00940450"/>
    <w:rsid w:val="0094066C"/>
    <w:rsid w:val="00940E02"/>
    <w:rsid w:val="00944193"/>
    <w:rsid w:val="009447C4"/>
    <w:rsid w:val="00944B52"/>
    <w:rsid w:val="00944FCA"/>
    <w:rsid w:val="00944FE7"/>
    <w:rsid w:val="0094671F"/>
    <w:rsid w:val="00947168"/>
    <w:rsid w:val="00947912"/>
    <w:rsid w:val="00947B79"/>
    <w:rsid w:val="00950977"/>
    <w:rsid w:val="0095129D"/>
    <w:rsid w:val="0095169E"/>
    <w:rsid w:val="0095174B"/>
    <w:rsid w:val="009518C6"/>
    <w:rsid w:val="0095201D"/>
    <w:rsid w:val="00952B9C"/>
    <w:rsid w:val="00952C9B"/>
    <w:rsid w:val="00953193"/>
    <w:rsid w:val="0095456C"/>
    <w:rsid w:val="00954B09"/>
    <w:rsid w:val="00954CF9"/>
    <w:rsid w:val="00954D31"/>
    <w:rsid w:val="00954EB8"/>
    <w:rsid w:val="00954FFC"/>
    <w:rsid w:val="009553C1"/>
    <w:rsid w:val="00955ED4"/>
    <w:rsid w:val="00956833"/>
    <w:rsid w:val="00957057"/>
    <w:rsid w:val="009572CE"/>
    <w:rsid w:val="009575E8"/>
    <w:rsid w:val="00957CAE"/>
    <w:rsid w:val="00960374"/>
    <w:rsid w:val="00960881"/>
    <w:rsid w:val="009608C6"/>
    <w:rsid w:val="00964128"/>
    <w:rsid w:val="00964979"/>
    <w:rsid w:val="00964E88"/>
    <w:rsid w:val="00965458"/>
    <w:rsid w:val="00965C64"/>
    <w:rsid w:val="00965D47"/>
    <w:rsid w:val="00965E8E"/>
    <w:rsid w:val="0096676E"/>
    <w:rsid w:val="009669CB"/>
    <w:rsid w:val="00966A84"/>
    <w:rsid w:val="00967057"/>
    <w:rsid w:val="00967676"/>
    <w:rsid w:val="009678FC"/>
    <w:rsid w:val="00967FA8"/>
    <w:rsid w:val="00970048"/>
    <w:rsid w:val="0097087B"/>
    <w:rsid w:val="00970D9A"/>
    <w:rsid w:val="00971E49"/>
    <w:rsid w:val="00972D92"/>
    <w:rsid w:val="00973F92"/>
    <w:rsid w:val="0097419E"/>
    <w:rsid w:val="009746B8"/>
    <w:rsid w:val="00975C99"/>
    <w:rsid w:val="00975E33"/>
    <w:rsid w:val="0097669D"/>
    <w:rsid w:val="00976748"/>
    <w:rsid w:val="00976A6B"/>
    <w:rsid w:val="00977032"/>
    <w:rsid w:val="00977462"/>
    <w:rsid w:val="00980A22"/>
    <w:rsid w:val="009811C8"/>
    <w:rsid w:val="009816BC"/>
    <w:rsid w:val="0098284C"/>
    <w:rsid w:val="00984242"/>
    <w:rsid w:val="009843CD"/>
    <w:rsid w:val="009845D4"/>
    <w:rsid w:val="0098485D"/>
    <w:rsid w:val="00984E3B"/>
    <w:rsid w:val="00985336"/>
    <w:rsid w:val="00985635"/>
    <w:rsid w:val="00986424"/>
    <w:rsid w:val="0098668D"/>
    <w:rsid w:val="009871BA"/>
    <w:rsid w:val="009876DF"/>
    <w:rsid w:val="00987C74"/>
    <w:rsid w:val="009909B1"/>
    <w:rsid w:val="009912A9"/>
    <w:rsid w:val="009918E5"/>
    <w:rsid w:val="009918FC"/>
    <w:rsid w:val="0099191B"/>
    <w:rsid w:val="00992615"/>
    <w:rsid w:val="009929AA"/>
    <w:rsid w:val="00993558"/>
    <w:rsid w:val="0099369B"/>
    <w:rsid w:val="009939FD"/>
    <w:rsid w:val="00993A1E"/>
    <w:rsid w:val="00994B53"/>
    <w:rsid w:val="00994C22"/>
    <w:rsid w:val="00996052"/>
    <w:rsid w:val="009964EF"/>
    <w:rsid w:val="009969FE"/>
    <w:rsid w:val="00996A54"/>
    <w:rsid w:val="009971DA"/>
    <w:rsid w:val="009A014E"/>
    <w:rsid w:val="009A06F7"/>
    <w:rsid w:val="009A0DDA"/>
    <w:rsid w:val="009A1A6E"/>
    <w:rsid w:val="009A2651"/>
    <w:rsid w:val="009A2F50"/>
    <w:rsid w:val="009A3653"/>
    <w:rsid w:val="009A4006"/>
    <w:rsid w:val="009A4BEC"/>
    <w:rsid w:val="009A54E1"/>
    <w:rsid w:val="009A58C1"/>
    <w:rsid w:val="009A5FF5"/>
    <w:rsid w:val="009A6343"/>
    <w:rsid w:val="009A7A1E"/>
    <w:rsid w:val="009B09FA"/>
    <w:rsid w:val="009B0B3E"/>
    <w:rsid w:val="009B1461"/>
    <w:rsid w:val="009B1671"/>
    <w:rsid w:val="009B1A79"/>
    <w:rsid w:val="009B202F"/>
    <w:rsid w:val="009B309F"/>
    <w:rsid w:val="009B314C"/>
    <w:rsid w:val="009B36B7"/>
    <w:rsid w:val="009B4889"/>
    <w:rsid w:val="009B52FF"/>
    <w:rsid w:val="009B5606"/>
    <w:rsid w:val="009B6836"/>
    <w:rsid w:val="009B7356"/>
    <w:rsid w:val="009B77E9"/>
    <w:rsid w:val="009B79B9"/>
    <w:rsid w:val="009C0458"/>
    <w:rsid w:val="009C0F7B"/>
    <w:rsid w:val="009C155C"/>
    <w:rsid w:val="009C182F"/>
    <w:rsid w:val="009C1B88"/>
    <w:rsid w:val="009C1BEB"/>
    <w:rsid w:val="009C21B3"/>
    <w:rsid w:val="009C26B5"/>
    <w:rsid w:val="009C28B3"/>
    <w:rsid w:val="009C2DA3"/>
    <w:rsid w:val="009C4684"/>
    <w:rsid w:val="009C4EF4"/>
    <w:rsid w:val="009C5378"/>
    <w:rsid w:val="009C5D89"/>
    <w:rsid w:val="009C609F"/>
    <w:rsid w:val="009C6547"/>
    <w:rsid w:val="009C6FCD"/>
    <w:rsid w:val="009C7270"/>
    <w:rsid w:val="009C77BB"/>
    <w:rsid w:val="009D0F57"/>
    <w:rsid w:val="009D11E5"/>
    <w:rsid w:val="009D1A86"/>
    <w:rsid w:val="009D208C"/>
    <w:rsid w:val="009D23D4"/>
    <w:rsid w:val="009D24C4"/>
    <w:rsid w:val="009D2586"/>
    <w:rsid w:val="009D2C63"/>
    <w:rsid w:val="009D3A03"/>
    <w:rsid w:val="009D3FF6"/>
    <w:rsid w:val="009D4217"/>
    <w:rsid w:val="009D5A5F"/>
    <w:rsid w:val="009D5FEA"/>
    <w:rsid w:val="009D612D"/>
    <w:rsid w:val="009D6C3C"/>
    <w:rsid w:val="009E1D67"/>
    <w:rsid w:val="009E21B6"/>
    <w:rsid w:val="009E2563"/>
    <w:rsid w:val="009E2CCD"/>
    <w:rsid w:val="009E3CCA"/>
    <w:rsid w:val="009E41E8"/>
    <w:rsid w:val="009E48DC"/>
    <w:rsid w:val="009E4B80"/>
    <w:rsid w:val="009E6250"/>
    <w:rsid w:val="009E6336"/>
    <w:rsid w:val="009E6853"/>
    <w:rsid w:val="009E6F93"/>
    <w:rsid w:val="009E72F2"/>
    <w:rsid w:val="009E7742"/>
    <w:rsid w:val="009E7EE0"/>
    <w:rsid w:val="009F0330"/>
    <w:rsid w:val="009F124D"/>
    <w:rsid w:val="009F1415"/>
    <w:rsid w:val="009F16B4"/>
    <w:rsid w:val="009F1B11"/>
    <w:rsid w:val="009F1E35"/>
    <w:rsid w:val="009F1F24"/>
    <w:rsid w:val="009F351E"/>
    <w:rsid w:val="009F3C68"/>
    <w:rsid w:val="009F420A"/>
    <w:rsid w:val="009F55DD"/>
    <w:rsid w:val="009F5B58"/>
    <w:rsid w:val="009F606D"/>
    <w:rsid w:val="009F6A53"/>
    <w:rsid w:val="009F6AED"/>
    <w:rsid w:val="009F6DAA"/>
    <w:rsid w:val="00A00756"/>
    <w:rsid w:val="00A00CF7"/>
    <w:rsid w:val="00A00FC1"/>
    <w:rsid w:val="00A014C9"/>
    <w:rsid w:val="00A01A9A"/>
    <w:rsid w:val="00A02A35"/>
    <w:rsid w:val="00A04BE7"/>
    <w:rsid w:val="00A04C6C"/>
    <w:rsid w:val="00A04DA5"/>
    <w:rsid w:val="00A058B8"/>
    <w:rsid w:val="00A05E94"/>
    <w:rsid w:val="00A07469"/>
    <w:rsid w:val="00A07C5B"/>
    <w:rsid w:val="00A07D65"/>
    <w:rsid w:val="00A10735"/>
    <w:rsid w:val="00A115A4"/>
    <w:rsid w:val="00A11F09"/>
    <w:rsid w:val="00A11FF5"/>
    <w:rsid w:val="00A12CDA"/>
    <w:rsid w:val="00A13315"/>
    <w:rsid w:val="00A14207"/>
    <w:rsid w:val="00A14482"/>
    <w:rsid w:val="00A153AC"/>
    <w:rsid w:val="00A16E11"/>
    <w:rsid w:val="00A170DA"/>
    <w:rsid w:val="00A1752A"/>
    <w:rsid w:val="00A17B33"/>
    <w:rsid w:val="00A2185F"/>
    <w:rsid w:val="00A21C46"/>
    <w:rsid w:val="00A21E16"/>
    <w:rsid w:val="00A22520"/>
    <w:rsid w:val="00A22714"/>
    <w:rsid w:val="00A22766"/>
    <w:rsid w:val="00A22BB0"/>
    <w:rsid w:val="00A23639"/>
    <w:rsid w:val="00A24156"/>
    <w:rsid w:val="00A24AFC"/>
    <w:rsid w:val="00A24D52"/>
    <w:rsid w:val="00A259EC"/>
    <w:rsid w:val="00A25F00"/>
    <w:rsid w:val="00A262A4"/>
    <w:rsid w:val="00A263CF"/>
    <w:rsid w:val="00A26604"/>
    <w:rsid w:val="00A27313"/>
    <w:rsid w:val="00A27775"/>
    <w:rsid w:val="00A305E9"/>
    <w:rsid w:val="00A307E5"/>
    <w:rsid w:val="00A31385"/>
    <w:rsid w:val="00A31493"/>
    <w:rsid w:val="00A32D12"/>
    <w:rsid w:val="00A32D29"/>
    <w:rsid w:val="00A32EE1"/>
    <w:rsid w:val="00A34865"/>
    <w:rsid w:val="00A348C0"/>
    <w:rsid w:val="00A34A48"/>
    <w:rsid w:val="00A35F17"/>
    <w:rsid w:val="00A36335"/>
    <w:rsid w:val="00A36427"/>
    <w:rsid w:val="00A37889"/>
    <w:rsid w:val="00A37EAB"/>
    <w:rsid w:val="00A400F2"/>
    <w:rsid w:val="00A407CB"/>
    <w:rsid w:val="00A410A8"/>
    <w:rsid w:val="00A42729"/>
    <w:rsid w:val="00A42E57"/>
    <w:rsid w:val="00A43209"/>
    <w:rsid w:val="00A43928"/>
    <w:rsid w:val="00A4403E"/>
    <w:rsid w:val="00A44101"/>
    <w:rsid w:val="00A45CB2"/>
    <w:rsid w:val="00A4628A"/>
    <w:rsid w:val="00A46445"/>
    <w:rsid w:val="00A46E4B"/>
    <w:rsid w:val="00A46FAE"/>
    <w:rsid w:val="00A473A9"/>
    <w:rsid w:val="00A47FA0"/>
    <w:rsid w:val="00A507B9"/>
    <w:rsid w:val="00A50B19"/>
    <w:rsid w:val="00A50FD1"/>
    <w:rsid w:val="00A511B8"/>
    <w:rsid w:val="00A51208"/>
    <w:rsid w:val="00A521DC"/>
    <w:rsid w:val="00A522C4"/>
    <w:rsid w:val="00A52D50"/>
    <w:rsid w:val="00A53A64"/>
    <w:rsid w:val="00A53D48"/>
    <w:rsid w:val="00A5456F"/>
    <w:rsid w:val="00A54A3A"/>
    <w:rsid w:val="00A552E7"/>
    <w:rsid w:val="00A55656"/>
    <w:rsid w:val="00A571D2"/>
    <w:rsid w:val="00A57D0B"/>
    <w:rsid w:val="00A604DA"/>
    <w:rsid w:val="00A609FB"/>
    <w:rsid w:val="00A6137F"/>
    <w:rsid w:val="00A61513"/>
    <w:rsid w:val="00A61801"/>
    <w:rsid w:val="00A62BFC"/>
    <w:rsid w:val="00A6344C"/>
    <w:rsid w:val="00A6346C"/>
    <w:rsid w:val="00A639A0"/>
    <w:rsid w:val="00A64591"/>
    <w:rsid w:val="00A6501E"/>
    <w:rsid w:val="00A65D9B"/>
    <w:rsid w:val="00A65DEB"/>
    <w:rsid w:val="00A66B3E"/>
    <w:rsid w:val="00A66CCE"/>
    <w:rsid w:val="00A66D21"/>
    <w:rsid w:val="00A716BE"/>
    <w:rsid w:val="00A71CF4"/>
    <w:rsid w:val="00A723B2"/>
    <w:rsid w:val="00A728CC"/>
    <w:rsid w:val="00A728E2"/>
    <w:rsid w:val="00A731BB"/>
    <w:rsid w:val="00A73554"/>
    <w:rsid w:val="00A73809"/>
    <w:rsid w:val="00A73BA9"/>
    <w:rsid w:val="00A73CF0"/>
    <w:rsid w:val="00A749A5"/>
    <w:rsid w:val="00A74AD1"/>
    <w:rsid w:val="00A75166"/>
    <w:rsid w:val="00A75170"/>
    <w:rsid w:val="00A75DEF"/>
    <w:rsid w:val="00A76D2C"/>
    <w:rsid w:val="00A775B0"/>
    <w:rsid w:val="00A80285"/>
    <w:rsid w:val="00A808E3"/>
    <w:rsid w:val="00A80D7E"/>
    <w:rsid w:val="00A81171"/>
    <w:rsid w:val="00A81AC6"/>
    <w:rsid w:val="00A82747"/>
    <w:rsid w:val="00A82880"/>
    <w:rsid w:val="00A83B16"/>
    <w:rsid w:val="00A83BED"/>
    <w:rsid w:val="00A83D42"/>
    <w:rsid w:val="00A845E4"/>
    <w:rsid w:val="00A84A91"/>
    <w:rsid w:val="00A84D68"/>
    <w:rsid w:val="00A84DEB"/>
    <w:rsid w:val="00A86998"/>
    <w:rsid w:val="00A871FF"/>
    <w:rsid w:val="00A874ED"/>
    <w:rsid w:val="00A903C4"/>
    <w:rsid w:val="00A90655"/>
    <w:rsid w:val="00A92811"/>
    <w:rsid w:val="00A92E20"/>
    <w:rsid w:val="00A93CED"/>
    <w:rsid w:val="00A93D2E"/>
    <w:rsid w:val="00A93DA7"/>
    <w:rsid w:val="00A94793"/>
    <w:rsid w:val="00A94D0D"/>
    <w:rsid w:val="00A95038"/>
    <w:rsid w:val="00A95305"/>
    <w:rsid w:val="00A968F1"/>
    <w:rsid w:val="00A9695C"/>
    <w:rsid w:val="00A97459"/>
    <w:rsid w:val="00A977CD"/>
    <w:rsid w:val="00AA1191"/>
    <w:rsid w:val="00AA2368"/>
    <w:rsid w:val="00AA25E9"/>
    <w:rsid w:val="00AA270C"/>
    <w:rsid w:val="00AA2F75"/>
    <w:rsid w:val="00AA3067"/>
    <w:rsid w:val="00AA34BC"/>
    <w:rsid w:val="00AA3612"/>
    <w:rsid w:val="00AA3621"/>
    <w:rsid w:val="00AA4B55"/>
    <w:rsid w:val="00AA4FEB"/>
    <w:rsid w:val="00AA5070"/>
    <w:rsid w:val="00AA70C9"/>
    <w:rsid w:val="00AA7B86"/>
    <w:rsid w:val="00AB027E"/>
    <w:rsid w:val="00AB0686"/>
    <w:rsid w:val="00AB0990"/>
    <w:rsid w:val="00AB0B77"/>
    <w:rsid w:val="00AB194B"/>
    <w:rsid w:val="00AB1B39"/>
    <w:rsid w:val="00AB2BC8"/>
    <w:rsid w:val="00AB3460"/>
    <w:rsid w:val="00AB3560"/>
    <w:rsid w:val="00AB3B23"/>
    <w:rsid w:val="00AB3B83"/>
    <w:rsid w:val="00AB3F32"/>
    <w:rsid w:val="00AB5546"/>
    <w:rsid w:val="00AB7017"/>
    <w:rsid w:val="00AB710F"/>
    <w:rsid w:val="00AB7AD7"/>
    <w:rsid w:val="00AB7B64"/>
    <w:rsid w:val="00AC0833"/>
    <w:rsid w:val="00AC17EA"/>
    <w:rsid w:val="00AC18EE"/>
    <w:rsid w:val="00AC1DDC"/>
    <w:rsid w:val="00AC2063"/>
    <w:rsid w:val="00AC28AE"/>
    <w:rsid w:val="00AC36B7"/>
    <w:rsid w:val="00AC3868"/>
    <w:rsid w:val="00AC478E"/>
    <w:rsid w:val="00AC54D8"/>
    <w:rsid w:val="00AC59F8"/>
    <w:rsid w:val="00AC6469"/>
    <w:rsid w:val="00AD00A1"/>
    <w:rsid w:val="00AD11FD"/>
    <w:rsid w:val="00AD178D"/>
    <w:rsid w:val="00AD18B4"/>
    <w:rsid w:val="00AD1D3F"/>
    <w:rsid w:val="00AD1E8B"/>
    <w:rsid w:val="00AD289C"/>
    <w:rsid w:val="00AD3102"/>
    <w:rsid w:val="00AD34D8"/>
    <w:rsid w:val="00AD39D9"/>
    <w:rsid w:val="00AD3C5E"/>
    <w:rsid w:val="00AD536B"/>
    <w:rsid w:val="00AD5B53"/>
    <w:rsid w:val="00AD5CE7"/>
    <w:rsid w:val="00AD72E7"/>
    <w:rsid w:val="00AD7E31"/>
    <w:rsid w:val="00AE0035"/>
    <w:rsid w:val="00AE028B"/>
    <w:rsid w:val="00AE0D18"/>
    <w:rsid w:val="00AE1239"/>
    <w:rsid w:val="00AE1351"/>
    <w:rsid w:val="00AE18C1"/>
    <w:rsid w:val="00AE1A91"/>
    <w:rsid w:val="00AE1C31"/>
    <w:rsid w:val="00AE244A"/>
    <w:rsid w:val="00AE2F09"/>
    <w:rsid w:val="00AE317C"/>
    <w:rsid w:val="00AE3249"/>
    <w:rsid w:val="00AE3850"/>
    <w:rsid w:val="00AE3D83"/>
    <w:rsid w:val="00AE3ED1"/>
    <w:rsid w:val="00AE500A"/>
    <w:rsid w:val="00AE54F8"/>
    <w:rsid w:val="00AE5EE8"/>
    <w:rsid w:val="00AE69B9"/>
    <w:rsid w:val="00AE6B99"/>
    <w:rsid w:val="00AE6C69"/>
    <w:rsid w:val="00AE6C6A"/>
    <w:rsid w:val="00AE6D7C"/>
    <w:rsid w:val="00AE6EED"/>
    <w:rsid w:val="00AE734D"/>
    <w:rsid w:val="00AF05F9"/>
    <w:rsid w:val="00AF0E03"/>
    <w:rsid w:val="00AF35C6"/>
    <w:rsid w:val="00AF523D"/>
    <w:rsid w:val="00AF541F"/>
    <w:rsid w:val="00AF5CB3"/>
    <w:rsid w:val="00AF5CB5"/>
    <w:rsid w:val="00AF604D"/>
    <w:rsid w:val="00AF6823"/>
    <w:rsid w:val="00B00A5A"/>
    <w:rsid w:val="00B02D45"/>
    <w:rsid w:val="00B035DF"/>
    <w:rsid w:val="00B03685"/>
    <w:rsid w:val="00B0368C"/>
    <w:rsid w:val="00B0450D"/>
    <w:rsid w:val="00B049D5"/>
    <w:rsid w:val="00B05A1E"/>
    <w:rsid w:val="00B05F27"/>
    <w:rsid w:val="00B05FA9"/>
    <w:rsid w:val="00B0690F"/>
    <w:rsid w:val="00B07026"/>
    <w:rsid w:val="00B077A5"/>
    <w:rsid w:val="00B07AF7"/>
    <w:rsid w:val="00B07D51"/>
    <w:rsid w:val="00B07F5D"/>
    <w:rsid w:val="00B1038C"/>
    <w:rsid w:val="00B103BF"/>
    <w:rsid w:val="00B119C6"/>
    <w:rsid w:val="00B11A53"/>
    <w:rsid w:val="00B124E5"/>
    <w:rsid w:val="00B1298F"/>
    <w:rsid w:val="00B12B88"/>
    <w:rsid w:val="00B13025"/>
    <w:rsid w:val="00B13250"/>
    <w:rsid w:val="00B13571"/>
    <w:rsid w:val="00B13BE1"/>
    <w:rsid w:val="00B13DF5"/>
    <w:rsid w:val="00B14597"/>
    <w:rsid w:val="00B14CFC"/>
    <w:rsid w:val="00B14FEA"/>
    <w:rsid w:val="00B15438"/>
    <w:rsid w:val="00B15D50"/>
    <w:rsid w:val="00B163D9"/>
    <w:rsid w:val="00B16727"/>
    <w:rsid w:val="00B16982"/>
    <w:rsid w:val="00B16CA1"/>
    <w:rsid w:val="00B1796B"/>
    <w:rsid w:val="00B17CA2"/>
    <w:rsid w:val="00B17CD5"/>
    <w:rsid w:val="00B2006C"/>
    <w:rsid w:val="00B20E9E"/>
    <w:rsid w:val="00B20EF2"/>
    <w:rsid w:val="00B213EB"/>
    <w:rsid w:val="00B21AF6"/>
    <w:rsid w:val="00B2231A"/>
    <w:rsid w:val="00B225FA"/>
    <w:rsid w:val="00B22A10"/>
    <w:rsid w:val="00B22BF5"/>
    <w:rsid w:val="00B23349"/>
    <w:rsid w:val="00B238DC"/>
    <w:rsid w:val="00B23A40"/>
    <w:rsid w:val="00B23CB0"/>
    <w:rsid w:val="00B245A6"/>
    <w:rsid w:val="00B24738"/>
    <w:rsid w:val="00B24953"/>
    <w:rsid w:val="00B25D5D"/>
    <w:rsid w:val="00B26A68"/>
    <w:rsid w:val="00B26ABF"/>
    <w:rsid w:val="00B2725A"/>
    <w:rsid w:val="00B27416"/>
    <w:rsid w:val="00B300C4"/>
    <w:rsid w:val="00B315C4"/>
    <w:rsid w:val="00B31B36"/>
    <w:rsid w:val="00B31C3C"/>
    <w:rsid w:val="00B31D39"/>
    <w:rsid w:val="00B32D85"/>
    <w:rsid w:val="00B330C4"/>
    <w:rsid w:val="00B333E3"/>
    <w:rsid w:val="00B33918"/>
    <w:rsid w:val="00B33FBB"/>
    <w:rsid w:val="00B34194"/>
    <w:rsid w:val="00B3453F"/>
    <w:rsid w:val="00B345DF"/>
    <w:rsid w:val="00B34C56"/>
    <w:rsid w:val="00B35E93"/>
    <w:rsid w:val="00B367A0"/>
    <w:rsid w:val="00B367F3"/>
    <w:rsid w:val="00B36C8E"/>
    <w:rsid w:val="00B37407"/>
    <w:rsid w:val="00B37B36"/>
    <w:rsid w:val="00B37E3F"/>
    <w:rsid w:val="00B419AE"/>
    <w:rsid w:val="00B41EC9"/>
    <w:rsid w:val="00B42A09"/>
    <w:rsid w:val="00B42F97"/>
    <w:rsid w:val="00B4373B"/>
    <w:rsid w:val="00B43747"/>
    <w:rsid w:val="00B45417"/>
    <w:rsid w:val="00B4616E"/>
    <w:rsid w:val="00B462A8"/>
    <w:rsid w:val="00B463C2"/>
    <w:rsid w:val="00B467D3"/>
    <w:rsid w:val="00B47134"/>
    <w:rsid w:val="00B4739A"/>
    <w:rsid w:val="00B4740D"/>
    <w:rsid w:val="00B47418"/>
    <w:rsid w:val="00B47CE7"/>
    <w:rsid w:val="00B514E8"/>
    <w:rsid w:val="00B51832"/>
    <w:rsid w:val="00B51958"/>
    <w:rsid w:val="00B5214B"/>
    <w:rsid w:val="00B522DA"/>
    <w:rsid w:val="00B52F0D"/>
    <w:rsid w:val="00B5314E"/>
    <w:rsid w:val="00B5316E"/>
    <w:rsid w:val="00B5376B"/>
    <w:rsid w:val="00B539EB"/>
    <w:rsid w:val="00B54A2F"/>
    <w:rsid w:val="00B54F8E"/>
    <w:rsid w:val="00B555A8"/>
    <w:rsid w:val="00B556EA"/>
    <w:rsid w:val="00B55C36"/>
    <w:rsid w:val="00B565F1"/>
    <w:rsid w:val="00B57F85"/>
    <w:rsid w:val="00B60716"/>
    <w:rsid w:val="00B60FC3"/>
    <w:rsid w:val="00B61872"/>
    <w:rsid w:val="00B62026"/>
    <w:rsid w:val="00B6203E"/>
    <w:rsid w:val="00B62463"/>
    <w:rsid w:val="00B62529"/>
    <w:rsid w:val="00B63754"/>
    <w:rsid w:val="00B63A22"/>
    <w:rsid w:val="00B6435D"/>
    <w:rsid w:val="00B646D7"/>
    <w:rsid w:val="00B64773"/>
    <w:rsid w:val="00B650A6"/>
    <w:rsid w:val="00B65E23"/>
    <w:rsid w:val="00B65FF4"/>
    <w:rsid w:val="00B66C5E"/>
    <w:rsid w:val="00B66D22"/>
    <w:rsid w:val="00B67CDC"/>
    <w:rsid w:val="00B716B4"/>
    <w:rsid w:val="00B7190F"/>
    <w:rsid w:val="00B720C0"/>
    <w:rsid w:val="00B72B27"/>
    <w:rsid w:val="00B73539"/>
    <w:rsid w:val="00B739EF"/>
    <w:rsid w:val="00B7456F"/>
    <w:rsid w:val="00B74985"/>
    <w:rsid w:val="00B75081"/>
    <w:rsid w:val="00B76527"/>
    <w:rsid w:val="00B76881"/>
    <w:rsid w:val="00B76A21"/>
    <w:rsid w:val="00B76E23"/>
    <w:rsid w:val="00B7744F"/>
    <w:rsid w:val="00B77738"/>
    <w:rsid w:val="00B77C09"/>
    <w:rsid w:val="00B80374"/>
    <w:rsid w:val="00B804FA"/>
    <w:rsid w:val="00B80519"/>
    <w:rsid w:val="00B80834"/>
    <w:rsid w:val="00B81B2E"/>
    <w:rsid w:val="00B822D3"/>
    <w:rsid w:val="00B823B5"/>
    <w:rsid w:val="00B83425"/>
    <w:rsid w:val="00B83920"/>
    <w:rsid w:val="00B84067"/>
    <w:rsid w:val="00B84168"/>
    <w:rsid w:val="00B84F60"/>
    <w:rsid w:val="00B872CD"/>
    <w:rsid w:val="00B87D82"/>
    <w:rsid w:val="00B87DA9"/>
    <w:rsid w:val="00B87EA8"/>
    <w:rsid w:val="00B90035"/>
    <w:rsid w:val="00B91329"/>
    <w:rsid w:val="00B91405"/>
    <w:rsid w:val="00B91DD3"/>
    <w:rsid w:val="00B9262D"/>
    <w:rsid w:val="00B92F8C"/>
    <w:rsid w:val="00B93DB2"/>
    <w:rsid w:val="00B941C6"/>
    <w:rsid w:val="00B95B3D"/>
    <w:rsid w:val="00B960E0"/>
    <w:rsid w:val="00B96157"/>
    <w:rsid w:val="00B96D7D"/>
    <w:rsid w:val="00B97004"/>
    <w:rsid w:val="00B97847"/>
    <w:rsid w:val="00B97948"/>
    <w:rsid w:val="00B97E15"/>
    <w:rsid w:val="00BA0226"/>
    <w:rsid w:val="00BA038E"/>
    <w:rsid w:val="00BA1127"/>
    <w:rsid w:val="00BA12A6"/>
    <w:rsid w:val="00BA14EB"/>
    <w:rsid w:val="00BA2B40"/>
    <w:rsid w:val="00BA3174"/>
    <w:rsid w:val="00BA3DFA"/>
    <w:rsid w:val="00BA5075"/>
    <w:rsid w:val="00BA5475"/>
    <w:rsid w:val="00BA581C"/>
    <w:rsid w:val="00BA59B6"/>
    <w:rsid w:val="00BA5B20"/>
    <w:rsid w:val="00BA5D5F"/>
    <w:rsid w:val="00BA651B"/>
    <w:rsid w:val="00BA70AC"/>
    <w:rsid w:val="00BA71C5"/>
    <w:rsid w:val="00BA76B0"/>
    <w:rsid w:val="00BB12CF"/>
    <w:rsid w:val="00BB1AC8"/>
    <w:rsid w:val="00BB1B3D"/>
    <w:rsid w:val="00BB1FA6"/>
    <w:rsid w:val="00BB2361"/>
    <w:rsid w:val="00BB3065"/>
    <w:rsid w:val="00BB31C6"/>
    <w:rsid w:val="00BB3AA4"/>
    <w:rsid w:val="00BB4599"/>
    <w:rsid w:val="00BB4D23"/>
    <w:rsid w:val="00BB53D2"/>
    <w:rsid w:val="00BB58D3"/>
    <w:rsid w:val="00BB635F"/>
    <w:rsid w:val="00BB69A7"/>
    <w:rsid w:val="00BB6A5A"/>
    <w:rsid w:val="00BB6B84"/>
    <w:rsid w:val="00BB6D53"/>
    <w:rsid w:val="00BB6FF8"/>
    <w:rsid w:val="00BB7504"/>
    <w:rsid w:val="00BB7986"/>
    <w:rsid w:val="00BB7C1A"/>
    <w:rsid w:val="00BC0371"/>
    <w:rsid w:val="00BC03EA"/>
    <w:rsid w:val="00BC0A7C"/>
    <w:rsid w:val="00BC0DF6"/>
    <w:rsid w:val="00BC10E3"/>
    <w:rsid w:val="00BC138E"/>
    <w:rsid w:val="00BC13CB"/>
    <w:rsid w:val="00BC172F"/>
    <w:rsid w:val="00BC1D7B"/>
    <w:rsid w:val="00BC1DE3"/>
    <w:rsid w:val="00BC33C3"/>
    <w:rsid w:val="00BC4555"/>
    <w:rsid w:val="00BC4B08"/>
    <w:rsid w:val="00BC53F6"/>
    <w:rsid w:val="00BC5868"/>
    <w:rsid w:val="00BC68B2"/>
    <w:rsid w:val="00BC7082"/>
    <w:rsid w:val="00BC7252"/>
    <w:rsid w:val="00BC7379"/>
    <w:rsid w:val="00BD0CD7"/>
    <w:rsid w:val="00BD1136"/>
    <w:rsid w:val="00BD1DE0"/>
    <w:rsid w:val="00BD342E"/>
    <w:rsid w:val="00BD36D9"/>
    <w:rsid w:val="00BD3FA1"/>
    <w:rsid w:val="00BD43D4"/>
    <w:rsid w:val="00BD4A11"/>
    <w:rsid w:val="00BD4F3E"/>
    <w:rsid w:val="00BD543D"/>
    <w:rsid w:val="00BD5FB4"/>
    <w:rsid w:val="00BD6252"/>
    <w:rsid w:val="00BD6796"/>
    <w:rsid w:val="00BD6B44"/>
    <w:rsid w:val="00BD6F7B"/>
    <w:rsid w:val="00BD7ACA"/>
    <w:rsid w:val="00BD7E72"/>
    <w:rsid w:val="00BE0883"/>
    <w:rsid w:val="00BE110F"/>
    <w:rsid w:val="00BE1469"/>
    <w:rsid w:val="00BE187D"/>
    <w:rsid w:val="00BE1985"/>
    <w:rsid w:val="00BE1F24"/>
    <w:rsid w:val="00BE1F60"/>
    <w:rsid w:val="00BE2F87"/>
    <w:rsid w:val="00BE316A"/>
    <w:rsid w:val="00BE31F3"/>
    <w:rsid w:val="00BE3579"/>
    <w:rsid w:val="00BE3874"/>
    <w:rsid w:val="00BE3C4E"/>
    <w:rsid w:val="00BE4040"/>
    <w:rsid w:val="00BE42F2"/>
    <w:rsid w:val="00BE4660"/>
    <w:rsid w:val="00BE4F6A"/>
    <w:rsid w:val="00BE50A7"/>
    <w:rsid w:val="00BE63CA"/>
    <w:rsid w:val="00BE6D1C"/>
    <w:rsid w:val="00BE7B8D"/>
    <w:rsid w:val="00BE7DF7"/>
    <w:rsid w:val="00BF0BD9"/>
    <w:rsid w:val="00BF158A"/>
    <w:rsid w:val="00BF1817"/>
    <w:rsid w:val="00BF2013"/>
    <w:rsid w:val="00BF2121"/>
    <w:rsid w:val="00BF294B"/>
    <w:rsid w:val="00BF3354"/>
    <w:rsid w:val="00BF3856"/>
    <w:rsid w:val="00BF39DF"/>
    <w:rsid w:val="00BF4860"/>
    <w:rsid w:val="00BF48D5"/>
    <w:rsid w:val="00BF4ACE"/>
    <w:rsid w:val="00BF4B2A"/>
    <w:rsid w:val="00BF4D95"/>
    <w:rsid w:val="00BF5B62"/>
    <w:rsid w:val="00BF6443"/>
    <w:rsid w:val="00BF701D"/>
    <w:rsid w:val="00BF709A"/>
    <w:rsid w:val="00BF7132"/>
    <w:rsid w:val="00BF76F1"/>
    <w:rsid w:val="00C0057A"/>
    <w:rsid w:val="00C00AFF"/>
    <w:rsid w:val="00C0166D"/>
    <w:rsid w:val="00C01ACA"/>
    <w:rsid w:val="00C01D09"/>
    <w:rsid w:val="00C0265D"/>
    <w:rsid w:val="00C04E5A"/>
    <w:rsid w:val="00C05360"/>
    <w:rsid w:val="00C05C5C"/>
    <w:rsid w:val="00C05D68"/>
    <w:rsid w:val="00C05F74"/>
    <w:rsid w:val="00C0691D"/>
    <w:rsid w:val="00C07514"/>
    <w:rsid w:val="00C105FF"/>
    <w:rsid w:val="00C10EC7"/>
    <w:rsid w:val="00C1104F"/>
    <w:rsid w:val="00C12019"/>
    <w:rsid w:val="00C12754"/>
    <w:rsid w:val="00C12DBD"/>
    <w:rsid w:val="00C1357B"/>
    <w:rsid w:val="00C13E76"/>
    <w:rsid w:val="00C14249"/>
    <w:rsid w:val="00C14274"/>
    <w:rsid w:val="00C14E58"/>
    <w:rsid w:val="00C14F10"/>
    <w:rsid w:val="00C1511B"/>
    <w:rsid w:val="00C166CF"/>
    <w:rsid w:val="00C169AA"/>
    <w:rsid w:val="00C16A42"/>
    <w:rsid w:val="00C16D6B"/>
    <w:rsid w:val="00C1775E"/>
    <w:rsid w:val="00C179C8"/>
    <w:rsid w:val="00C17E53"/>
    <w:rsid w:val="00C17F01"/>
    <w:rsid w:val="00C20261"/>
    <w:rsid w:val="00C205E2"/>
    <w:rsid w:val="00C208B2"/>
    <w:rsid w:val="00C20A4D"/>
    <w:rsid w:val="00C21452"/>
    <w:rsid w:val="00C21957"/>
    <w:rsid w:val="00C22879"/>
    <w:rsid w:val="00C23A66"/>
    <w:rsid w:val="00C23AB7"/>
    <w:rsid w:val="00C23D5C"/>
    <w:rsid w:val="00C25F53"/>
    <w:rsid w:val="00C269DE"/>
    <w:rsid w:val="00C26A6F"/>
    <w:rsid w:val="00C275FB"/>
    <w:rsid w:val="00C30EE9"/>
    <w:rsid w:val="00C3290B"/>
    <w:rsid w:val="00C33285"/>
    <w:rsid w:val="00C34841"/>
    <w:rsid w:val="00C34CA6"/>
    <w:rsid w:val="00C376B5"/>
    <w:rsid w:val="00C37ADE"/>
    <w:rsid w:val="00C40346"/>
    <w:rsid w:val="00C40B64"/>
    <w:rsid w:val="00C40C5D"/>
    <w:rsid w:val="00C40E66"/>
    <w:rsid w:val="00C414AB"/>
    <w:rsid w:val="00C41B6B"/>
    <w:rsid w:val="00C41BD0"/>
    <w:rsid w:val="00C4237C"/>
    <w:rsid w:val="00C432BD"/>
    <w:rsid w:val="00C4398F"/>
    <w:rsid w:val="00C43CAB"/>
    <w:rsid w:val="00C43D20"/>
    <w:rsid w:val="00C440A0"/>
    <w:rsid w:val="00C4442D"/>
    <w:rsid w:val="00C45000"/>
    <w:rsid w:val="00C451C6"/>
    <w:rsid w:val="00C45349"/>
    <w:rsid w:val="00C45B40"/>
    <w:rsid w:val="00C46033"/>
    <w:rsid w:val="00C4623A"/>
    <w:rsid w:val="00C46298"/>
    <w:rsid w:val="00C46FF1"/>
    <w:rsid w:val="00C471D4"/>
    <w:rsid w:val="00C47F70"/>
    <w:rsid w:val="00C505A7"/>
    <w:rsid w:val="00C509BF"/>
    <w:rsid w:val="00C50BE4"/>
    <w:rsid w:val="00C51345"/>
    <w:rsid w:val="00C5180C"/>
    <w:rsid w:val="00C521CC"/>
    <w:rsid w:val="00C533B9"/>
    <w:rsid w:val="00C53B7E"/>
    <w:rsid w:val="00C53F95"/>
    <w:rsid w:val="00C544DD"/>
    <w:rsid w:val="00C5463B"/>
    <w:rsid w:val="00C55FD0"/>
    <w:rsid w:val="00C57A73"/>
    <w:rsid w:val="00C57B35"/>
    <w:rsid w:val="00C57B98"/>
    <w:rsid w:val="00C60DB2"/>
    <w:rsid w:val="00C61E32"/>
    <w:rsid w:val="00C6202F"/>
    <w:rsid w:val="00C627BB"/>
    <w:rsid w:val="00C628E7"/>
    <w:rsid w:val="00C630AF"/>
    <w:rsid w:val="00C63961"/>
    <w:rsid w:val="00C640A4"/>
    <w:rsid w:val="00C648F7"/>
    <w:rsid w:val="00C65604"/>
    <w:rsid w:val="00C657CD"/>
    <w:rsid w:val="00C65D72"/>
    <w:rsid w:val="00C66650"/>
    <w:rsid w:val="00C66E53"/>
    <w:rsid w:val="00C679A2"/>
    <w:rsid w:val="00C7027D"/>
    <w:rsid w:val="00C70D95"/>
    <w:rsid w:val="00C7229D"/>
    <w:rsid w:val="00C72E4A"/>
    <w:rsid w:val="00C73BA2"/>
    <w:rsid w:val="00C73F71"/>
    <w:rsid w:val="00C746F0"/>
    <w:rsid w:val="00C74EA8"/>
    <w:rsid w:val="00C75CDF"/>
    <w:rsid w:val="00C77233"/>
    <w:rsid w:val="00C77801"/>
    <w:rsid w:val="00C779FC"/>
    <w:rsid w:val="00C77CB9"/>
    <w:rsid w:val="00C80DCE"/>
    <w:rsid w:val="00C80E0C"/>
    <w:rsid w:val="00C81161"/>
    <w:rsid w:val="00C81D79"/>
    <w:rsid w:val="00C82CF3"/>
    <w:rsid w:val="00C83373"/>
    <w:rsid w:val="00C83E9C"/>
    <w:rsid w:val="00C83F54"/>
    <w:rsid w:val="00C83F97"/>
    <w:rsid w:val="00C84591"/>
    <w:rsid w:val="00C848AF"/>
    <w:rsid w:val="00C848EA"/>
    <w:rsid w:val="00C84919"/>
    <w:rsid w:val="00C84BC9"/>
    <w:rsid w:val="00C84E60"/>
    <w:rsid w:val="00C84F7E"/>
    <w:rsid w:val="00C85541"/>
    <w:rsid w:val="00C857EB"/>
    <w:rsid w:val="00C85973"/>
    <w:rsid w:val="00C85F89"/>
    <w:rsid w:val="00C9059D"/>
    <w:rsid w:val="00C91674"/>
    <w:rsid w:val="00C929ED"/>
    <w:rsid w:val="00C930CC"/>
    <w:rsid w:val="00C9340D"/>
    <w:rsid w:val="00C9369B"/>
    <w:rsid w:val="00C93778"/>
    <w:rsid w:val="00C939F0"/>
    <w:rsid w:val="00C93C83"/>
    <w:rsid w:val="00C95F17"/>
    <w:rsid w:val="00C95F87"/>
    <w:rsid w:val="00C97924"/>
    <w:rsid w:val="00CA0D90"/>
    <w:rsid w:val="00CA1115"/>
    <w:rsid w:val="00CA180C"/>
    <w:rsid w:val="00CA1983"/>
    <w:rsid w:val="00CA2DDC"/>
    <w:rsid w:val="00CA3501"/>
    <w:rsid w:val="00CA3634"/>
    <w:rsid w:val="00CA3721"/>
    <w:rsid w:val="00CA37EA"/>
    <w:rsid w:val="00CA3F68"/>
    <w:rsid w:val="00CA479F"/>
    <w:rsid w:val="00CA4878"/>
    <w:rsid w:val="00CA49FA"/>
    <w:rsid w:val="00CA4C5C"/>
    <w:rsid w:val="00CA4CFA"/>
    <w:rsid w:val="00CA5B25"/>
    <w:rsid w:val="00CA5CAC"/>
    <w:rsid w:val="00CA5F63"/>
    <w:rsid w:val="00CA615D"/>
    <w:rsid w:val="00CA679C"/>
    <w:rsid w:val="00CA6F9E"/>
    <w:rsid w:val="00CA78DE"/>
    <w:rsid w:val="00CB02C5"/>
    <w:rsid w:val="00CB05CA"/>
    <w:rsid w:val="00CB13E7"/>
    <w:rsid w:val="00CB15D3"/>
    <w:rsid w:val="00CB1943"/>
    <w:rsid w:val="00CB1DBB"/>
    <w:rsid w:val="00CB1DF0"/>
    <w:rsid w:val="00CB1ED6"/>
    <w:rsid w:val="00CB2FE3"/>
    <w:rsid w:val="00CB3120"/>
    <w:rsid w:val="00CB3277"/>
    <w:rsid w:val="00CB32B8"/>
    <w:rsid w:val="00CB39B8"/>
    <w:rsid w:val="00CB3DD7"/>
    <w:rsid w:val="00CB40A0"/>
    <w:rsid w:val="00CB50F6"/>
    <w:rsid w:val="00CB53C4"/>
    <w:rsid w:val="00CB584F"/>
    <w:rsid w:val="00CB58DA"/>
    <w:rsid w:val="00CB64C1"/>
    <w:rsid w:val="00CB67DB"/>
    <w:rsid w:val="00CB67ED"/>
    <w:rsid w:val="00CB72D1"/>
    <w:rsid w:val="00CB75A2"/>
    <w:rsid w:val="00CB7A14"/>
    <w:rsid w:val="00CC0867"/>
    <w:rsid w:val="00CC12CE"/>
    <w:rsid w:val="00CC1520"/>
    <w:rsid w:val="00CC17A2"/>
    <w:rsid w:val="00CC1BF9"/>
    <w:rsid w:val="00CC1D43"/>
    <w:rsid w:val="00CC228A"/>
    <w:rsid w:val="00CC2748"/>
    <w:rsid w:val="00CC2856"/>
    <w:rsid w:val="00CC3645"/>
    <w:rsid w:val="00CC4044"/>
    <w:rsid w:val="00CC445D"/>
    <w:rsid w:val="00CC4C29"/>
    <w:rsid w:val="00CC5732"/>
    <w:rsid w:val="00CC6300"/>
    <w:rsid w:val="00CC764C"/>
    <w:rsid w:val="00CC7D1C"/>
    <w:rsid w:val="00CC7E6E"/>
    <w:rsid w:val="00CD06AB"/>
    <w:rsid w:val="00CD1FC7"/>
    <w:rsid w:val="00CD4566"/>
    <w:rsid w:val="00CD4CA8"/>
    <w:rsid w:val="00CD5330"/>
    <w:rsid w:val="00CD5824"/>
    <w:rsid w:val="00CD5F5F"/>
    <w:rsid w:val="00CD7038"/>
    <w:rsid w:val="00CD7116"/>
    <w:rsid w:val="00CE093C"/>
    <w:rsid w:val="00CE09C1"/>
    <w:rsid w:val="00CE0CF1"/>
    <w:rsid w:val="00CE125D"/>
    <w:rsid w:val="00CE158D"/>
    <w:rsid w:val="00CE201E"/>
    <w:rsid w:val="00CE21AB"/>
    <w:rsid w:val="00CE2DFA"/>
    <w:rsid w:val="00CE2F22"/>
    <w:rsid w:val="00CE3109"/>
    <w:rsid w:val="00CE399D"/>
    <w:rsid w:val="00CE3E52"/>
    <w:rsid w:val="00CE4B52"/>
    <w:rsid w:val="00CE539A"/>
    <w:rsid w:val="00CE6B39"/>
    <w:rsid w:val="00CE7721"/>
    <w:rsid w:val="00CE7895"/>
    <w:rsid w:val="00CF1524"/>
    <w:rsid w:val="00CF2691"/>
    <w:rsid w:val="00CF2B28"/>
    <w:rsid w:val="00CF3133"/>
    <w:rsid w:val="00CF32FB"/>
    <w:rsid w:val="00CF373E"/>
    <w:rsid w:val="00CF3A8E"/>
    <w:rsid w:val="00CF3CA6"/>
    <w:rsid w:val="00CF4214"/>
    <w:rsid w:val="00CF44A2"/>
    <w:rsid w:val="00CF4BCE"/>
    <w:rsid w:val="00CF4D20"/>
    <w:rsid w:val="00CF59ED"/>
    <w:rsid w:val="00CF5E76"/>
    <w:rsid w:val="00CF6A74"/>
    <w:rsid w:val="00CF6CFD"/>
    <w:rsid w:val="00CF76FD"/>
    <w:rsid w:val="00D00DD7"/>
    <w:rsid w:val="00D00F3C"/>
    <w:rsid w:val="00D01BC1"/>
    <w:rsid w:val="00D0213E"/>
    <w:rsid w:val="00D0246C"/>
    <w:rsid w:val="00D04373"/>
    <w:rsid w:val="00D04D2B"/>
    <w:rsid w:val="00D057E1"/>
    <w:rsid w:val="00D0640C"/>
    <w:rsid w:val="00D071E8"/>
    <w:rsid w:val="00D07256"/>
    <w:rsid w:val="00D07759"/>
    <w:rsid w:val="00D10535"/>
    <w:rsid w:val="00D106B5"/>
    <w:rsid w:val="00D106EF"/>
    <w:rsid w:val="00D10C97"/>
    <w:rsid w:val="00D11210"/>
    <w:rsid w:val="00D11545"/>
    <w:rsid w:val="00D11749"/>
    <w:rsid w:val="00D123E7"/>
    <w:rsid w:val="00D129A4"/>
    <w:rsid w:val="00D12FD5"/>
    <w:rsid w:val="00D13799"/>
    <w:rsid w:val="00D13DEB"/>
    <w:rsid w:val="00D1482C"/>
    <w:rsid w:val="00D14C89"/>
    <w:rsid w:val="00D156A9"/>
    <w:rsid w:val="00D158CD"/>
    <w:rsid w:val="00D16BE5"/>
    <w:rsid w:val="00D16C2B"/>
    <w:rsid w:val="00D16C49"/>
    <w:rsid w:val="00D202F4"/>
    <w:rsid w:val="00D217EE"/>
    <w:rsid w:val="00D21867"/>
    <w:rsid w:val="00D218DB"/>
    <w:rsid w:val="00D22A9E"/>
    <w:rsid w:val="00D22F7A"/>
    <w:rsid w:val="00D23FB8"/>
    <w:rsid w:val="00D241ED"/>
    <w:rsid w:val="00D24C95"/>
    <w:rsid w:val="00D250C6"/>
    <w:rsid w:val="00D25252"/>
    <w:rsid w:val="00D259D4"/>
    <w:rsid w:val="00D26468"/>
    <w:rsid w:val="00D267BB"/>
    <w:rsid w:val="00D27999"/>
    <w:rsid w:val="00D30A1A"/>
    <w:rsid w:val="00D314FA"/>
    <w:rsid w:val="00D31B5B"/>
    <w:rsid w:val="00D31D40"/>
    <w:rsid w:val="00D3246D"/>
    <w:rsid w:val="00D32635"/>
    <w:rsid w:val="00D32877"/>
    <w:rsid w:val="00D32AFD"/>
    <w:rsid w:val="00D35727"/>
    <w:rsid w:val="00D35873"/>
    <w:rsid w:val="00D379B2"/>
    <w:rsid w:val="00D40113"/>
    <w:rsid w:val="00D4117D"/>
    <w:rsid w:val="00D4198F"/>
    <w:rsid w:val="00D419D7"/>
    <w:rsid w:val="00D422C1"/>
    <w:rsid w:val="00D423BB"/>
    <w:rsid w:val="00D4347D"/>
    <w:rsid w:val="00D437A6"/>
    <w:rsid w:val="00D45504"/>
    <w:rsid w:val="00D455B0"/>
    <w:rsid w:val="00D478B8"/>
    <w:rsid w:val="00D503F0"/>
    <w:rsid w:val="00D50469"/>
    <w:rsid w:val="00D506B3"/>
    <w:rsid w:val="00D50910"/>
    <w:rsid w:val="00D50FA1"/>
    <w:rsid w:val="00D51E0D"/>
    <w:rsid w:val="00D52AE1"/>
    <w:rsid w:val="00D53037"/>
    <w:rsid w:val="00D5337D"/>
    <w:rsid w:val="00D5340B"/>
    <w:rsid w:val="00D539B5"/>
    <w:rsid w:val="00D539D0"/>
    <w:rsid w:val="00D54492"/>
    <w:rsid w:val="00D54743"/>
    <w:rsid w:val="00D555D2"/>
    <w:rsid w:val="00D5566E"/>
    <w:rsid w:val="00D557A7"/>
    <w:rsid w:val="00D55CBA"/>
    <w:rsid w:val="00D5604A"/>
    <w:rsid w:val="00D56683"/>
    <w:rsid w:val="00D57031"/>
    <w:rsid w:val="00D57CE7"/>
    <w:rsid w:val="00D57D07"/>
    <w:rsid w:val="00D57EC2"/>
    <w:rsid w:val="00D60734"/>
    <w:rsid w:val="00D60AAA"/>
    <w:rsid w:val="00D60EF2"/>
    <w:rsid w:val="00D61296"/>
    <w:rsid w:val="00D62153"/>
    <w:rsid w:val="00D62D34"/>
    <w:rsid w:val="00D637C0"/>
    <w:rsid w:val="00D64388"/>
    <w:rsid w:val="00D643C6"/>
    <w:rsid w:val="00D64D51"/>
    <w:rsid w:val="00D650B5"/>
    <w:rsid w:val="00D65FAE"/>
    <w:rsid w:val="00D67102"/>
    <w:rsid w:val="00D67FD2"/>
    <w:rsid w:val="00D71785"/>
    <w:rsid w:val="00D718BE"/>
    <w:rsid w:val="00D72C74"/>
    <w:rsid w:val="00D73C53"/>
    <w:rsid w:val="00D7470B"/>
    <w:rsid w:val="00D7483F"/>
    <w:rsid w:val="00D74CE4"/>
    <w:rsid w:val="00D751E7"/>
    <w:rsid w:val="00D76B90"/>
    <w:rsid w:val="00D76CAA"/>
    <w:rsid w:val="00D7763C"/>
    <w:rsid w:val="00D77828"/>
    <w:rsid w:val="00D7797E"/>
    <w:rsid w:val="00D801BE"/>
    <w:rsid w:val="00D8073D"/>
    <w:rsid w:val="00D808AA"/>
    <w:rsid w:val="00D809E4"/>
    <w:rsid w:val="00D81136"/>
    <w:rsid w:val="00D815C7"/>
    <w:rsid w:val="00D81E09"/>
    <w:rsid w:val="00D81FD4"/>
    <w:rsid w:val="00D82243"/>
    <w:rsid w:val="00D83522"/>
    <w:rsid w:val="00D83BCE"/>
    <w:rsid w:val="00D8450E"/>
    <w:rsid w:val="00D8454F"/>
    <w:rsid w:val="00D86F1B"/>
    <w:rsid w:val="00D87739"/>
    <w:rsid w:val="00D87F92"/>
    <w:rsid w:val="00D90057"/>
    <w:rsid w:val="00D90342"/>
    <w:rsid w:val="00D90AEE"/>
    <w:rsid w:val="00D91B5D"/>
    <w:rsid w:val="00D922EB"/>
    <w:rsid w:val="00D92C0B"/>
    <w:rsid w:val="00D92C63"/>
    <w:rsid w:val="00D932AE"/>
    <w:rsid w:val="00D93DFC"/>
    <w:rsid w:val="00D94306"/>
    <w:rsid w:val="00D94510"/>
    <w:rsid w:val="00D94DD8"/>
    <w:rsid w:val="00D96D8E"/>
    <w:rsid w:val="00D9722F"/>
    <w:rsid w:val="00D97638"/>
    <w:rsid w:val="00D97AA0"/>
    <w:rsid w:val="00DA1DC4"/>
    <w:rsid w:val="00DA1F1B"/>
    <w:rsid w:val="00DA249F"/>
    <w:rsid w:val="00DA3216"/>
    <w:rsid w:val="00DA32C2"/>
    <w:rsid w:val="00DA36C6"/>
    <w:rsid w:val="00DA38A9"/>
    <w:rsid w:val="00DA4701"/>
    <w:rsid w:val="00DA5DE4"/>
    <w:rsid w:val="00DA75EF"/>
    <w:rsid w:val="00DA7734"/>
    <w:rsid w:val="00DB01EC"/>
    <w:rsid w:val="00DB10F0"/>
    <w:rsid w:val="00DB1A30"/>
    <w:rsid w:val="00DB1C4D"/>
    <w:rsid w:val="00DB231A"/>
    <w:rsid w:val="00DB252E"/>
    <w:rsid w:val="00DB2A69"/>
    <w:rsid w:val="00DB2D97"/>
    <w:rsid w:val="00DB3063"/>
    <w:rsid w:val="00DB3A9C"/>
    <w:rsid w:val="00DB413A"/>
    <w:rsid w:val="00DB4D37"/>
    <w:rsid w:val="00DB4E0E"/>
    <w:rsid w:val="00DB57E4"/>
    <w:rsid w:val="00DB614B"/>
    <w:rsid w:val="00DB662F"/>
    <w:rsid w:val="00DB741D"/>
    <w:rsid w:val="00DB74D9"/>
    <w:rsid w:val="00DB77F6"/>
    <w:rsid w:val="00DB79CE"/>
    <w:rsid w:val="00DB7B78"/>
    <w:rsid w:val="00DB7EC5"/>
    <w:rsid w:val="00DC02EC"/>
    <w:rsid w:val="00DC0832"/>
    <w:rsid w:val="00DC1759"/>
    <w:rsid w:val="00DC183C"/>
    <w:rsid w:val="00DC2ED6"/>
    <w:rsid w:val="00DC3031"/>
    <w:rsid w:val="00DC3B4A"/>
    <w:rsid w:val="00DC41BF"/>
    <w:rsid w:val="00DC464D"/>
    <w:rsid w:val="00DC4942"/>
    <w:rsid w:val="00DC5833"/>
    <w:rsid w:val="00DC6F26"/>
    <w:rsid w:val="00DC751E"/>
    <w:rsid w:val="00DD0F7D"/>
    <w:rsid w:val="00DD12EA"/>
    <w:rsid w:val="00DD23D0"/>
    <w:rsid w:val="00DD2AB4"/>
    <w:rsid w:val="00DD3B95"/>
    <w:rsid w:val="00DD3BFF"/>
    <w:rsid w:val="00DD441E"/>
    <w:rsid w:val="00DD46BA"/>
    <w:rsid w:val="00DD5703"/>
    <w:rsid w:val="00DD5924"/>
    <w:rsid w:val="00DD5FFD"/>
    <w:rsid w:val="00DD7A68"/>
    <w:rsid w:val="00DE0AB5"/>
    <w:rsid w:val="00DE104F"/>
    <w:rsid w:val="00DE1190"/>
    <w:rsid w:val="00DE145F"/>
    <w:rsid w:val="00DE22DE"/>
    <w:rsid w:val="00DE24F7"/>
    <w:rsid w:val="00DE3004"/>
    <w:rsid w:val="00DE3C76"/>
    <w:rsid w:val="00DE4A4D"/>
    <w:rsid w:val="00DE4CE1"/>
    <w:rsid w:val="00DE53AD"/>
    <w:rsid w:val="00DE569F"/>
    <w:rsid w:val="00DE5704"/>
    <w:rsid w:val="00DE6329"/>
    <w:rsid w:val="00DE7319"/>
    <w:rsid w:val="00DE78B9"/>
    <w:rsid w:val="00DE7D58"/>
    <w:rsid w:val="00DF08CB"/>
    <w:rsid w:val="00DF0D1B"/>
    <w:rsid w:val="00DF1F03"/>
    <w:rsid w:val="00DF2BF5"/>
    <w:rsid w:val="00DF2CD9"/>
    <w:rsid w:val="00DF36CB"/>
    <w:rsid w:val="00DF3E6E"/>
    <w:rsid w:val="00DF4396"/>
    <w:rsid w:val="00DF45FD"/>
    <w:rsid w:val="00DF4791"/>
    <w:rsid w:val="00DF4DBF"/>
    <w:rsid w:val="00DF522F"/>
    <w:rsid w:val="00DF531F"/>
    <w:rsid w:val="00DF54E2"/>
    <w:rsid w:val="00DF56CD"/>
    <w:rsid w:val="00DF59FE"/>
    <w:rsid w:val="00DF629F"/>
    <w:rsid w:val="00DF7414"/>
    <w:rsid w:val="00E002B3"/>
    <w:rsid w:val="00E00860"/>
    <w:rsid w:val="00E01AB6"/>
    <w:rsid w:val="00E0298E"/>
    <w:rsid w:val="00E02CB3"/>
    <w:rsid w:val="00E034E1"/>
    <w:rsid w:val="00E041B7"/>
    <w:rsid w:val="00E044BA"/>
    <w:rsid w:val="00E06DA3"/>
    <w:rsid w:val="00E072E5"/>
    <w:rsid w:val="00E0745B"/>
    <w:rsid w:val="00E07615"/>
    <w:rsid w:val="00E07876"/>
    <w:rsid w:val="00E103EF"/>
    <w:rsid w:val="00E10A4B"/>
    <w:rsid w:val="00E1131D"/>
    <w:rsid w:val="00E116EE"/>
    <w:rsid w:val="00E1357B"/>
    <w:rsid w:val="00E13B12"/>
    <w:rsid w:val="00E143F2"/>
    <w:rsid w:val="00E14E28"/>
    <w:rsid w:val="00E1534A"/>
    <w:rsid w:val="00E156F4"/>
    <w:rsid w:val="00E16A17"/>
    <w:rsid w:val="00E16F91"/>
    <w:rsid w:val="00E20145"/>
    <w:rsid w:val="00E20A2C"/>
    <w:rsid w:val="00E222A7"/>
    <w:rsid w:val="00E2248E"/>
    <w:rsid w:val="00E229A7"/>
    <w:rsid w:val="00E22BA4"/>
    <w:rsid w:val="00E23205"/>
    <w:rsid w:val="00E23B88"/>
    <w:rsid w:val="00E24967"/>
    <w:rsid w:val="00E25D62"/>
    <w:rsid w:val="00E25F90"/>
    <w:rsid w:val="00E2655F"/>
    <w:rsid w:val="00E269BF"/>
    <w:rsid w:val="00E26C4C"/>
    <w:rsid w:val="00E26DE9"/>
    <w:rsid w:val="00E27EE3"/>
    <w:rsid w:val="00E302DF"/>
    <w:rsid w:val="00E30860"/>
    <w:rsid w:val="00E30973"/>
    <w:rsid w:val="00E309BE"/>
    <w:rsid w:val="00E30B5E"/>
    <w:rsid w:val="00E3126B"/>
    <w:rsid w:val="00E31363"/>
    <w:rsid w:val="00E31536"/>
    <w:rsid w:val="00E31900"/>
    <w:rsid w:val="00E3198C"/>
    <w:rsid w:val="00E328E3"/>
    <w:rsid w:val="00E329FC"/>
    <w:rsid w:val="00E33ED2"/>
    <w:rsid w:val="00E34530"/>
    <w:rsid w:val="00E35875"/>
    <w:rsid w:val="00E36456"/>
    <w:rsid w:val="00E36B97"/>
    <w:rsid w:val="00E36C4D"/>
    <w:rsid w:val="00E3767F"/>
    <w:rsid w:val="00E377E9"/>
    <w:rsid w:val="00E405D8"/>
    <w:rsid w:val="00E40DA4"/>
    <w:rsid w:val="00E419A6"/>
    <w:rsid w:val="00E41A9F"/>
    <w:rsid w:val="00E41C92"/>
    <w:rsid w:val="00E420F3"/>
    <w:rsid w:val="00E426FF"/>
    <w:rsid w:val="00E4359A"/>
    <w:rsid w:val="00E43C11"/>
    <w:rsid w:val="00E43D8A"/>
    <w:rsid w:val="00E44BC0"/>
    <w:rsid w:val="00E45BF3"/>
    <w:rsid w:val="00E46899"/>
    <w:rsid w:val="00E47AA0"/>
    <w:rsid w:val="00E50F37"/>
    <w:rsid w:val="00E5173A"/>
    <w:rsid w:val="00E519B1"/>
    <w:rsid w:val="00E51A5A"/>
    <w:rsid w:val="00E51A72"/>
    <w:rsid w:val="00E527E3"/>
    <w:rsid w:val="00E537DD"/>
    <w:rsid w:val="00E54651"/>
    <w:rsid w:val="00E546F4"/>
    <w:rsid w:val="00E5527F"/>
    <w:rsid w:val="00E5557C"/>
    <w:rsid w:val="00E5577F"/>
    <w:rsid w:val="00E558BE"/>
    <w:rsid w:val="00E55B7B"/>
    <w:rsid w:val="00E56715"/>
    <w:rsid w:val="00E56FC1"/>
    <w:rsid w:val="00E57832"/>
    <w:rsid w:val="00E57DDD"/>
    <w:rsid w:val="00E600CC"/>
    <w:rsid w:val="00E60F54"/>
    <w:rsid w:val="00E611E9"/>
    <w:rsid w:val="00E619EC"/>
    <w:rsid w:val="00E61B56"/>
    <w:rsid w:val="00E62E2C"/>
    <w:rsid w:val="00E62F31"/>
    <w:rsid w:val="00E64091"/>
    <w:rsid w:val="00E646F2"/>
    <w:rsid w:val="00E64799"/>
    <w:rsid w:val="00E64A1F"/>
    <w:rsid w:val="00E65F60"/>
    <w:rsid w:val="00E670E0"/>
    <w:rsid w:val="00E707B1"/>
    <w:rsid w:val="00E70B72"/>
    <w:rsid w:val="00E70B8E"/>
    <w:rsid w:val="00E71031"/>
    <w:rsid w:val="00E7126E"/>
    <w:rsid w:val="00E71CB2"/>
    <w:rsid w:val="00E71CDE"/>
    <w:rsid w:val="00E721E3"/>
    <w:rsid w:val="00E72815"/>
    <w:rsid w:val="00E72AF8"/>
    <w:rsid w:val="00E72B44"/>
    <w:rsid w:val="00E72BBA"/>
    <w:rsid w:val="00E72C5D"/>
    <w:rsid w:val="00E742B5"/>
    <w:rsid w:val="00E74D95"/>
    <w:rsid w:val="00E765BB"/>
    <w:rsid w:val="00E766CB"/>
    <w:rsid w:val="00E777C9"/>
    <w:rsid w:val="00E779FD"/>
    <w:rsid w:val="00E80DBB"/>
    <w:rsid w:val="00E817D1"/>
    <w:rsid w:val="00E81A5F"/>
    <w:rsid w:val="00E8227F"/>
    <w:rsid w:val="00E82846"/>
    <w:rsid w:val="00E83019"/>
    <w:rsid w:val="00E833AC"/>
    <w:rsid w:val="00E83829"/>
    <w:rsid w:val="00E8417D"/>
    <w:rsid w:val="00E84E9B"/>
    <w:rsid w:val="00E85225"/>
    <w:rsid w:val="00E85657"/>
    <w:rsid w:val="00E8582C"/>
    <w:rsid w:val="00E85D9F"/>
    <w:rsid w:val="00E86B79"/>
    <w:rsid w:val="00E876FB"/>
    <w:rsid w:val="00E87904"/>
    <w:rsid w:val="00E905D7"/>
    <w:rsid w:val="00E90AB1"/>
    <w:rsid w:val="00E92F69"/>
    <w:rsid w:val="00E93692"/>
    <w:rsid w:val="00E9389B"/>
    <w:rsid w:val="00E93A43"/>
    <w:rsid w:val="00E93EFE"/>
    <w:rsid w:val="00E94525"/>
    <w:rsid w:val="00E94B37"/>
    <w:rsid w:val="00E950A6"/>
    <w:rsid w:val="00E95407"/>
    <w:rsid w:val="00E9644A"/>
    <w:rsid w:val="00E96806"/>
    <w:rsid w:val="00E96D1C"/>
    <w:rsid w:val="00E97DB4"/>
    <w:rsid w:val="00EA22BF"/>
    <w:rsid w:val="00EA239E"/>
    <w:rsid w:val="00EA2475"/>
    <w:rsid w:val="00EA29D1"/>
    <w:rsid w:val="00EA2BC2"/>
    <w:rsid w:val="00EA2F97"/>
    <w:rsid w:val="00EA36DF"/>
    <w:rsid w:val="00EA3809"/>
    <w:rsid w:val="00EA4127"/>
    <w:rsid w:val="00EA4350"/>
    <w:rsid w:val="00EA45C4"/>
    <w:rsid w:val="00EA6DC0"/>
    <w:rsid w:val="00EA71F7"/>
    <w:rsid w:val="00EA7479"/>
    <w:rsid w:val="00EB08BC"/>
    <w:rsid w:val="00EB380E"/>
    <w:rsid w:val="00EB3CE7"/>
    <w:rsid w:val="00EB45C7"/>
    <w:rsid w:val="00EB4DFE"/>
    <w:rsid w:val="00EB5DBA"/>
    <w:rsid w:val="00EB680E"/>
    <w:rsid w:val="00EB788D"/>
    <w:rsid w:val="00EC00B3"/>
    <w:rsid w:val="00EC0341"/>
    <w:rsid w:val="00EC0B41"/>
    <w:rsid w:val="00EC11C4"/>
    <w:rsid w:val="00EC2608"/>
    <w:rsid w:val="00EC2723"/>
    <w:rsid w:val="00EC27E4"/>
    <w:rsid w:val="00EC2CB5"/>
    <w:rsid w:val="00EC2F6D"/>
    <w:rsid w:val="00EC346E"/>
    <w:rsid w:val="00EC3877"/>
    <w:rsid w:val="00EC3AF4"/>
    <w:rsid w:val="00EC40AE"/>
    <w:rsid w:val="00EC4876"/>
    <w:rsid w:val="00EC5AB1"/>
    <w:rsid w:val="00EC5CB1"/>
    <w:rsid w:val="00EC6C0E"/>
    <w:rsid w:val="00EC7ED2"/>
    <w:rsid w:val="00ED19C6"/>
    <w:rsid w:val="00ED2036"/>
    <w:rsid w:val="00ED2410"/>
    <w:rsid w:val="00ED3263"/>
    <w:rsid w:val="00ED4340"/>
    <w:rsid w:val="00ED4554"/>
    <w:rsid w:val="00ED4CFA"/>
    <w:rsid w:val="00ED59ED"/>
    <w:rsid w:val="00ED6042"/>
    <w:rsid w:val="00ED6498"/>
    <w:rsid w:val="00ED6775"/>
    <w:rsid w:val="00ED6823"/>
    <w:rsid w:val="00ED749E"/>
    <w:rsid w:val="00ED77CF"/>
    <w:rsid w:val="00ED7D3E"/>
    <w:rsid w:val="00EE032B"/>
    <w:rsid w:val="00EE07A4"/>
    <w:rsid w:val="00EE1049"/>
    <w:rsid w:val="00EE1D56"/>
    <w:rsid w:val="00EE1E71"/>
    <w:rsid w:val="00EE240D"/>
    <w:rsid w:val="00EE2ADD"/>
    <w:rsid w:val="00EE2F14"/>
    <w:rsid w:val="00EE373D"/>
    <w:rsid w:val="00EE47F5"/>
    <w:rsid w:val="00EE4CD4"/>
    <w:rsid w:val="00EE5564"/>
    <w:rsid w:val="00EE5F75"/>
    <w:rsid w:val="00EE77E0"/>
    <w:rsid w:val="00EF0167"/>
    <w:rsid w:val="00EF051F"/>
    <w:rsid w:val="00EF0694"/>
    <w:rsid w:val="00EF0E47"/>
    <w:rsid w:val="00EF105C"/>
    <w:rsid w:val="00EF271C"/>
    <w:rsid w:val="00EF2DFB"/>
    <w:rsid w:val="00EF31E1"/>
    <w:rsid w:val="00EF3DA2"/>
    <w:rsid w:val="00EF3DFD"/>
    <w:rsid w:val="00EF443D"/>
    <w:rsid w:val="00EF54E6"/>
    <w:rsid w:val="00EF59EB"/>
    <w:rsid w:val="00EF5C0F"/>
    <w:rsid w:val="00EF6729"/>
    <w:rsid w:val="00EF6881"/>
    <w:rsid w:val="00EF6BAA"/>
    <w:rsid w:val="00F00DEC"/>
    <w:rsid w:val="00F0248D"/>
    <w:rsid w:val="00F02895"/>
    <w:rsid w:val="00F02EFA"/>
    <w:rsid w:val="00F03E09"/>
    <w:rsid w:val="00F047E3"/>
    <w:rsid w:val="00F04E6E"/>
    <w:rsid w:val="00F04ED9"/>
    <w:rsid w:val="00F05CEF"/>
    <w:rsid w:val="00F05D7C"/>
    <w:rsid w:val="00F05E52"/>
    <w:rsid w:val="00F063AC"/>
    <w:rsid w:val="00F063EC"/>
    <w:rsid w:val="00F1054A"/>
    <w:rsid w:val="00F110C7"/>
    <w:rsid w:val="00F118EF"/>
    <w:rsid w:val="00F11D6B"/>
    <w:rsid w:val="00F12237"/>
    <w:rsid w:val="00F1288E"/>
    <w:rsid w:val="00F12A9D"/>
    <w:rsid w:val="00F12F6E"/>
    <w:rsid w:val="00F148F2"/>
    <w:rsid w:val="00F158BD"/>
    <w:rsid w:val="00F15BCB"/>
    <w:rsid w:val="00F16221"/>
    <w:rsid w:val="00F17002"/>
    <w:rsid w:val="00F1709D"/>
    <w:rsid w:val="00F17936"/>
    <w:rsid w:val="00F20577"/>
    <w:rsid w:val="00F20652"/>
    <w:rsid w:val="00F20783"/>
    <w:rsid w:val="00F20ECD"/>
    <w:rsid w:val="00F20F3F"/>
    <w:rsid w:val="00F21307"/>
    <w:rsid w:val="00F2213F"/>
    <w:rsid w:val="00F225E1"/>
    <w:rsid w:val="00F22C1A"/>
    <w:rsid w:val="00F22C8B"/>
    <w:rsid w:val="00F23E62"/>
    <w:rsid w:val="00F24DF0"/>
    <w:rsid w:val="00F25B9E"/>
    <w:rsid w:val="00F2790E"/>
    <w:rsid w:val="00F27B3A"/>
    <w:rsid w:val="00F27F7F"/>
    <w:rsid w:val="00F30368"/>
    <w:rsid w:val="00F307A2"/>
    <w:rsid w:val="00F31632"/>
    <w:rsid w:val="00F31692"/>
    <w:rsid w:val="00F31F60"/>
    <w:rsid w:val="00F3200F"/>
    <w:rsid w:val="00F320C7"/>
    <w:rsid w:val="00F3236A"/>
    <w:rsid w:val="00F333BF"/>
    <w:rsid w:val="00F33C3F"/>
    <w:rsid w:val="00F33D43"/>
    <w:rsid w:val="00F34127"/>
    <w:rsid w:val="00F34478"/>
    <w:rsid w:val="00F36B9E"/>
    <w:rsid w:val="00F36BD4"/>
    <w:rsid w:val="00F374E1"/>
    <w:rsid w:val="00F37863"/>
    <w:rsid w:val="00F37A32"/>
    <w:rsid w:val="00F37BFD"/>
    <w:rsid w:val="00F37D45"/>
    <w:rsid w:val="00F4096D"/>
    <w:rsid w:val="00F40C80"/>
    <w:rsid w:val="00F40E01"/>
    <w:rsid w:val="00F414D8"/>
    <w:rsid w:val="00F4158F"/>
    <w:rsid w:val="00F41E3E"/>
    <w:rsid w:val="00F43725"/>
    <w:rsid w:val="00F43982"/>
    <w:rsid w:val="00F43C58"/>
    <w:rsid w:val="00F44070"/>
    <w:rsid w:val="00F441EE"/>
    <w:rsid w:val="00F44F34"/>
    <w:rsid w:val="00F45634"/>
    <w:rsid w:val="00F45AD3"/>
    <w:rsid w:val="00F466E9"/>
    <w:rsid w:val="00F46BBB"/>
    <w:rsid w:val="00F471A2"/>
    <w:rsid w:val="00F477F1"/>
    <w:rsid w:val="00F47BB4"/>
    <w:rsid w:val="00F50362"/>
    <w:rsid w:val="00F5049E"/>
    <w:rsid w:val="00F50B11"/>
    <w:rsid w:val="00F50F60"/>
    <w:rsid w:val="00F510EF"/>
    <w:rsid w:val="00F522BB"/>
    <w:rsid w:val="00F526A5"/>
    <w:rsid w:val="00F53862"/>
    <w:rsid w:val="00F53B94"/>
    <w:rsid w:val="00F53EC3"/>
    <w:rsid w:val="00F544C2"/>
    <w:rsid w:val="00F54AC8"/>
    <w:rsid w:val="00F54BCF"/>
    <w:rsid w:val="00F55179"/>
    <w:rsid w:val="00F55D54"/>
    <w:rsid w:val="00F563D5"/>
    <w:rsid w:val="00F56CC7"/>
    <w:rsid w:val="00F6136E"/>
    <w:rsid w:val="00F62629"/>
    <w:rsid w:val="00F62B7E"/>
    <w:rsid w:val="00F62F51"/>
    <w:rsid w:val="00F634C2"/>
    <w:rsid w:val="00F63787"/>
    <w:rsid w:val="00F638AC"/>
    <w:rsid w:val="00F658E9"/>
    <w:rsid w:val="00F65BB6"/>
    <w:rsid w:val="00F662F4"/>
    <w:rsid w:val="00F666FF"/>
    <w:rsid w:val="00F66AF4"/>
    <w:rsid w:val="00F66BB0"/>
    <w:rsid w:val="00F679F5"/>
    <w:rsid w:val="00F67C42"/>
    <w:rsid w:val="00F702AC"/>
    <w:rsid w:val="00F706C0"/>
    <w:rsid w:val="00F70CEA"/>
    <w:rsid w:val="00F71B71"/>
    <w:rsid w:val="00F71CA7"/>
    <w:rsid w:val="00F72857"/>
    <w:rsid w:val="00F72F3D"/>
    <w:rsid w:val="00F73294"/>
    <w:rsid w:val="00F73644"/>
    <w:rsid w:val="00F7407A"/>
    <w:rsid w:val="00F7499E"/>
    <w:rsid w:val="00F74AD4"/>
    <w:rsid w:val="00F74B8B"/>
    <w:rsid w:val="00F74BAD"/>
    <w:rsid w:val="00F76385"/>
    <w:rsid w:val="00F7653A"/>
    <w:rsid w:val="00F77887"/>
    <w:rsid w:val="00F80554"/>
    <w:rsid w:val="00F80DA8"/>
    <w:rsid w:val="00F81633"/>
    <w:rsid w:val="00F81D5C"/>
    <w:rsid w:val="00F821A1"/>
    <w:rsid w:val="00F82704"/>
    <w:rsid w:val="00F82760"/>
    <w:rsid w:val="00F8298E"/>
    <w:rsid w:val="00F83E50"/>
    <w:rsid w:val="00F8475A"/>
    <w:rsid w:val="00F852A2"/>
    <w:rsid w:val="00F85493"/>
    <w:rsid w:val="00F855B8"/>
    <w:rsid w:val="00F863EA"/>
    <w:rsid w:val="00F86510"/>
    <w:rsid w:val="00F86827"/>
    <w:rsid w:val="00F875A4"/>
    <w:rsid w:val="00F87814"/>
    <w:rsid w:val="00F87B7A"/>
    <w:rsid w:val="00F87EE0"/>
    <w:rsid w:val="00F90061"/>
    <w:rsid w:val="00F9049C"/>
    <w:rsid w:val="00F91584"/>
    <w:rsid w:val="00F91C7F"/>
    <w:rsid w:val="00F91F5A"/>
    <w:rsid w:val="00F91F88"/>
    <w:rsid w:val="00F92A25"/>
    <w:rsid w:val="00F941BB"/>
    <w:rsid w:val="00F94773"/>
    <w:rsid w:val="00F947D6"/>
    <w:rsid w:val="00F94EA3"/>
    <w:rsid w:val="00F959E7"/>
    <w:rsid w:val="00F95EC6"/>
    <w:rsid w:val="00F9605F"/>
    <w:rsid w:val="00F96838"/>
    <w:rsid w:val="00F96D0F"/>
    <w:rsid w:val="00F97DFE"/>
    <w:rsid w:val="00F97E9A"/>
    <w:rsid w:val="00FA033D"/>
    <w:rsid w:val="00FA10AB"/>
    <w:rsid w:val="00FA1256"/>
    <w:rsid w:val="00FA2055"/>
    <w:rsid w:val="00FA299C"/>
    <w:rsid w:val="00FA2F48"/>
    <w:rsid w:val="00FA31F4"/>
    <w:rsid w:val="00FA3E10"/>
    <w:rsid w:val="00FA4462"/>
    <w:rsid w:val="00FA4F91"/>
    <w:rsid w:val="00FA529C"/>
    <w:rsid w:val="00FA58B1"/>
    <w:rsid w:val="00FA5D28"/>
    <w:rsid w:val="00FA5E5A"/>
    <w:rsid w:val="00FA5F65"/>
    <w:rsid w:val="00FA614B"/>
    <w:rsid w:val="00FA68C7"/>
    <w:rsid w:val="00FA6AB3"/>
    <w:rsid w:val="00FA6C7B"/>
    <w:rsid w:val="00FA7FBE"/>
    <w:rsid w:val="00FB0F9F"/>
    <w:rsid w:val="00FB101D"/>
    <w:rsid w:val="00FB14F1"/>
    <w:rsid w:val="00FB2020"/>
    <w:rsid w:val="00FB26D2"/>
    <w:rsid w:val="00FB371F"/>
    <w:rsid w:val="00FB3B43"/>
    <w:rsid w:val="00FB3F76"/>
    <w:rsid w:val="00FB4080"/>
    <w:rsid w:val="00FB44FB"/>
    <w:rsid w:val="00FB4AC0"/>
    <w:rsid w:val="00FB4C04"/>
    <w:rsid w:val="00FB609E"/>
    <w:rsid w:val="00FB6DFF"/>
    <w:rsid w:val="00FB6F59"/>
    <w:rsid w:val="00FB7258"/>
    <w:rsid w:val="00FB78D4"/>
    <w:rsid w:val="00FC079A"/>
    <w:rsid w:val="00FC084D"/>
    <w:rsid w:val="00FC1C86"/>
    <w:rsid w:val="00FC1F1E"/>
    <w:rsid w:val="00FC2883"/>
    <w:rsid w:val="00FC2976"/>
    <w:rsid w:val="00FC2A1C"/>
    <w:rsid w:val="00FC2EA3"/>
    <w:rsid w:val="00FC3F9E"/>
    <w:rsid w:val="00FC467A"/>
    <w:rsid w:val="00FC4D8C"/>
    <w:rsid w:val="00FC5448"/>
    <w:rsid w:val="00FC61F2"/>
    <w:rsid w:val="00FC66B6"/>
    <w:rsid w:val="00FC7ECD"/>
    <w:rsid w:val="00FD0037"/>
    <w:rsid w:val="00FD0071"/>
    <w:rsid w:val="00FD070C"/>
    <w:rsid w:val="00FD1381"/>
    <w:rsid w:val="00FD1AD6"/>
    <w:rsid w:val="00FD1DAA"/>
    <w:rsid w:val="00FD2212"/>
    <w:rsid w:val="00FD28B1"/>
    <w:rsid w:val="00FD4623"/>
    <w:rsid w:val="00FD473A"/>
    <w:rsid w:val="00FD477E"/>
    <w:rsid w:val="00FD4CDC"/>
    <w:rsid w:val="00FD5544"/>
    <w:rsid w:val="00FD5E0A"/>
    <w:rsid w:val="00FD6A82"/>
    <w:rsid w:val="00FE0F59"/>
    <w:rsid w:val="00FE18BC"/>
    <w:rsid w:val="00FE2615"/>
    <w:rsid w:val="00FE3727"/>
    <w:rsid w:val="00FE3D88"/>
    <w:rsid w:val="00FE3D98"/>
    <w:rsid w:val="00FE5678"/>
    <w:rsid w:val="00FE6E0F"/>
    <w:rsid w:val="00FE7523"/>
    <w:rsid w:val="00FE7820"/>
    <w:rsid w:val="00FF0CE0"/>
    <w:rsid w:val="00FF1327"/>
    <w:rsid w:val="00FF1675"/>
    <w:rsid w:val="00FF18E5"/>
    <w:rsid w:val="00FF1D66"/>
    <w:rsid w:val="00FF226C"/>
    <w:rsid w:val="00FF32C7"/>
    <w:rsid w:val="00FF344F"/>
    <w:rsid w:val="00FF355C"/>
    <w:rsid w:val="00FF36FC"/>
    <w:rsid w:val="00FF40C6"/>
    <w:rsid w:val="00FF4967"/>
    <w:rsid w:val="00FF5736"/>
    <w:rsid w:val="00FF5D5F"/>
    <w:rsid w:val="00FF60A2"/>
    <w:rsid w:val="00FF6134"/>
    <w:rsid w:val="00FF6F6C"/>
    <w:rsid w:val="00FF70A0"/>
    <w:rsid w:val="00FF7AAF"/>
    <w:rsid w:val="00FF7ED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2B7965"/>
  <w15:chartTrackingRefBased/>
  <w15:docId w15:val="{53ADF430-E721-432A-B2BB-40170D66D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224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24E5"/>
    <w:pPr>
      <w:tabs>
        <w:tab w:val="center" w:pos="4153"/>
        <w:tab w:val="right" w:pos="8306"/>
      </w:tabs>
      <w:spacing w:after="0" w:line="240" w:lineRule="auto"/>
    </w:pPr>
  </w:style>
  <w:style w:type="character" w:customStyle="1" w:styleId="HeaderChar">
    <w:name w:val="Header Char"/>
    <w:basedOn w:val="DefaultParagraphFont"/>
    <w:link w:val="Header"/>
    <w:uiPriority w:val="99"/>
    <w:rsid w:val="005424E5"/>
  </w:style>
  <w:style w:type="paragraph" w:styleId="Footer">
    <w:name w:val="footer"/>
    <w:basedOn w:val="Normal"/>
    <w:link w:val="FooterChar"/>
    <w:uiPriority w:val="99"/>
    <w:unhideWhenUsed/>
    <w:rsid w:val="005424E5"/>
    <w:pPr>
      <w:tabs>
        <w:tab w:val="center" w:pos="4153"/>
        <w:tab w:val="right" w:pos="8306"/>
      </w:tabs>
      <w:spacing w:after="0" w:line="240" w:lineRule="auto"/>
    </w:pPr>
  </w:style>
  <w:style w:type="character" w:customStyle="1" w:styleId="FooterChar">
    <w:name w:val="Footer Char"/>
    <w:basedOn w:val="DefaultParagraphFont"/>
    <w:link w:val="Footer"/>
    <w:uiPriority w:val="99"/>
    <w:rsid w:val="005424E5"/>
  </w:style>
  <w:style w:type="paragraph" w:styleId="BalloonText">
    <w:name w:val="Balloon Text"/>
    <w:basedOn w:val="Normal"/>
    <w:link w:val="BalloonTextChar"/>
    <w:uiPriority w:val="99"/>
    <w:semiHidden/>
    <w:unhideWhenUsed/>
    <w:rsid w:val="006C5D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5DDA"/>
    <w:rPr>
      <w:rFonts w:ascii="Segoe UI" w:hAnsi="Segoe UI" w:cs="Segoe UI"/>
      <w:sz w:val="18"/>
      <w:szCs w:val="18"/>
    </w:rPr>
  </w:style>
  <w:style w:type="character" w:styleId="Hyperlink">
    <w:name w:val="Hyperlink"/>
    <w:basedOn w:val="DefaultParagraphFont"/>
    <w:uiPriority w:val="99"/>
    <w:unhideWhenUsed/>
    <w:rsid w:val="00310423"/>
    <w:rPr>
      <w:color w:val="0000FF" w:themeColor="hyperlink"/>
      <w:u w:val="single"/>
    </w:rPr>
  </w:style>
  <w:style w:type="character" w:styleId="UnresolvedMention">
    <w:name w:val="Unresolved Mention"/>
    <w:basedOn w:val="DefaultParagraphFont"/>
    <w:uiPriority w:val="99"/>
    <w:semiHidden/>
    <w:unhideWhenUsed/>
    <w:rsid w:val="00310423"/>
    <w:rPr>
      <w:color w:val="605E5C"/>
      <w:shd w:val="clear" w:color="auto" w:fill="E1DFDD"/>
    </w:rPr>
  </w:style>
  <w:style w:type="character" w:styleId="FollowedHyperlink">
    <w:name w:val="FollowedHyperlink"/>
    <w:basedOn w:val="DefaultParagraphFont"/>
    <w:uiPriority w:val="99"/>
    <w:semiHidden/>
    <w:unhideWhenUsed/>
    <w:rsid w:val="00310423"/>
    <w:rPr>
      <w:color w:val="800080" w:themeColor="followedHyperlink"/>
      <w:u w:val="single"/>
    </w:rPr>
  </w:style>
  <w:style w:type="paragraph" w:styleId="ListParagraph">
    <w:name w:val="List Paragraph"/>
    <w:basedOn w:val="Normal"/>
    <w:uiPriority w:val="34"/>
    <w:qFormat/>
    <w:rsid w:val="00160F6B"/>
    <w:pPr>
      <w:ind w:left="720"/>
      <w:contextualSpacing/>
    </w:pPr>
  </w:style>
  <w:style w:type="table" w:styleId="GridTable5Dark-Accent5">
    <w:name w:val="Grid Table 5 Dark Accent 5"/>
    <w:basedOn w:val="TableNormal"/>
    <w:uiPriority w:val="50"/>
    <w:rsid w:val="003A17E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Caption">
    <w:name w:val="caption"/>
    <w:basedOn w:val="Normal"/>
    <w:next w:val="Normal"/>
    <w:uiPriority w:val="35"/>
    <w:unhideWhenUsed/>
    <w:qFormat/>
    <w:rsid w:val="005D0F38"/>
    <w:pPr>
      <w:spacing w:after="200" w:line="240" w:lineRule="auto"/>
    </w:pPr>
    <w:rPr>
      <w:i/>
      <w:iCs/>
      <w:color w:val="1F497D" w:themeColor="text2"/>
      <w:sz w:val="18"/>
      <w:szCs w:val="18"/>
    </w:rPr>
  </w:style>
  <w:style w:type="paragraph" w:customStyle="1" w:styleId="Default">
    <w:name w:val="Default"/>
    <w:rsid w:val="000F2172"/>
    <w:pPr>
      <w:autoSpaceDE w:val="0"/>
      <w:autoSpaceDN w:val="0"/>
      <w:adjustRightInd w:val="0"/>
      <w:spacing w:after="0" w:line="240" w:lineRule="auto"/>
    </w:pPr>
    <w:rPr>
      <w:rFonts w:cs="Times New Roman"/>
      <w:color w:val="000000"/>
      <w:szCs w:val="24"/>
    </w:rPr>
  </w:style>
  <w:style w:type="paragraph" w:styleId="NoSpacing">
    <w:name w:val="No Spacing"/>
    <w:uiPriority w:val="1"/>
    <w:qFormat/>
    <w:rsid w:val="001A21AA"/>
    <w:pPr>
      <w:spacing w:after="0" w:line="240" w:lineRule="auto"/>
    </w:pPr>
  </w:style>
  <w:style w:type="table" w:customStyle="1" w:styleId="TableGrid5">
    <w:name w:val="Table Grid5"/>
    <w:basedOn w:val="TableNormal"/>
    <w:next w:val="TableGrid"/>
    <w:uiPriority w:val="39"/>
    <w:rsid w:val="00F50362"/>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F503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B7811"/>
    <w:rPr>
      <w:sz w:val="16"/>
      <w:szCs w:val="16"/>
    </w:rPr>
  </w:style>
  <w:style w:type="character" w:styleId="FootnoteReference">
    <w:name w:val="footnote reference"/>
    <w:aliases w:val="ftref,fr,Footnote Reference Number,SUPERS,Footnote symbol,Footnote Refernece,stylish,BVI fnr,Fußnotenzeichen_Raxen,callout,Footnote Reference Superscript,Footnote symbFootnote Refernece,Odwołanie przypisu,Footnotes refss,Ref,E,E FNZ,o"/>
    <w:basedOn w:val="DefaultParagraphFont"/>
    <w:link w:val="CharCharCharChar"/>
    <w:uiPriority w:val="99"/>
    <w:unhideWhenUsed/>
    <w:qFormat/>
    <w:rsid w:val="00AB5546"/>
    <w:rPr>
      <w:vertAlign w:val="superscript"/>
    </w:rPr>
  </w:style>
  <w:style w:type="paragraph" w:styleId="FootnoteText">
    <w:name w:val="footnote text"/>
    <w:basedOn w:val="Normal"/>
    <w:link w:val="FootnoteTextChar"/>
    <w:uiPriority w:val="99"/>
    <w:unhideWhenUsed/>
    <w:rsid w:val="00AB5546"/>
    <w:pPr>
      <w:spacing w:after="0" w:line="240" w:lineRule="auto"/>
    </w:pPr>
    <w:rPr>
      <w:rFonts w:ascii="Calibri" w:hAnsi="Calibri" w:cs="Calibri"/>
      <w:sz w:val="20"/>
      <w:szCs w:val="20"/>
    </w:rPr>
  </w:style>
  <w:style w:type="character" w:customStyle="1" w:styleId="FootnoteTextChar">
    <w:name w:val="Footnote Text Char"/>
    <w:basedOn w:val="DefaultParagraphFont"/>
    <w:link w:val="FootnoteText"/>
    <w:uiPriority w:val="99"/>
    <w:rsid w:val="00AB5546"/>
    <w:rPr>
      <w:rFonts w:ascii="Calibri" w:hAnsi="Calibri" w:cs="Calibri"/>
      <w:sz w:val="20"/>
      <w:szCs w:val="20"/>
    </w:rPr>
  </w:style>
  <w:style w:type="paragraph" w:styleId="NormalWeb">
    <w:name w:val="Normal (Web)"/>
    <w:basedOn w:val="Normal"/>
    <w:uiPriority w:val="99"/>
    <w:unhideWhenUsed/>
    <w:rsid w:val="00AB5546"/>
    <w:pPr>
      <w:spacing w:before="100" w:beforeAutospacing="1" w:after="100" w:afterAutospacing="1" w:line="240" w:lineRule="auto"/>
    </w:pPr>
    <w:rPr>
      <w:rFonts w:eastAsia="Times New Roman" w:cs="Times New Roman"/>
      <w:szCs w:val="24"/>
      <w:lang w:eastAsia="lv-LV"/>
    </w:rPr>
  </w:style>
  <w:style w:type="paragraph" w:styleId="CommentText">
    <w:name w:val="annotation text"/>
    <w:basedOn w:val="Normal"/>
    <w:link w:val="CommentTextChar"/>
    <w:uiPriority w:val="99"/>
    <w:unhideWhenUsed/>
    <w:rsid w:val="00AB5546"/>
    <w:pPr>
      <w:spacing w:line="240" w:lineRule="auto"/>
    </w:pPr>
    <w:rPr>
      <w:sz w:val="20"/>
      <w:szCs w:val="20"/>
    </w:rPr>
  </w:style>
  <w:style w:type="character" w:customStyle="1" w:styleId="CommentTextChar">
    <w:name w:val="Comment Text Char"/>
    <w:basedOn w:val="DefaultParagraphFont"/>
    <w:link w:val="CommentText"/>
    <w:uiPriority w:val="99"/>
    <w:rsid w:val="00AB5546"/>
    <w:rPr>
      <w:sz w:val="20"/>
      <w:szCs w:val="20"/>
    </w:rPr>
  </w:style>
  <w:style w:type="paragraph" w:customStyle="1" w:styleId="CharCharCharChar">
    <w:name w:val="Char Char Char Char"/>
    <w:aliases w:val="Char2"/>
    <w:basedOn w:val="Normal"/>
    <w:next w:val="Normal"/>
    <w:link w:val="FootnoteReference"/>
    <w:uiPriority w:val="99"/>
    <w:rsid w:val="00AB5546"/>
    <w:pPr>
      <w:spacing w:line="240" w:lineRule="exact"/>
      <w:textAlignment w:val="baseline"/>
    </w:pPr>
    <w:rPr>
      <w:vertAlign w:val="superscript"/>
    </w:rPr>
  </w:style>
  <w:style w:type="character" w:styleId="Strong">
    <w:name w:val="Strong"/>
    <w:basedOn w:val="DefaultParagraphFont"/>
    <w:uiPriority w:val="22"/>
    <w:qFormat/>
    <w:rsid w:val="00E51A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4217069">
      <w:bodyDiv w:val="1"/>
      <w:marLeft w:val="0"/>
      <w:marRight w:val="0"/>
      <w:marTop w:val="0"/>
      <w:marBottom w:val="0"/>
      <w:divBdr>
        <w:top w:val="none" w:sz="0" w:space="0" w:color="auto"/>
        <w:left w:val="none" w:sz="0" w:space="0" w:color="auto"/>
        <w:bottom w:val="none" w:sz="0" w:space="0" w:color="auto"/>
        <w:right w:val="none" w:sz="0" w:space="0" w:color="auto"/>
      </w:divBdr>
    </w:div>
    <w:div w:id="834807243">
      <w:bodyDiv w:val="1"/>
      <w:marLeft w:val="0"/>
      <w:marRight w:val="0"/>
      <w:marTop w:val="0"/>
      <w:marBottom w:val="0"/>
      <w:divBdr>
        <w:top w:val="none" w:sz="0" w:space="0" w:color="auto"/>
        <w:left w:val="none" w:sz="0" w:space="0" w:color="auto"/>
        <w:bottom w:val="none" w:sz="0" w:space="0" w:color="auto"/>
        <w:right w:val="none" w:sz="0" w:space="0" w:color="auto"/>
      </w:divBdr>
    </w:div>
    <w:div w:id="1520778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06.xml"/><Relationship Id="rId21" Type="http://schemas.openxmlformats.org/officeDocument/2006/relationships/chart" Target="charts/chart10.xml"/><Relationship Id="rId42" Type="http://schemas.openxmlformats.org/officeDocument/2006/relationships/chart" Target="charts/chart31.xml"/><Relationship Id="rId63" Type="http://schemas.openxmlformats.org/officeDocument/2006/relationships/chart" Target="charts/chart52.xml"/><Relationship Id="rId84" Type="http://schemas.openxmlformats.org/officeDocument/2006/relationships/chart" Target="charts/chart73.xml"/><Relationship Id="rId138" Type="http://schemas.openxmlformats.org/officeDocument/2006/relationships/chart" Target="charts/chart127.xml"/><Relationship Id="rId159" Type="http://schemas.openxmlformats.org/officeDocument/2006/relationships/chart" Target="charts/chart148.xml"/><Relationship Id="rId170" Type="http://schemas.openxmlformats.org/officeDocument/2006/relationships/chart" Target="charts/chart159.xml"/><Relationship Id="rId191" Type="http://schemas.openxmlformats.org/officeDocument/2006/relationships/chart" Target="charts/chart178.xml"/><Relationship Id="rId205" Type="http://schemas.openxmlformats.org/officeDocument/2006/relationships/chart" Target="charts/chart191.xml"/><Relationship Id="rId107" Type="http://schemas.openxmlformats.org/officeDocument/2006/relationships/chart" Target="charts/chart96.xml"/><Relationship Id="rId11" Type="http://schemas.openxmlformats.org/officeDocument/2006/relationships/image" Target="media/image1.png"/><Relationship Id="rId32" Type="http://schemas.openxmlformats.org/officeDocument/2006/relationships/chart" Target="charts/chart21.xml"/><Relationship Id="rId53" Type="http://schemas.openxmlformats.org/officeDocument/2006/relationships/chart" Target="charts/chart42.xml"/><Relationship Id="rId74" Type="http://schemas.openxmlformats.org/officeDocument/2006/relationships/chart" Target="charts/chart63.xml"/><Relationship Id="rId128" Type="http://schemas.openxmlformats.org/officeDocument/2006/relationships/chart" Target="charts/chart117.xml"/><Relationship Id="rId149" Type="http://schemas.openxmlformats.org/officeDocument/2006/relationships/chart" Target="charts/chart138.xml"/><Relationship Id="rId5" Type="http://schemas.openxmlformats.org/officeDocument/2006/relationships/numbering" Target="numbering.xml"/><Relationship Id="rId95" Type="http://schemas.openxmlformats.org/officeDocument/2006/relationships/chart" Target="charts/chart84.xml"/><Relationship Id="rId160" Type="http://schemas.openxmlformats.org/officeDocument/2006/relationships/chart" Target="charts/chart149.xml"/><Relationship Id="rId181" Type="http://schemas.openxmlformats.org/officeDocument/2006/relationships/chart" Target="charts/chart170.xml"/><Relationship Id="rId216" Type="http://schemas.openxmlformats.org/officeDocument/2006/relationships/image" Target="media/image7.jpeg"/><Relationship Id="rId211" Type="http://schemas.openxmlformats.org/officeDocument/2006/relationships/image" Target="media/image3.png"/><Relationship Id="rId22" Type="http://schemas.openxmlformats.org/officeDocument/2006/relationships/chart" Target="charts/chart11.xml"/><Relationship Id="rId27" Type="http://schemas.openxmlformats.org/officeDocument/2006/relationships/chart" Target="charts/chart16.xml"/><Relationship Id="rId43" Type="http://schemas.openxmlformats.org/officeDocument/2006/relationships/chart" Target="charts/chart32.xml"/><Relationship Id="rId48" Type="http://schemas.openxmlformats.org/officeDocument/2006/relationships/chart" Target="charts/chart37.xml"/><Relationship Id="rId64" Type="http://schemas.openxmlformats.org/officeDocument/2006/relationships/chart" Target="charts/chart53.xml"/><Relationship Id="rId69" Type="http://schemas.openxmlformats.org/officeDocument/2006/relationships/chart" Target="charts/chart58.xml"/><Relationship Id="rId113" Type="http://schemas.openxmlformats.org/officeDocument/2006/relationships/chart" Target="charts/chart102.xml"/><Relationship Id="rId118" Type="http://schemas.openxmlformats.org/officeDocument/2006/relationships/chart" Target="charts/chart107.xml"/><Relationship Id="rId134" Type="http://schemas.openxmlformats.org/officeDocument/2006/relationships/chart" Target="charts/chart123.xml"/><Relationship Id="rId139" Type="http://schemas.openxmlformats.org/officeDocument/2006/relationships/chart" Target="charts/chart128.xml"/><Relationship Id="rId80" Type="http://schemas.openxmlformats.org/officeDocument/2006/relationships/chart" Target="charts/chart69.xml"/><Relationship Id="rId85" Type="http://schemas.openxmlformats.org/officeDocument/2006/relationships/chart" Target="charts/chart74.xml"/><Relationship Id="rId150" Type="http://schemas.openxmlformats.org/officeDocument/2006/relationships/chart" Target="charts/chart139.xml"/><Relationship Id="rId155" Type="http://schemas.openxmlformats.org/officeDocument/2006/relationships/chart" Target="charts/chart144.xml"/><Relationship Id="rId171" Type="http://schemas.openxmlformats.org/officeDocument/2006/relationships/chart" Target="charts/chart160.xml"/><Relationship Id="rId176" Type="http://schemas.openxmlformats.org/officeDocument/2006/relationships/chart" Target="charts/chart165.xml"/><Relationship Id="rId192" Type="http://schemas.openxmlformats.org/officeDocument/2006/relationships/chart" Target="charts/chart179.xml"/><Relationship Id="rId197" Type="http://schemas.openxmlformats.org/officeDocument/2006/relationships/chart" Target="charts/chart184.xml"/><Relationship Id="rId206" Type="http://schemas.openxmlformats.org/officeDocument/2006/relationships/chart" Target="charts/chart192.xml"/><Relationship Id="rId201" Type="http://schemas.openxmlformats.org/officeDocument/2006/relationships/chart" Target="charts/chart188.xml"/><Relationship Id="rId222" Type="http://schemas.openxmlformats.org/officeDocument/2006/relationships/image" Target="media/image12.png"/><Relationship Id="rId12" Type="http://schemas.openxmlformats.org/officeDocument/2006/relationships/chart" Target="charts/chart1.xml"/><Relationship Id="rId17" Type="http://schemas.openxmlformats.org/officeDocument/2006/relationships/chart" Target="charts/chart6.xml"/><Relationship Id="rId33" Type="http://schemas.openxmlformats.org/officeDocument/2006/relationships/chart" Target="charts/chart22.xml"/><Relationship Id="rId38" Type="http://schemas.openxmlformats.org/officeDocument/2006/relationships/chart" Target="charts/chart27.xml"/><Relationship Id="rId59" Type="http://schemas.openxmlformats.org/officeDocument/2006/relationships/chart" Target="charts/chart48.xml"/><Relationship Id="rId103" Type="http://schemas.openxmlformats.org/officeDocument/2006/relationships/chart" Target="charts/chart92.xml"/><Relationship Id="rId108" Type="http://schemas.openxmlformats.org/officeDocument/2006/relationships/chart" Target="charts/chart97.xml"/><Relationship Id="rId124" Type="http://schemas.openxmlformats.org/officeDocument/2006/relationships/chart" Target="charts/chart113.xml"/><Relationship Id="rId129" Type="http://schemas.openxmlformats.org/officeDocument/2006/relationships/chart" Target="charts/chart118.xml"/><Relationship Id="rId54" Type="http://schemas.openxmlformats.org/officeDocument/2006/relationships/chart" Target="charts/chart43.xml"/><Relationship Id="rId70" Type="http://schemas.openxmlformats.org/officeDocument/2006/relationships/chart" Target="charts/chart59.xml"/><Relationship Id="rId75" Type="http://schemas.openxmlformats.org/officeDocument/2006/relationships/chart" Target="charts/chart64.xml"/><Relationship Id="rId91" Type="http://schemas.openxmlformats.org/officeDocument/2006/relationships/chart" Target="charts/chart80.xml"/><Relationship Id="rId96" Type="http://schemas.openxmlformats.org/officeDocument/2006/relationships/chart" Target="charts/chart85.xml"/><Relationship Id="rId140" Type="http://schemas.openxmlformats.org/officeDocument/2006/relationships/chart" Target="charts/chart129.xml"/><Relationship Id="rId145" Type="http://schemas.openxmlformats.org/officeDocument/2006/relationships/chart" Target="charts/chart134.xml"/><Relationship Id="rId161" Type="http://schemas.openxmlformats.org/officeDocument/2006/relationships/chart" Target="charts/chart150.xml"/><Relationship Id="rId166" Type="http://schemas.openxmlformats.org/officeDocument/2006/relationships/chart" Target="charts/chart155.xml"/><Relationship Id="rId182" Type="http://schemas.openxmlformats.org/officeDocument/2006/relationships/chart" Target="charts/chart171.xml"/><Relationship Id="rId187" Type="http://schemas.openxmlformats.org/officeDocument/2006/relationships/hyperlink" Target="https://likumi.lv/ta/id/311673-par-pasakumu-planu-noziedzigi-iegutu-lidzeklu-legalizacijas-terorisma-un-proliferacijas-finansesanas-noversanai-laikposmam-no-2..." TargetMode="External"/><Relationship Id="rId217"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4.jpeg"/><Relationship Id="rId23" Type="http://schemas.openxmlformats.org/officeDocument/2006/relationships/chart" Target="charts/chart12.xml"/><Relationship Id="rId28" Type="http://schemas.openxmlformats.org/officeDocument/2006/relationships/chart" Target="charts/chart17.xml"/><Relationship Id="rId49" Type="http://schemas.openxmlformats.org/officeDocument/2006/relationships/chart" Target="charts/chart38.xml"/><Relationship Id="rId114" Type="http://schemas.openxmlformats.org/officeDocument/2006/relationships/chart" Target="charts/chart103.xml"/><Relationship Id="rId119" Type="http://schemas.openxmlformats.org/officeDocument/2006/relationships/chart" Target="charts/chart108.xml"/><Relationship Id="rId44" Type="http://schemas.openxmlformats.org/officeDocument/2006/relationships/chart" Target="charts/chart33.xml"/><Relationship Id="rId60" Type="http://schemas.openxmlformats.org/officeDocument/2006/relationships/chart" Target="charts/chart49.xml"/><Relationship Id="rId65" Type="http://schemas.openxmlformats.org/officeDocument/2006/relationships/chart" Target="charts/chart54.xml"/><Relationship Id="rId81" Type="http://schemas.openxmlformats.org/officeDocument/2006/relationships/chart" Target="charts/chart70.xml"/><Relationship Id="rId86" Type="http://schemas.openxmlformats.org/officeDocument/2006/relationships/chart" Target="charts/chart75.xml"/><Relationship Id="rId130" Type="http://schemas.openxmlformats.org/officeDocument/2006/relationships/chart" Target="charts/chart119.xml"/><Relationship Id="rId135" Type="http://schemas.openxmlformats.org/officeDocument/2006/relationships/chart" Target="charts/chart124.xml"/><Relationship Id="rId151" Type="http://schemas.openxmlformats.org/officeDocument/2006/relationships/chart" Target="charts/chart140.xml"/><Relationship Id="rId156" Type="http://schemas.openxmlformats.org/officeDocument/2006/relationships/chart" Target="charts/chart145.xml"/><Relationship Id="rId177" Type="http://schemas.openxmlformats.org/officeDocument/2006/relationships/chart" Target="charts/chart166.xml"/><Relationship Id="rId198" Type="http://schemas.openxmlformats.org/officeDocument/2006/relationships/chart" Target="charts/chart185.xml"/><Relationship Id="rId172" Type="http://schemas.openxmlformats.org/officeDocument/2006/relationships/chart" Target="charts/chart161.xml"/><Relationship Id="rId193" Type="http://schemas.openxmlformats.org/officeDocument/2006/relationships/chart" Target="charts/chart180.xml"/><Relationship Id="rId202" Type="http://schemas.openxmlformats.org/officeDocument/2006/relationships/header" Target="header1.xml"/><Relationship Id="rId207" Type="http://schemas.openxmlformats.org/officeDocument/2006/relationships/chart" Target="charts/chart193.xml"/><Relationship Id="rId223" Type="http://schemas.openxmlformats.org/officeDocument/2006/relationships/chart" Target="charts/chart196.xml"/><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chart" Target="charts/chart28.xml"/><Relationship Id="rId109" Type="http://schemas.openxmlformats.org/officeDocument/2006/relationships/chart" Target="charts/chart98.xml"/><Relationship Id="rId34" Type="http://schemas.openxmlformats.org/officeDocument/2006/relationships/chart" Target="charts/chart23.xml"/><Relationship Id="rId50" Type="http://schemas.openxmlformats.org/officeDocument/2006/relationships/chart" Target="charts/chart39.xml"/><Relationship Id="rId55" Type="http://schemas.openxmlformats.org/officeDocument/2006/relationships/chart" Target="charts/chart44.xml"/><Relationship Id="rId76" Type="http://schemas.openxmlformats.org/officeDocument/2006/relationships/chart" Target="charts/chart65.xml"/><Relationship Id="rId97" Type="http://schemas.openxmlformats.org/officeDocument/2006/relationships/chart" Target="charts/chart86.xml"/><Relationship Id="rId104" Type="http://schemas.openxmlformats.org/officeDocument/2006/relationships/chart" Target="charts/chart93.xml"/><Relationship Id="rId120" Type="http://schemas.openxmlformats.org/officeDocument/2006/relationships/chart" Target="charts/chart109.xml"/><Relationship Id="rId125" Type="http://schemas.openxmlformats.org/officeDocument/2006/relationships/chart" Target="charts/chart114.xml"/><Relationship Id="rId141" Type="http://schemas.openxmlformats.org/officeDocument/2006/relationships/chart" Target="charts/chart130.xml"/><Relationship Id="rId146" Type="http://schemas.openxmlformats.org/officeDocument/2006/relationships/chart" Target="charts/chart135.xml"/><Relationship Id="rId167" Type="http://schemas.openxmlformats.org/officeDocument/2006/relationships/chart" Target="charts/chart156.xml"/><Relationship Id="rId188" Type="http://schemas.openxmlformats.org/officeDocument/2006/relationships/hyperlink" Target="http://prokuratura.lv/lv/trauksmes-celejs/sabiedribas-informesana-par-atklatiem-parkapumiem-saistiba-ar-trauksmes-celeja-iesniegumiem" TargetMode="External"/><Relationship Id="rId7" Type="http://schemas.openxmlformats.org/officeDocument/2006/relationships/settings" Target="settings.xml"/><Relationship Id="rId71" Type="http://schemas.openxmlformats.org/officeDocument/2006/relationships/chart" Target="charts/chart60.xml"/><Relationship Id="rId92" Type="http://schemas.openxmlformats.org/officeDocument/2006/relationships/chart" Target="charts/chart81.xml"/><Relationship Id="rId162" Type="http://schemas.openxmlformats.org/officeDocument/2006/relationships/chart" Target="charts/chart151.xml"/><Relationship Id="rId183" Type="http://schemas.openxmlformats.org/officeDocument/2006/relationships/chart" Target="charts/chart172.xml"/><Relationship Id="rId213" Type="http://schemas.openxmlformats.org/officeDocument/2006/relationships/image" Target="media/image5.png"/><Relationship Id="rId218" Type="http://schemas.openxmlformats.org/officeDocument/2006/relationships/image" Target="media/image9.jpeg"/><Relationship Id="rId2" Type="http://schemas.openxmlformats.org/officeDocument/2006/relationships/customXml" Target="../customXml/item2.xml"/><Relationship Id="rId29" Type="http://schemas.openxmlformats.org/officeDocument/2006/relationships/chart" Target="charts/chart18.xml"/><Relationship Id="rId24" Type="http://schemas.openxmlformats.org/officeDocument/2006/relationships/chart" Target="charts/chart13.xml"/><Relationship Id="rId40" Type="http://schemas.openxmlformats.org/officeDocument/2006/relationships/chart" Target="charts/chart29.xml"/><Relationship Id="rId45" Type="http://schemas.openxmlformats.org/officeDocument/2006/relationships/chart" Target="charts/chart34.xml"/><Relationship Id="rId66" Type="http://schemas.openxmlformats.org/officeDocument/2006/relationships/chart" Target="charts/chart55.xml"/><Relationship Id="rId87" Type="http://schemas.openxmlformats.org/officeDocument/2006/relationships/chart" Target="charts/chart76.xml"/><Relationship Id="rId110" Type="http://schemas.openxmlformats.org/officeDocument/2006/relationships/chart" Target="charts/chart99.xml"/><Relationship Id="rId115" Type="http://schemas.openxmlformats.org/officeDocument/2006/relationships/chart" Target="charts/chart104.xml"/><Relationship Id="rId131" Type="http://schemas.openxmlformats.org/officeDocument/2006/relationships/chart" Target="charts/chart120.xml"/><Relationship Id="rId136" Type="http://schemas.openxmlformats.org/officeDocument/2006/relationships/chart" Target="charts/chart125.xml"/><Relationship Id="rId157" Type="http://schemas.openxmlformats.org/officeDocument/2006/relationships/chart" Target="charts/chart146.xml"/><Relationship Id="rId178" Type="http://schemas.openxmlformats.org/officeDocument/2006/relationships/chart" Target="charts/chart167.xml"/><Relationship Id="rId61" Type="http://schemas.openxmlformats.org/officeDocument/2006/relationships/chart" Target="charts/chart50.xml"/><Relationship Id="rId82" Type="http://schemas.openxmlformats.org/officeDocument/2006/relationships/chart" Target="charts/chart71.xml"/><Relationship Id="rId152" Type="http://schemas.openxmlformats.org/officeDocument/2006/relationships/chart" Target="charts/chart141.xml"/><Relationship Id="rId173" Type="http://schemas.openxmlformats.org/officeDocument/2006/relationships/chart" Target="charts/chart162.xml"/><Relationship Id="rId194" Type="http://schemas.openxmlformats.org/officeDocument/2006/relationships/chart" Target="charts/chart181.xml"/><Relationship Id="rId199" Type="http://schemas.openxmlformats.org/officeDocument/2006/relationships/chart" Target="charts/chart186.xml"/><Relationship Id="rId203" Type="http://schemas.openxmlformats.org/officeDocument/2006/relationships/chart" Target="charts/chart189.xml"/><Relationship Id="rId208" Type="http://schemas.openxmlformats.org/officeDocument/2006/relationships/chart" Target="charts/chart194.xml"/><Relationship Id="rId19" Type="http://schemas.openxmlformats.org/officeDocument/2006/relationships/chart" Target="charts/chart8.xml"/><Relationship Id="rId224" Type="http://schemas.openxmlformats.org/officeDocument/2006/relationships/fontTable" Target="fontTable.xml"/><Relationship Id="rId14" Type="http://schemas.openxmlformats.org/officeDocument/2006/relationships/chart" Target="charts/chart3.xml"/><Relationship Id="rId30" Type="http://schemas.openxmlformats.org/officeDocument/2006/relationships/chart" Target="charts/chart19.xml"/><Relationship Id="rId35" Type="http://schemas.openxmlformats.org/officeDocument/2006/relationships/chart" Target="charts/chart24.xml"/><Relationship Id="rId56" Type="http://schemas.openxmlformats.org/officeDocument/2006/relationships/chart" Target="charts/chart45.xml"/><Relationship Id="rId77" Type="http://schemas.openxmlformats.org/officeDocument/2006/relationships/chart" Target="charts/chart66.xml"/><Relationship Id="rId100" Type="http://schemas.openxmlformats.org/officeDocument/2006/relationships/chart" Target="charts/chart89.xml"/><Relationship Id="rId105" Type="http://schemas.openxmlformats.org/officeDocument/2006/relationships/chart" Target="charts/chart94.xml"/><Relationship Id="rId126" Type="http://schemas.openxmlformats.org/officeDocument/2006/relationships/chart" Target="charts/chart115.xml"/><Relationship Id="rId147" Type="http://schemas.openxmlformats.org/officeDocument/2006/relationships/chart" Target="charts/chart136.xml"/><Relationship Id="rId168" Type="http://schemas.openxmlformats.org/officeDocument/2006/relationships/chart" Target="charts/chart157.xml"/><Relationship Id="rId8" Type="http://schemas.openxmlformats.org/officeDocument/2006/relationships/webSettings" Target="webSettings.xml"/><Relationship Id="rId51" Type="http://schemas.openxmlformats.org/officeDocument/2006/relationships/chart" Target="charts/chart40.xml"/><Relationship Id="rId72" Type="http://schemas.openxmlformats.org/officeDocument/2006/relationships/chart" Target="charts/chart61.xml"/><Relationship Id="rId93" Type="http://schemas.openxmlformats.org/officeDocument/2006/relationships/chart" Target="charts/chart82.xml"/><Relationship Id="rId98" Type="http://schemas.openxmlformats.org/officeDocument/2006/relationships/chart" Target="charts/chart87.xml"/><Relationship Id="rId121" Type="http://schemas.openxmlformats.org/officeDocument/2006/relationships/chart" Target="charts/chart110.xml"/><Relationship Id="rId142" Type="http://schemas.openxmlformats.org/officeDocument/2006/relationships/chart" Target="charts/chart131.xml"/><Relationship Id="rId163" Type="http://schemas.openxmlformats.org/officeDocument/2006/relationships/chart" Target="charts/chart152.xml"/><Relationship Id="rId184" Type="http://schemas.openxmlformats.org/officeDocument/2006/relationships/chart" Target="charts/chart173.xml"/><Relationship Id="rId189" Type="http://schemas.openxmlformats.org/officeDocument/2006/relationships/chart" Target="charts/chart176.xml"/><Relationship Id="rId219" Type="http://schemas.openxmlformats.org/officeDocument/2006/relationships/image" Target="media/image10.jpeg"/><Relationship Id="rId3" Type="http://schemas.openxmlformats.org/officeDocument/2006/relationships/customXml" Target="../customXml/item3.xml"/><Relationship Id="rId214" Type="http://schemas.openxmlformats.org/officeDocument/2006/relationships/image" Target="media/image6.jpeg"/><Relationship Id="rId25" Type="http://schemas.openxmlformats.org/officeDocument/2006/relationships/chart" Target="charts/chart14.xml"/><Relationship Id="rId46" Type="http://schemas.openxmlformats.org/officeDocument/2006/relationships/chart" Target="charts/chart35.xml"/><Relationship Id="rId67" Type="http://schemas.openxmlformats.org/officeDocument/2006/relationships/chart" Target="charts/chart56.xml"/><Relationship Id="rId116" Type="http://schemas.openxmlformats.org/officeDocument/2006/relationships/chart" Target="charts/chart105.xml"/><Relationship Id="rId137" Type="http://schemas.openxmlformats.org/officeDocument/2006/relationships/chart" Target="charts/chart126.xml"/><Relationship Id="rId158" Type="http://schemas.openxmlformats.org/officeDocument/2006/relationships/chart" Target="charts/chart147.xml"/><Relationship Id="rId20" Type="http://schemas.openxmlformats.org/officeDocument/2006/relationships/chart" Target="charts/chart9.xml"/><Relationship Id="rId41" Type="http://schemas.openxmlformats.org/officeDocument/2006/relationships/chart" Target="charts/chart30.xml"/><Relationship Id="rId62" Type="http://schemas.openxmlformats.org/officeDocument/2006/relationships/chart" Target="charts/chart51.xml"/><Relationship Id="rId83" Type="http://schemas.openxmlformats.org/officeDocument/2006/relationships/chart" Target="charts/chart72.xml"/><Relationship Id="rId88" Type="http://schemas.openxmlformats.org/officeDocument/2006/relationships/chart" Target="charts/chart77.xml"/><Relationship Id="rId111" Type="http://schemas.openxmlformats.org/officeDocument/2006/relationships/chart" Target="charts/chart100.xml"/><Relationship Id="rId132" Type="http://schemas.openxmlformats.org/officeDocument/2006/relationships/chart" Target="charts/chart121.xml"/><Relationship Id="rId153" Type="http://schemas.openxmlformats.org/officeDocument/2006/relationships/chart" Target="charts/chart142.xml"/><Relationship Id="rId174" Type="http://schemas.openxmlformats.org/officeDocument/2006/relationships/chart" Target="charts/chart163.xml"/><Relationship Id="rId179" Type="http://schemas.openxmlformats.org/officeDocument/2006/relationships/chart" Target="charts/chart168.xml"/><Relationship Id="rId195" Type="http://schemas.openxmlformats.org/officeDocument/2006/relationships/chart" Target="charts/chart182.xml"/><Relationship Id="rId209" Type="http://schemas.openxmlformats.org/officeDocument/2006/relationships/chart" Target="charts/chart195.xml"/><Relationship Id="rId190" Type="http://schemas.openxmlformats.org/officeDocument/2006/relationships/chart" Target="charts/chart177.xml"/><Relationship Id="rId204" Type="http://schemas.openxmlformats.org/officeDocument/2006/relationships/chart" Target="charts/chart190.xml"/><Relationship Id="rId220" Type="http://schemas.openxmlformats.org/officeDocument/2006/relationships/hyperlink" Target="https://www.eurojust.europa.eu/new-major-crackdown-one-biggest-online-piracy-groups-world-international-coordination-led-eurojust" TargetMode="External"/><Relationship Id="rId225" Type="http://schemas.openxmlformats.org/officeDocument/2006/relationships/theme" Target="theme/theme1.xml"/><Relationship Id="rId15" Type="http://schemas.openxmlformats.org/officeDocument/2006/relationships/chart" Target="charts/chart4.xml"/><Relationship Id="rId36" Type="http://schemas.openxmlformats.org/officeDocument/2006/relationships/chart" Target="charts/chart25.xml"/><Relationship Id="rId57" Type="http://schemas.openxmlformats.org/officeDocument/2006/relationships/chart" Target="charts/chart46.xml"/><Relationship Id="rId106" Type="http://schemas.openxmlformats.org/officeDocument/2006/relationships/chart" Target="charts/chart95.xml"/><Relationship Id="rId127" Type="http://schemas.openxmlformats.org/officeDocument/2006/relationships/chart" Target="charts/chart116.xml"/><Relationship Id="rId10" Type="http://schemas.openxmlformats.org/officeDocument/2006/relationships/endnotes" Target="endnotes.xml"/><Relationship Id="rId31" Type="http://schemas.openxmlformats.org/officeDocument/2006/relationships/chart" Target="charts/chart20.xml"/><Relationship Id="rId52" Type="http://schemas.openxmlformats.org/officeDocument/2006/relationships/chart" Target="charts/chart41.xml"/><Relationship Id="rId73" Type="http://schemas.openxmlformats.org/officeDocument/2006/relationships/chart" Target="charts/chart62.xml"/><Relationship Id="rId78" Type="http://schemas.openxmlformats.org/officeDocument/2006/relationships/chart" Target="charts/chart67.xml"/><Relationship Id="rId94" Type="http://schemas.openxmlformats.org/officeDocument/2006/relationships/chart" Target="charts/chart83.xml"/><Relationship Id="rId99" Type="http://schemas.openxmlformats.org/officeDocument/2006/relationships/chart" Target="charts/chart88.xml"/><Relationship Id="rId101" Type="http://schemas.openxmlformats.org/officeDocument/2006/relationships/chart" Target="charts/chart90.xml"/><Relationship Id="rId122" Type="http://schemas.openxmlformats.org/officeDocument/2006/relationships/chart" Target="charts/chart111.xml"/><Relationship Id="rId143" Type="http://schemas.openxmlformats.org/officeDocument/2006/relationships/chart" Target="charts/chart132.xml"/><Relationship Id="rId148" Type="http://schemas.openxmlformats.org/officeDocument/2006/relationships/chart" Target="charts/chart137.xml"/><Relationship Id="rId164" Type="http://schemas.openxmlformats.org/officeDocument/2006/relationships/chart" Target="charts/chart153.xml"/><Relationship Id="rId169" Type="http://schemas.openxmlformats.org/officeDocument/2006/relationships/chart" Target="charts/chart158.xml"/><Relationship Id="rId185" Type="http://schemas.openxmlformats.org/officeDocument/2006/relationships/chart" Target="charts/chart174.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chart" Target="charts/chart169.xml"/><Relationship Id="rId210" Type="http://schemas.openxmlformats.org/officeDocument/2006/relationships/image" Target="media/image2.jpeg"/><Relationship Id="rId215" Type="http://schemas.openxmlformats.org/officeDocument/2006/relationships/hyperlink" Target="https://www.tiesas.lv/aktualitates/pozitiva-pieredze-kriminallietas-iztiesasana-izmantojot-eurojust-parstavniecibu-9628" TargetMode="External"/><Relationship Id="rId26" Type="http://schemas.openxmlformats.org/officeDocument/2006/relationships/chart" Target="charts/chart15.xml"/><Relationship Id="rId47" Type="http://schemas.openxmlformats.org/officeDocument/2006/relationships/chart" Target="charts/chart36.xml"/><Relationship Id="rId68" Type="http://schemas.openxmlformats.org/officeDocument/2006/relationships/chart" Target="charts/chart57.xml"/><Relationship Id="rId89" Type="http://schemas.openxmlformats.org/officeDocument/2006/relationships/chart" Target="charts/chart78.xml"/><Relationship Id="rId112" Type="http://schemas.openxmlformats.org/officeDocument/2006/relationships/chart" Target="charts/chart101.xml"/><Relationship Id="rId133" Type="http://schemas.openxmlformats.org/officeDocument/2006/relationships/chart" Target="charts/chart122.xml"/><Relationship Id="rId154" Type="http://schemas.openxmlformats.org/officeDocument/2006/relationships/chart" Target="charts/chart143.xml"/><Relationship Id="rId175" Type="http://schemas.openxmlformats.org/officeDocument/2006/relationships/chart" Target="charts/chart164.xml"/><Relationship Id="rId196" Type="http://schemas.openxmlformats.org/officeDocument/2006/relationships/chart" Target="charts/chart183.xml"/><Relationship Id="rId200" Type="http://schemas.openxmlformats.org/officeDocument/2006/relationships/chart" Target="charts/chart187.xml"/><Relationship Id="rId16" Type="http://schemas.openxmlformats.org/officeDocument/2006/relationships/chart" Target="charts/chart5.xml"/><Relationship Id="rId221" Type="http://schemas.openxmlformats.org/officeDocument/2006/relationships/image" Target="media/image11.jpeg"/><Relationship Id="rId37" Type="http://schemas.openxmlformats.org/officeDocument/2006/relationships/chart" Target="charts/chart26.xml"/><Relationship Id="rId58" Type="http://schemas.openxmlformats.org/officeDocument/2006/relationships/chart" Target="charts/chart47.xml"/><Relationship Id="rId79" Type="http://schemas.openxmlformats.org/officeDocument/2006/relationships/chart" Target="charts/chart68.xml"/><Relationship Id="rId102" Type="http://schemas.openxmlformats.org/officeDocument/2006/relationships/chart" Target="charts/chart91.xml"/><Relationship Id="rId123" Type="http://schemas.openxmlformats.org/officeDocument/2006/relationships/chart" Target="charts/chart112.xml"/><Relationship Id="rId144" Type="http://schemas.openxmlformats.org/officeDocument/2006/relationships/chart" Target="charts/chart133.xml"/><Relationship Id="rId90" Type="http://schemas.openxmlformats.org/officeDocument/2006/relationships/chart" Target="charts/chart79.xml"/><Relationship Id="rId165" Type="http://schemas.openxmlformats.org/officeDocument/2006/relationships/chart" Target="charts/chart154.xml"/><Relationship Id="rId186" Type="http://schemas.openxmlformats.org/officeDocument/2006/relationships/chart" Target="charts/chart175.xml"/></Relationships>
</file>

<file path=word/_rels/footnotes.xml.rels><?xml version="1.0" encoding="UTF-8" standalone="yes"?>
<Relationships xmlns="http://schemas.openxmlformats.org/package/2006/relationships"><Relationship Id="rId2" Type="http://schemas.openxmlformats.org/officeDocument/2006/relationships/hyperlink" Target="http://10.1.27.11/upload_file/OECD-Latvia-Phase-3-Report-ENG-1.pdf" TargetMode="External"/><Relationship Id="rId1" Type="http://schemas.openxmlformats.org/officeDocument/2006/relationships/hyperlink" Target="file:///C:\Users\Prokurors\Documents\GroupWise\Moneyval%205.%20k&#257;rtas%20nov&#275;rt&#275;&#353;anas%202018.%20gada%2023.%20augusta%20zi&#326;ojum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3.xml"/><Relationship Id="rId4" Type="http://schemas.openxmlformats.org/officeDocument/2006/relationships/package" Target="../embeddings/Microsoft_Excel_Worksheet9.xlsx"/></Relationships>
</file>

<file path=word/charts/_rels/chart100.xml.rels><?xml version="1.0" encoding="UTF-8" standalone="yes"?>
<Relationships xmlns="http://schemas.openxmlformats.org/package/2006/relationships"><Relationship Id="rId1" Type="http://schemas.openxmlformats.org/officeDocument/2006/relationships/package" Target="../embeddings/Microsoft_Excel_Worksheet81.xlsx"/></Relationships>
</file>

<file path=word/charts/_rels/chart101.xml.rels><?xml version="1.0" encoding="UTF-8" standalone="yes"?>
<Relationships xmlns="http://schemas.openxmlformats.org/package/2006/relationships"><Relationship Id="rId1" Type="http://schemas.openxmlformats.org/officeDocument/2006/relationships/package" Target="../embeddings/Microsoft_Excel_Worksheet82.xlsx"/></Relationships>
</file>

<file path=word/charts/_rels/chart102.xml.rels><?xml version="1.0" encoding="UTF-8" standalone="yes"?>
<Relationships xmlns="http://schemas.openxmlformats.org/package/2006/relationships"><Relationship Id="rId1" Type="http://schemas.openxmlformats.org/officeDocument/2006/relationships/package" Target="../embeddings/Microsoft_Excel_Worksheet83.xlsx"/></Relationships>
</file>

<file path=word/charts/_rels/chart103.xml.rels><?xml version="1.0" encoding="UTF-8" standalone="yes"?>
<Relationships xmlns="http://schemas.openxmlformats.org/package/2006/relationships"><Relationship Id="rId1" Type="http://schemas.openxmlformats.org/officeDocument/2006/relationships/package" Target="../embeddings/Microsoft_Excel_Worksheet84.xlsx"/></Relationships>
</file>

<file path=word/charts/_rels/chart104.xml.rels><?xml version="1.0" encoding="UTF-8" standalone="yes"?>
<Relationships xmlns="http://schemas.openxmlformats.org/package/2006/relationships"><Relationship Id="rId1" Type="http://schemas.openxmlformats.org/officeDocument/2006/relationships/package" Target="../embeddings/Microsoft_Excel_Worksheet85.xlsx"/></Relationships>
</file>

<file path=word/charts/_rels/chart105.xml.rels><?xml version="1.0" encoding="UTF-8" standalone="yes"?>
<Relationships xmlns="http://schemas.openxmlformats.org/package/2006/relationships"><Relationship Id="rId1" Type="http://schemas.openxmlformats.org/officeDocument/2006/relationships/package" Target="../embeddings/Microsoft_Excel_Worksheet86.xlsx"/></Relationships>
</file>

<file path=word/charts/_rels/chart106.xml.rels><?xml version="1.0" encoding="UTF-8" standalone="yes"?>
<Relationships xmlns="http://schemas.openxmlformats.org/package/2006/relationships"><Relationship Id="rId1" Type="http://schemas.openxmlformats.org/officeDocument/2006/relationships/package" Target="../embeddings/Microsoft_Excel_Worksheet87.xlsx"/></Relationships>
</file>

<file path=word/charts/_rels/chart107.xml.rels><?xml version="1.0" encoding="UTF-8" standalone="yes"?>
<Relationships xmlns="http://schemas.openxmlformats.org/package/2006/relationships"><Relationship Id="rId1" Type="http://schemas.openxmlformats.org/officeDocument/2006/relationships/package" Target="../embeddings/Microsoft_Excel_Worksheet88.xlsx"/></Relationships>
</file>

<file path=word/charts/_rels/chart108.xml.rels><?xml version="1.0" encoding="UTF-8" standalone="yes"?>
<Relationships xmlns="http://schemas.openxmlformats.org/package/2006/relationships"><Relationship Id="rId1" Type="http://schemas.openxmlformats.org/officeDocument/2006/relationships/package" Target="../embeddings/Microsoft_Excel_Worksheet89.xlsx"/></Relationships>
</file>

<file path=word/charts/_rels/chart109.xml.rels><?xml version="1.0" encoding="UTF-8" standalone="yes"?>
<Relationships xmlns="http://schemas.openxmlformats.org/package/2006/relationships"><Relationship Id="rId1" Type="http://schemas.openxmlformats.org/officeDocument/2006/relationships/package" Target="../embeddings/Microsoft_Excel_Worksheet90.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4.xml"/><Relationship Id="rId4" Type="http://schemas.openxmlformats.org/officeDocument/2006/relationships/package" Target="../embeddings/Microsoft_Excel_Worksheet10.xlsx"/></Relationships>
</file>

<file path=word/charts/_rels/chart110.xml.rels><?xml version="1.0" encoding="UTF-8" standalone="yes"?>
<Relationships xmlns="http://schemas.openxmlformats.org/package/2006/relationships"><Relationship Id="rId1" Type="http://schemas.openxmlformats.org/officeDocument/2006/relationships/package" Target="../embeddings/Microsoft_Excel_Worksheet91.xlsx"/></Relationships>
</file>

<file path=word/charts/_rels/chart111.xml.rels><?xml version="1.0" encoding="UTF-8" standalone="yes"?>
<Relationships xmlns="http://schemas.openxmlformats.org/package/2006/relationships"><Relationship Id="rId1" Type="http://schemas.openxmlformats.org/officeDocument/2006/relationships/package" Target="../embeddings/Microsoft_Excel_Worksheet92.xlsx"/></Relationships>
</file>

<file path=word/charts/_rels/chart11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93.xlsx"/></Relationships>
</file>

<file path=word/charts/_rels/chart113.xml.rels><?xml version="1.0" encoding="UTF-8" standalone="yes"?>
<Relationships xmlns="http://schemas.openxmlformats.org/package/2006/relationships"><Relationship Id="rId2" Type="http://schemas.openxmlformats.org/officeDocument/2006/relationships/package" Target="../embeddings/Microsoft_Excel_Worksheet94.xlsx"/><Relationship Id="rId1" Type="http://schemas.openxmlformats.org/officeDocument/2006/relationships/themeOverride" Target="../theme/themeOverride32.xml"/></Relationships>
</file>

<file path=word/charts/_rels/chart114.xml.rels><?xml version="1.0" encoding="UTF-8" standalone="yes"?>
<Relationships xmlns="http://schemas.openxmlformats.org/package/2006/relationships"><Relationship Id="rId2" Type="http://schemas.openxmlformats.org/officeDocument/2006/relationships/oleObject" Target="file:///C:\Users\Prokurors\Documents\GroupWise\Statistika%20Zemgale.xlsx" TargetMode="External"/><Relationship Id="rId1" Type="http://schemas.openxmlformats.org/officeDocument/2006/relationships/themeOverride" Target="../theme/themeOverride33.xml"/></Relationships>
</file>

<file path=word/charts/_rels/chart115.xml.rels><?xml version="1.0" encoding="UTF-8" standalone="yes"?>
<Relationships xmlns="http://schemas.openxmlformats.org/package/2006/relationships"><Relationship Id="rId2" Type="http://schemas.openxmlformats.org/officeDocument/2006/relationships/package" Target="../embeddings/Microsoft_Excel_Worksheet95.xlsx"/><Relationship Id="rId1" Type="http://schemas.openxmlformats.org/officeDocument/2006/relationships/themeOverride" Target="../theme/themeOverride34.xml"/></Relationships>
</file>

<file path=word/charts/_rels/chart116.xml.rels><?xml version="1.0" encoding="UTF-8" standalone="yes"?>
<Relationships xmlns="http://schemas.openxmlformats.org/package/2006/relationships"><Relationship Id="rId2" Type="http://schemas.openxmlformats.org/officeDocument/2006/relationships/package" Target="../embeddings/Microsoft_Excel_Worksheet96.xlsx"/><Relationship Id="rId1" Type="http://schemas.openxmlformats.org/officeDocument/2006/relationships/themeOverride" Target="../theme/themeOverride35.xml"/></Relationships>
</file>

<file path=word/charts/_rels/chart117.xml.rels><?xml version="1.0" encoding="UTF-8" standalone="yes"?>
<Relationships xmlns="http://schemas.openxmlformats.org/package/2006/relationships"><Relationship Id="rId2" Type="http://schemas.openxmlformats.org/officeDocument/2006/relationships/package" Target="../embeddings/Microsoft_Excel_Worksheet97.xlsx"/><Relationship Id="rId1" Type="http://schemas.openxmlformats.org/officeDocument/2006/relationships/themeOverride" Target="../theme/themeOverride36.xml"/></Relationships>
</file>

<file path=word/charts/_rels/chart118.xml.rels><?xml version="1.0" encoding="UTF-8" standalone="yes"?>
<Relationships xmlns="http://schemas.openxmlformats.org/package/2006/relationships"><Relationship Id="rId2" Type="http://schemas.openxmlformats.org/officeDocument/2006/relationships/package" Target="../embeddings/Microsoft_Excel_Worksheet98.xlsx"/><Relationship Id="rId1" Type="http://schemas.openxmlformats.org/officeDocument/2006/relationships/themeOverride" Target="../theme/themeOverride37.xml"/></Relationships>
</file>

<file path=word/charts/_rels/chart119.xml.rels><?xml version="1.0" encoding="UTF-8" standalone="yes"?>
<Relationships xmlns="http://schemas.openxmlformats.org/package/2006/relationships"><Relationship Id="rId2" Type="http://schemas.openxmlformats.org/officeDocument/2006/relationships/package" Target="../embeddings/Microsoft_Excel_Worksheet99.xlsx"/><Relationship Id="rId1" Type="http://schemas.openxmlformats.org/officeDocument/2006/relationships/themeOverride" Target="../theme/themeOverride38.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5.xml"/><Relationship Id="rId4" Type="http://schemas.openxmlformats.org/officeDocument/2006/relationships/package" Target="../embeddings/Microsoft_Excel_Worksheet11.xlsx"/></Relationships>
</file>

<file path=word/charts/_rels/chart120.xml.rels><?xml version="1.0" encoding="UTF-8" standalone="yes"?>
<Relationships xmlns="http://schemas.openxmlformats.org/package/2006/relationships"><Relationship Id="rId2" Type="http://schemas.openxmlformats.org/officeDocument/2006/relationships/package" Target="../embeddings/Microsoft_Excel_Worksheet100.xlsx"/><Relationship Id="rId1" Type="http://schemas.openxmlformats.org/officeDocument/2006/relationships/themeOverride" Target="../theme/themeOverride39.xml"/></Relationships>
</file>

<file path=word/charts/_rels/chart121.xml.rels><?xml version="1.0" encoding="UTF-8" standalone="yes"?>
<Relationships xmlns="http://schemas.openxmlformats.org/package/2006/relationships"><Relationship Id="rId2" Type="http://schemas.openxmlformats.org/officeDocument/2006/relationships/package" Target="../embeddings/Microsoft_Excel_Worksheet101.xlsx"/><Relationship Id="rId1" Type="http://schemas.openxmlformats.org/officeDocument/2006/relationships/themeOverride" Target="../theme/themeOverride40.xml"/></Relationships>
</file>

<file path=word/charts/_rels/chart122.xml.rels><?xml version="1.0" encoding="UTF-8" standalone="yes"?>
<Relationships xmlns="http://schemas.openxmlformats.org/package/2006/relationships"><Relationship Id="rId2" Type="http://schemas.openxmlformats.org/officeDocument/2006/relationships/package" Target="../embeddings/Microsoft_Excel_Worksheet102.xlsx"/><Relationship Id="rId1" Type="http://schemas.openxmlformats.org/officeDocument/2006/relationships/themeOverride" Target="../theme/themeOverride41.xml"/></Relationships>
</file>

<file path=word/charts/_rels/chart123.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42.xml"/></Relationships>
</file>

<file path=word/charts/_rels/chart124.xml.rels><?xml version="1.0" encoding="UTF-8" standalone="yes"?>
<Relationships xmlns="http://schemas.openxmlformats.org/package/2006/relationships"><Relationship Id="rId2" Type="http://schemas.openxmlformats.org/officeDocument/2006/relationships/package" Target="../embeddings/Microsoft_Excel_Worksheet103.xlsx"/><Relationship Id="rId1" Type="http://schemas.openxmlformats.org/officeDocument/2006/relationships/themeOverride" Target="../theme/themeOverride43.xml"/></Relationships>
</file>

<file path=word/charts/_rels/chart125.xml.rels><?xml version="1.0" encoding="UTF-8" standalone="yes"?>
<Relationships xmlns="http://schemas.openxmlformats.org/package/2006/relationships"><Relationship Id="rId2" Type="http://schemas.openxmlformats.org/officeDocument/2006/relationships/package" Target="../embeddings/Microsoft_Excel_Worksheet104.xlsx"/><Relationship Id="rId1" Type="http://schemas.openxmlformats.org/officeDocument/2006/relationships/themeOverride" Target="../theme/themeOverride44.xml"/></Relationships>
</file>

<file path=word/charts/_rels/chart126.xml.rels><?xml version="1.0" encoding="UTF-8" standalone="yes"?>
<Relationships xmlns="http://schemas.openxmlformats.org/package/2006/relationships"><Relationship Id="rId2" Type="http://schemas.openxmlformats.org/officeDocument/2006/relationships/package" Target="../embeddings/Microsoft_Excel_Worksheet105.xlsx"/><Relationship Id="rId1" Type="http://schemas.openxmlformats.org/officeDocument/2006/relationships/themeOverride" Target="../theme/themeOverride45.xml"/></Relationships>
</file>

<file path=word/charts/_rels/chart127.xml.rels><?xml version="1.0" encoding="UTF-8" standalone="yes"?>
<Relationships xmlns="http://schemas.openxmlformats.org/package/2006/relationships"><Relationship Id="rId2" Type="http://schemas.openxmlformats.org/officeDocument/2006/relationships/package" Target="../embeddings/Microsoft_Excel_Worksheet106.xlsx"/><Relationship Id="rId1" Type="http://schemas.openxmlformats.org/officeDocument/2006/relationships/themeOverride" Target="../theme/themeOverride46.xml"/></Relationships>
</file>

<file path=word/charts/_rels/chart128.xml.rels><?xml version="1.0" encoding="UTF-8" standalone="yes"?>
<Relationships xmlns="http://schemas.openxmlformats.org/package/2006/relationships"><Relationship Id="rId2" Type="http://schemas.openxmlformats.org/officeDocument/2006/relationships/package" Target="../embeddings/Microsoft_Excel_Worksheet107.xlsx"/><Relationship Id="rId1" Type="http://schemas.openxmlformats.org/officeDocument/2006/relationships/themeOverride" Target="../theme/themeOverride47.xml"/></Relationships>
</file>

<file path=word/charts/_rels/chart129.xml.rels><?xml version="1.0" encoding="UTF-8" standalone="yes"?>
<Relationships xmlns="http://schemas.openxmlformats.org/package/2006/relationships"><Relationship Id="rId2" Type="http://schemas.openxmlformats.org/officeDocument/2006/relationships/package" Target="../embeddings/Microsoft_Excel_Worksheet108.xlsx"/><Relationship Id="rId1" Type="http://schemas.openxmlformats.org/officeDocument/2006/relationships/themeOverride" Target="../theme/themeOverride48.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6.xml"/><Relationship Id="rId4" Type="http://schemas.openxmlformats.org/officeDocument/2006/relationships/package" Target="../embeddings/Microsoft_Excel_Worksheet12.xlsx"/></Relationships>
</file>

<file path=word/charts/_rels/chart130.xml.rels><?xml version="1.0" encoding="UTF-8" standalone="yes"?>
<Relationships xmlns="http://schemas.openxmlformats.org/package/2006/relationships"><Relationship Id="rId2" Type="http://schemas.openxmlformats.org/officeDocument/2006/relationships/package" Target="../embeddings/Microsoft_Excel_Worksheet109.xlsx"/><Relationship Id="rId1" Type="http://schemas.openxmlformats.org/officeDocument/2006/relationships/themeOverride" Target="../theme/themeOverride49.xml"/></Relationships>
</file>

<file path=word/charts/_rels/chart131.xml.rels><?xml version="1.0" encoding="UTF-8" standalone="yes"?>
<Relationships xmlns="http://schemas.openxmlformats.org/package/2006/relationships"><Relationship Id="rId2" Type="http://schemas.openxmlformats.org/officeDocument/2006/relationships/package" Target="../embeddings/Microsoft_Excel_Worksheet110.xlsx"/><Relationship Id="rId1" Type="http://schemas.openxmlformats.org/officeDocument/2006/relationships/themeOverride" Target="../theme/themeOverride50.xml"/></Relationships>
</file>

<file path=word/charts/_rels/chart132.xml.rels><?xml version="1.0" encoding="UTF-8" standalone="yes"?>
<Relationships xmlns="http://schemas.openxmlformats.org/package/2006/relationships"><Relationship Id="rId2" Type="http://schemas.openxmlformats.org/officeDocument/2006/relationships/package" Target="../embeddings/Microsoft_Excel_Worksheet111.xlsx"/><Relationship Id="rId1" Type="http://schemas.openxmlformats.org/officeDocument/2006/relationships/themeOverride" Target="../theme/themeOverride51.xml"/></Relationships>
</file>

<file path=word/charts/_rels/chart133.xml.rels><?xml version="1.0" encoding="UTF-8" standalone="yes"?>
<Relationships xmlns="http://schemas.openxmlformats.org/package/2006/relationships"><Relationship Id="rId2" Type="http://schemas.openxmlformats.org/officeDocument/2006/relationships/package" Target="../embeddings/Microsoft_Excel_Worksheet112.xlsx"/><Relationship Id="rId1" Type="http://schemas.openxmlformats.org/officeDocument/2006/relationships/themeOverride" Target="../theme/themeOverride52.xml"/></Relationships>
</file>

<file path=word/charts/_rels/chart134.xml.rels><?xml version="1.0" encoding="UTF-8" standalone="yes"?>
<Relationships xmlns="http://schemas.openxmlformats.org/package/2006/relationships"><Relationship Id="rId2" Type="http://schemas.openxmlformats.org/officeDocument/2006/relationships/package" Target="../embeddings/Microsoft_Excel_Worksheet113.xlsx"/><Relationship Id="rId1" Type="http://schemas.openxmlformats.org/officeDocument/2006/relationships/themeOverride" Target="../theme/themeOverride53.xml"/></Relationships>
</file>

<file path=word/charts/_rels/chart135.xml.rels><?xml version="1.0" encoding="UTF-8" standalone="yes"?>
<Relationships xmlns="http://schemas.openxmlformats.org/package/2006/relationships"><Relationship Id="rId2" Type="http://schemas.openxmlformats.org/officeDocument/2006/relationships/package" Target="../embeddings/Microsoft_Excel_Worksheet114.xlsx"/><Relationship Id="rId1" Type="http://schemas.openxmlformats.org/officeDocument/2006/relationships/themeOverride" Target="../theme/themeOverride54.xml"/></Relationships>
</file>

<file path=word/charts/_rels/chart136.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115.xlsx"/></Relationships>
</file>

<file path=word/charts/_rels/chart137.xml.rels><?xml version="1.0" encoding="UTF-8" standalone="yes"?>
<Relationships xmlns="http://schemas.openxmlformats.org/package/2006/relationships"><Relationship Id="rId3" Type="http://schemas.openxmlformats.org/officeDocument/2006/relationships/oleObject" Target="file:///C:\Users\Prokurors\Downloads\ONCNSP_2021.xlsx" TargetMode="External"/><Relationship Id="rId2" Type="http://schemas.microsoft.com/office/2011/relationships/chartColorStyle" Target="colors32.xml"/><Relationship Id="rId1" Type="http://schemas.microsoft.com/office/2011/relationships/chartStyle" Target="style32.xml"/></Relationships>
</file>

<file path=word/charts/_rels/chart138.xml.rels><?xml version="1.0" encoding="UTF-8" standalone="yes"?>
<Relationships xmlns="http://schemas.openxmlformats.org/package/2006/relationships"><Relationship Id="rId3" Type="http://schemas.openxmlformats.org/officeDocument/2006/relationships/oleObject" Target="file:///C:\Users\Prokurors\Downloads\ONCNSP_2021.xlsx" TargetMode="External"/><Relationship Id="rId2" Type="http://schemas.microsoft.com/office/2011/relationships/chartColorStyle" Target="colors33.xml"/><Relationship Id="rId1" Type="http://schemas.microsoft.com/office/2011/relationships/chartStyle" Target="style33.xml"/></Relationships>
</file>

<file path=word/charts/_rels/chart139.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40.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1.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2.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3.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4.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5.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6.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7.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8.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49.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50.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1.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2.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3.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4.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5.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6.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7.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8.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59.xml.rels><?xml version="1.0" encoding="UTF-8" standalone="yes"?>
<Relationships xmlns="http://schemas.openxmlformats.org/package/2006/relationships"><Relationship Id="rId1" Type="http://schemas.openxmlformats.org/officeDocument/2006/relationships/oleObject" Target="file:///C:\Users\Prokurors\Downloads\ONCNSP_2021.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15.xlsx"/></Relationships>
</file>

<file path=word/charts/_rels/chart160.xml.rels><?xml version="1.0" encoding="UTF-8" standalone="yes"?>
<Relationships xmlns="http://schemas.openxmlformats.org/package/2006/relationships"><Relationship Id="rId3" Type="http://schemas.openxmlformats.org/officeDocument/2006/relationships/package" Target="../embeddings/Microsoft_Excel_Worksheet116.xlsx"/><Relationship Id="rId2" Type="http://schemas.microsoft.com/office/2011/relationships/chartColorStyle" Target="colors34.xml"/><Relationship Id="rId1" Type="http://schemas.microsoft.com/office/2011/relationships/chartStyle" Target="style34.xml"/></Relationships>
</file>

<file path=word/charts/_rels/chart161.xml.rels><?xml version="1.0" encoding="UTF-8" standalone="yes"?>
<Relationships xmlns="http://schemas.openxmlformats.org/package/2006/relationships"><Relationship Id="rId3" Type="http://schemas.openxmlformats.org/officeDocument/2006/relationships/package" Target="../embeddings/Microsoft_Excel_Worksheet117.xlsx"/><Relationship Id="rId2" Type="http://schemas.microsoft.com/office/2011/relationships/chartColorStyle" Target="colors35.xml"/><Relationship Id="rId1" Type="http://schemas.microsoft.com/office/2011/relationships/chartStyle" Target="style35.xml"/></Relationships>
</file>

<file path=word/charts/_rels/chart162.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embeddings/oleObject9.bin"/></Relationships>
</file>

<file path=word/charts/_rels/chart163.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embeddings/oleObject10.bin"/></Relationships>
</file>

<file path=word/charts/_rels/chart164.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embeddings/oleObject11.bin"/></Relationships>
</file>

<file path=word/charts/_rels/chart165.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embeddings/oleObject12.bin"/></Relationships>
</file>

<file path=word/charts/_rels/chart166.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embeddings/oleObject13.bin"/></Relationships>
</file>

<file path=word/charts/_rels/chart167.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118.xlsx"/></Relationships>
</file>

<file path=word/charts/_rels/chart168.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119.xlsx"/></Relationships>
</file>

<file path=word/charts/_rels/chart169.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120.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6.xml"/><Relationship Id="rId1" Type="http://schemas.microsoft.com/office/2011/relationships/chartStyle" Target="style16.xml"/></Relationships>
</file>

<file path=word/charts/_rels/chart170.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121.xlsx"/></Relationships>
</file>

<file path=word/charts/_rels/chart171.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122.xlsx"/></Relationships>
</file>

<file path=word/charts/_rels/chart172.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123.xlsx"/></Relationships>
</file>

<file path=word/charts/_rels/chart173.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124.xlsx"/></Relationships>
</file>

<file path=word/charts/_rels/chart174.xml.rels><?xml version="1.0" encoding="UTF-8" standalone="yes"?>
<Relationships xmlns="http://schemas.openxmlformats.org/package/2006/relationships"><Relationship Id="rId3" Type="http://schemas.openxmlformats.org/officeDocument/2006/relationships/package" Target="../embeddings/Microsoft_Excel_Worksheet125.xlsx"/><Relationship Id="rId2" Type="http://schemas.microsoft.com/office/2011/relationships/chartColorStyle" Target="colors48.xml"/><Relationship Id="rId1" Type="http://schemas.microsoft.com/office/2011/relationships/chartStyle" Target="style48.xml"/></Relationships>
</file>

<file path=word/charts/_rels/chart175.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126.xlsx"/></Relationships>
</file>

<file path=word/charts/_rels/chart176.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127.xlsx"/></Relationships>
</file>

<file path=word/charts/_rels/chart177.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128.xlsx"/></Relationships>
</file>

<file path=word/charts/_rels/chart178.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Chart%20in%20Microsoft%20Word" TargetMode="External"/></Relationships>
</file>

<file path=word/charts/_rels/chart179.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C:\Users\Prokurors\Documents\GroupWise\Piemers%20kopija.xlsx" TargetMode="Externa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7.xml"/><Relationship Id="rId1" Type="http://schemas.microsoft.com/office/2011/relationships/chartStyle" Target="style17.xml"/></Relationships>
</file>

<file path=word/charts/_rels/chart18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4.xml"/><Relationship Id="rId1" Type="http://schemas.microsoft.com/office/2011/relationships/chartStyle" Target="style54.xml"/></Relationships>
</file>

<file path=word/charts/_rels/chart18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5.xml"/><Relationship Id="rId1" Type="http://schemas.microsoft.com/office/2011/relationships/chartStyle" Target="style55.xml"/></Relationships>
</file>

<file path=word/charts/_rels/chart182.xml.rels><?xml version="1.0" encoding="UTF-8" standalone="yes"?>
<Relationships xmlns="http://schemas.openxmlformats.org/package/2006/relationships"><Relationship Id="rId3" Type="http://schemas.openxmlformats.org/officeDocument/2006/relationships/oleObject" Target="file:///C:\Users\Prokurors\Documents\GroupWise\Excel_PAK.xlsx" TargetMode="External"/><Relationship Id="rId2" Type="http://schemas.microsoft.com/office/2011/relationships/chartColorStyle" Target="colors56.xml"/><Relationship Id="rId1" Type="http://schemas.microsoft.com/office/2011/relationships/chartStyle" Target="style56.xml"/></Relationships>
</file>

<file path=word/charts/_rels/chart183.xml.rels><?xml version="1.0" encoding="UTF-8" standalone="yes"?>
<Relationships xmlns="http://schemas.openxmlformats.org/package/2006/relationships"><Relationship Id="rId3" Type="http://schemas.openxmlformats.org/officeDocument/2006/relationships/package" Target="../embeddings/Microsoft_Excel_Worksheet129.xlsx"/><Relationship Id="rId2" Type="http://schemas.microsoft.com/office/2011/relationships/chartColorStyle" Target="colors57.xml"/><Relationship Id="rId1" Type="http://schemas.microsoft.com/office/2011/relationships/chartStyle" Target="style57.xml"/></Relationships>
</file>

<file path=word/charts/_rels/chart184.xml.rels><?xml version="1.0" encoding="UTF-8" standalone="yes"?>
<Relationships xmlns="http://schemas.openxmlformats.org/package/2006/relationships"><Relationship Id="rId3" Type="http://schemas.openxmlformats.org/officeDocument/2006/relationships/package" Target="../embeddings/Microsoft_Excel_Worksheet130.xlsx"/><Relationship Id="rId2" Type="http://schemas.microsoft.com/office/2011/relationships/chartColorStyle" Target="colors58.xml"/><Relationship Id="rId1" Type="http://schemas.microsoft.com/office/2011/relationships/chartStyle" Target="style58.xml"/></Relationships>
</file>

<file path=word/charts/_rels/chart185.xml.rels><?xml version="1.0" encoding="UTF-8" standalone="yes"?>
<Relationships xmlns="http://schemas.openxmlformats.org/package/2006/relationships"><Relationship Id="rId3" Type="http://schemas.openxmlformats.org/officeDocument/2006/relationships/package" Target="../embeddings/Microsoft_Excel_Worksheet131.xlsx"/><Relationship Id="rId2" Type="http://schemas.microsoft.com/office/2011/relationships/chartColorStyle" Target="colors59.xml"/><Relationship Id="rId1" Type="http://schemas.microsoft.com/office/2011/relationships/chartStyle" Target="style59.xml"/></Relationships>
</file>

<file path=word/charts/_rels/chart186.xml.rels><?xml version="1.0" encoding="UTF-8" standalone="yes"?>
<Relationships xmlns="http://schemas.openxmlformats.org/package/2006/relationships"><Relationship Id="rId3" Type="http://schemas.openxmlformats.org/officeDocument/2006/relationships/package" Target="../embeddings/Microsoft_Excel_Worksheet132.xlsx"/><Relationship Id="rId2" Type="http://schemas.microsoft.com/office/2011/relationships/chartColorStyle" Target="colors60.xml"/><Relationship Id="rId1" Type="http://schemas.microsoft.com/office/2011/relationships/chartStyle" Target="style60.xml"/></Relationships>
</file>

<file path=word/charts/_rels/chart187.xml.rels><?xml version="1.0" encoding="UTF-8" standalone="yes"?>
<Relationships xmlns="http://schemas.openxmlformats.org/package/2006/relationships"><Relationship Id="rId3" Type="http://schemas.openxmlformats.org/officeDocument/2006/relationships/package" Target="../embeddings/Microsoft_Excel_Worksheet133.xlsx"/><Relationship Id="rId2" Type="http://schemas.microsoft.com/office/2011/relationships/chartColorStyle" Target="colors61.xml"/><Relationship Id="rId1" Type="http://schemas.microsoft.com/office/2011/relationships/chartStyle" Target="style61.xml"/></Relationships>
</file>

<file path=word/charts/_rels/chart188.xml.rels><?xml version="1.0" encoding="UTF-8" standalone="yes"?>
<Relationships xmlns="http://schemas.openxmlformats.org/package/2006/relationships"><Relationship Id="rId3" Type="http://schemas.openxmlformats.org/officeDocument/2006/relationships/oleObject" Target="Chart%20in%20Microsoft%20PowerPoint" TargetMode="Externa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chartUserShapes" Target="../drawings/drawing13.xml"/></Relationships>
</file>

<file path=word/charts/_rels/chart189.xml.rels><?xml version="1.0" encoding="UTF-8" standalone="yes"?>
<Relationships xmlns="http://schemas.openxmlformats.org/package/2006/relationships"><Relationship Id="rId3" Type="http://schemas.openxmlformats.org/officeDocument/2006/relationships/oleObject" Target="../embeddings/oleObject14.bin"/><Relationship Id="rId2" Type="http://schemas.microsoft.com/office/2011/relationships/chartColorStyle" Target="colors63.xml"/><Relationship Id="rId1" Type="http://schemas.microsoft.com/office/2011/relationships/chartStyle" Target="style63.xml"/></Relationships>
</file>

<file path=word/charts/_rels/chart19.xml.rels><?xml version="1.0" encoding="UTF-8" standalone="yes"?>
<Relationships xmlns="http://schemas.openxmlformats.org/package/2006/relationships"><Relationship Id="rId3" Type="http://schemas.openxmlformats.org/officeDocument/2006/relationships/oleObject" Target="file:///\\FILES-SRV\WRK\HOMES\ARMINS_MEISTERS\ATSKAITES\2020\RTA%20GADA%20PARSKATS\Statistika.xlsx" TargetMode="External"/><Relationship Id="rId2" Type="http://schemas.microsoft.com/office/2011/relationships/chartColorStyle" Target="colors18.xml"/><Relationship Id="rId1" Type="http://schemas.microsoft.com/office/2011/relationships/chartStyle" Target="style18.xml"/></Relationships>
</file>

<file path=word/charts/_rels/chart190.xml.rels><?xml version="1.0" encoding="UTF-8" standalone="yes"?>
<Relationships xmlns="http://schemas.openxmlformats.org/package/2006/relationships"><Relationship Id="rId3" Type="http://schemas.openxmlformats.org/officeDocument/2006/relationships/oleObject" Target="../embeddings/oleObject15.bin"/><Relationship Id="rId2" Type="http://schemas.microsoft.com/office/2011/relationships/chartColorStyle" Target="colors64.xml"/><Relationship Id="rId1" Type="http://schemas.microsoft.com/office/2011/relationships/chartStyle" Target="style64.xml"/></Relationships>
</file>

<file path=word/charts/_rels/chart191.xml.rels><?xml version="1.0" encoding="UTF-8" standalone="yes"?>
<Relationships xmlns="http://schemas.openxmlformats.org/package/2006/relationships"><Relationship Id="rId3" Type="http://schemas.openxmlformats.org/officeDocument/2006/relationships/oleObject" Target="../embeddings/oleObject16.bin"/><Relationship Id="rId2" Type="http://schemas.microsoft.com/office/2011/relationships/chartColorStyle" Target="colors65.xml"/><Relationship Id="rId1" Type="http://schemas.microsoft.com/office/2011/relationships/chartStyle" Target="style65.xml"/></Relationships>
</file>

<file path=word/charts/_rels/chart192.xml.rels><?xml version="1.0" encoding="UTF-8" standalone="yes"?>
<Relationships xmlns="http://schemas.openxmlformats.org/package/2006/relationships"><Relationship Id="rId3" Type="http://schemas.openxmlformats.org/officeDocument/2006/relationships/oleObject" Target="Chart%202%20in%20Microsoft%20PowerPoint" TargetMode="External"/><Relationship Id="rId2" Type="http://schemas.microsoft.com/office/2011/relationships/chartColorStyle" Target="colors66.xml"/><Relationship Id="rId1" Type="http://schemas.microsoft.com/office/2011/relationships/chartStyle" Target="style66.xml"/></Relationships>
</file>

<file path=word/charts/_rels/chart193.xml.rels><?xml version="1.0" encoding="UTF-8" standalone="yes"?>
<Relationships xmlns="http://schemas.openxmlformats.org/package/2006/relationships"><Relationship Id="rId3" Type="http://schemas.openxmlformats.org/officeDocument/2006/relationships/oleObject" Target="Chart%203%20in%20Microsoft%20PowerPoint" TargetMode="External"/><Relationship Id="rId2" Type="http://schemas.microsoft.com/office/2011/relationships/chartColorStyle" Target="colors67.xml"/><Relationship Id="rId1" Type="http://schemas.microsoft.com/office/2011/relationships/chartStyle" Target="style67.xml"/></Relationships>
</file>

<file path=word/charts/_rels/chart194.xml.rels><?xml version="1.0" encoding="UTF-8" standalone="yes"?>
<Relationships xmlns="http://schemas.openxmlformats.org/package/2006/relationships"><Relationship Id="rId3" Type="http://schemas.openxmlformats.org/officeDocument/2006/relationships/oleObject" Target="Chart%205%20in%20Microsoft%20PowerPoint" TargetMode="External"/><Relationship Id="rId2" Type="http://schemas.microsoft.com/office/2011/relationships/chartColorStyle" Target="colors68.xml"/><Relationship Id="rId1" Type="http://schemas.microsoft.com/office/2011/relationships/chartStyle" Target="style68.xml"/></Relationships>
</file>

<file path=word/charts/_rels/chart195.xml.rels><?xml version="1.0" encoding="UTF-8" standalone="yes"?>
<Relationships xmlns="http://schemas.openxmlformats.org/package/2006/relationships"><Relationship Id="rId3" Type="http://schemas.openxmlformats.org/officeDocument/2006/relationships/oleObject" Target="Chart%204%20in%20Microsoft%20PowerPoint" TargetMode="External"/><Relationship Id="rId2" Type="http://schemas.microsoft.com/office/2011/relationships/chartColorStyle" Target="colors69.xml"/><Relationship Id="rId1" Type="http://schemas.microsoft.com/office/2011/relationships/chartStyle" Target="style69.xml"/></Relationships>
</file>

<file path=word/charts/_rels/chart196.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134.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9.xml"/></Relationships>
</file>

<file path=word/charts/_rels/chart21.xml.rels><?xml version="1.0" encoding="UTF-8" standalone="yes"?>
<Relationships xmlns="http://schemas.openxmlformats.org/package/2006/relationships"><Relationship Id="rId1" Type="http://schemas.openxmlformats.org/officeDocument/2006/relationships/oleObject" Target="file:///\\FILES-SRV\WRK\HOMES\ARMINS_MEISTERS\ATSKAITES\2020\RTA%20GADA%20PARSKATS\Statistika.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ILES-SRV\WRK\HOMES\ARMINS_MEISTERS\ATSKAITES\2020\RTA%20GADA%20PARSKATS\Statistika.xlsx" TargetMode="External"/></Relationships>
</file>

<file path=word/charts/_rels/chart23.xml.rels><?xml version="1.0" encoding="UTF-8" standalone="yes"?>
<Relationships xmlns="http://schemas.openxmlformats.org/package/2006/relationships"><Relationship Id="rId3" Type="http://schemas.openxmlformats.org/officeDocument/2006/relationships/oleObject" Target="file:///\\FILES-SRV\WRK\HOMES\ARMINS_MEISTERS\ATSKAITES\2020\RTA%20GADA%20PARSKATS\Statistika.xlsx" TargetMode="External"/><Relationship Id="rId2" Type="http://schemas.microsoft.com/office/2011/relationships/chartColorStyle" Target="colors19.xml"/><Relationship Id="rId1" Type="http://schemas.microsoft.com/office/2011/relationships/chartStyle" Target="style19.xml"/></Relationships>
</file>

<file path=word/charts/_rels/chart24.xml.rels><?xml version="1.0" encoding="UTF-8" standalone="yes"?>
<Relationships xmlns="http://schemas.openxmlformats.org/package/2006/relationships"><Relationship Id="rId3" Type="http://schemas.openxmlformats.org/officeDocument/2006/relationships/oleObject" Target="file:///\\FILES-SRV\WRK\HOMES\ARMINS_MEISTERS\ATSKAITES\2020\RTA%20GADA%20PARSKATS\Statistika.xlsx" TargetMode="External"/><Relationship Id="rId2" Type="http://schemas.microsoft.com/office/2011/relationships/chartColorStyle" Target="colors20.xml"/><Relationship Id="rId1" Type="http://schemas.microsoft.com/office/2011/relationships/chartStyle" Target="style20.xml"/></Relationships>
</file>

<file path=word/charts/_rels/chart25.xml.rels><?xml version="1.0" encoding="UTF-8" standalone="yes"?>
<Relationships xmlns="http://schemas.openxmlformats.org/package/2006/relationships"><Relationship Id="rId3" Type="http://schemas.openxmlformats.org/officeDocument/2006/relationships/oleObject" Target="file:///\\FILES-SRV\WRK\HOMES\ARMINS_MEISTERS\ATSKAITES\2020\RTA%20GADA%20PARSKATS\Statistika.xlsx" TargetMode="External"/><Relationship Id="rId2" Type="http://schemas.microsoft.com/office/2011/relationships/chartColorStyle" Target="colors21.xml"/><Relationship Id="rId1" Type="http://schemas.microsoft.com/office/2011/relationships/chartStyle" Target="style21.xml"/></Relationships>
</file>

<file path=word/charts/_rels/chart26.xml.rels><?xml version="1.0" encoding="UTF-8" standalone="yes"?>
<Relationships xmlns="http://schemas.openxmlformats.org/package/2006/relationships"><Relationship Id="rId1" Type="http://schemas.openxmlformats.org/officeDocument/2006/relationships/oleObject" Target="file:///\\FILES-SRV\WRK\HOMES\ARMINS_MEISTERS\ATSKAITES\2020\RTA%20GADA%20PARSKATS\Statistika.xlsx" TargetMode="External"/></Relationships>
</file>

<file path=word/charts/_rels/chart27.xml.rels><?xml version="1.0" encoding="UTF-8" standalone="yes"?>
<Relationships xmlns="http://schemas.openxmlformats.org/package/2006/relationships"><Relationship Id="rId3" Type="http://schemas.openxmlformats.org/officeDocument/2006/relationships/oleObject" Target="file:///\\FILES-SRV\WRK\HOMES\ARMINS_MEISTERS\ATSKAITES\2020\RTA%20GADA%20PARSKATS\Statistika.xlsx" TargetMode="External"/><Relationship Id="rId2" Type="http://schemas.microsoft.com/office/2011/relationships/chartColorStyle" Target="colors22.xml"/><Relationship Id="rId1" Type="http://schemas.microsoft.com/office/2011/relationships/chartStyle" Target="style22.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0.xml"/></Relationships>
</file>

<file path=word/charts/_rels/chart29.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1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1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1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16.xml"/></Relationships>
</file>

<file path=word/charts/_rels/chart37.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38.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39.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26.xlsx"/></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3.xml"/><Relationship Id="rId1" Type="http://schemas.microsoft.com/office/2011/relationships/chartStyle" Target="style23.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4.xml"/><Relationship Id="rId1" Type="http://schemas.microsoft.com/office/2011/relationships/chartStyle" Target="style24.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5.xml"/><Relationship Id="rId1" Type="http://schemas.microsoft.com/office/2011/relationships/chartStyle" Target="style25.xml"/></Relationships>
</file>

<file path=word/charts/_rels/chart44.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17.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18.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19.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20.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2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22.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23.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26.xml"/><Relationship Id="rId1" Type="http://schemas.microsoft.com/office/2011/relationships/chartStyle" Target="style26.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24.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25.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27.xml"/><Relationship Id="rId1" Type="http://schemas.microsoft.com/office/2011/relationships/chartStyle" Target="style27.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28.xml"/><Relationship Id="rId1" Type="http://schemas.microsoft.com/office/2011/relationships/chartStyle" Target="style28.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26.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27.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28.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29.xml"/><Relationship Id="rId1" Type="http://schemas.microsoft.com/office/2011/relationships/chartStyle" Target="style29.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29.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30.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31.xm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49.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68.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69.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62.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63.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1.xml"/><Relationship Id="rId4" Type="http://schemas.openxmlformats.org/officeDocument/2006/relationships/package" Target="../embeddings/Microsoft_Excel_Worksheet7.xlsx"/></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64.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Microsoft_Excel_Worksheet65.xlsx"/></Relationships>
</file>

<file path=word/charts/_rels/chart82.xml.rels><?xml version="1.0" encoding="UTF-8" standalone="yes"?>
<Relationships xmlns="http://schemas.openxmlformats.org/package/2006/relationships"><Relationship Id="rId1" Type="http://schemas.openxmlformats.org/officeDocument/2006/relationships/package" Target="../embeddings/Microsoft_Excel_Worksheet66.xlsx"/></Relationships>
</file>

<file path=word/charts/_rels/chart83.xml.rels><?xml version="1.0" encoding="UTF-8" standalone="yes"?>
<Relationships xmlns="http://schemas.openxmlformats.org/package/2006/relationships"><Relationship Id="rId1" Type="http://schemas.openxmlformats.org/officeDocument/2006/relationships/package" Target="../embeddings/Microsoft_Excel_Worksheet67.xlsx"/></Relationships>
</file>

<file path=word/charts/_rels/chart84.xml.rels><?xml version="1.0" encoding="UTF-8" standalone="yes"?>
<Relationships xmlns="http://schemas.openxmlformats.org/package/2006/relationships"><Relationship Id="rId1" Type="http://schemas.openxmlformats.org/officeDocument/2006/relationships/package" Target="../embeddings/Microsoft_Excel_Worksheet68.xlsx"/></Relationships>
</file>

<file path=word/charts/_rels/chart85.xml.rels><?xml version="1.0" encoding="UTF-8" standalone="yes"?>
<Relationships xmlns="http://schemas.openxmlformats.org/package/2006/relationships"><Relationship Id="rId1" Type="http://schemas.openxmlformats.org/officeDocument/2006/relationships/package" Target="../embeddings/Microsoft_Excel_Worksheet69.xlsx"/></Relationships>
</file>

<file path=word/charts/_rels/chart86.xml.rels><?xml version="1.0" encoding="UTF-8" standalone="yes"?>
<Relationships xmlns="http://schemas.openxmlformats.org/package/2006/relationships"><Relationship Id="rId1" Type="http://schemas.openxmlformats.org/officeDocument/2006/relationships/package" Target="../embeddings/Microsoft_Excel_Worksheet70.xlsx"/></Relationships>
</file>

<file path=word/charts/_rels/chart87.xml.rels><?xml version="1.0" encoding="UTF-8" standalone="yes"?>
<Relationships xmlns="http://schemas.openxmlformats.org/package/2006/relationships"><Relationship Id="rId1" Type="http://schemas.openxmlformats.org/officeDocument/2006/relationships/package" Target="../embeddings/Microsoft_Excel_Worksheet71.xlsx"/></Relationships>
</file>

<file path=word/charts/_rels/chart88.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72.xlsx"/></Relationships>
</file>

<file path=word/charts/_rels/chart89.xml.rels><?xml version="1.0" encoding="UTF-8" standalone="yes"?>
<Relationships xmlns="http://schemas.openxmlformats.org/package/2006/relationships"><Relationship Id="rId3" Type="http://schemas.openxmlformats.org/officeDocument/2006/relationships/oleObject" Target="file:///C:\Users\Prokurors\Documents\GroupWise\Statistika%20tabul&#257;s%20VIDZEME.xlsx" TargetMode="External"/><Relationship Id="rId2" Type="http://schemas.microsoft.com/office/2011/relationships/chartColorStyle" Target="colors30.xml"/><Relationship Id="rId1" Type="http://schemas.microsoft.com/office/2011/relationships/chartStyle" Target="style30.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2.xml"/><Relationship Id="rId4" Type="http://schemas.openxmlformats.org/officeDocument/2006/relationships/package" Target="../embeddings/Microsoft_Excel_Worksheet8.xlsx"/></Relationships>
</file>

<file path=word/charts/_rels/chart90.xml.rels><?xml version="1.0" encoding="UTF-8" standalone="yes"?>
<Relationships xmlns="http://schemas.openxmlformats.org/package/2006/relationships"><Relationship Id="rId3" Type="http://schemas.openxmlformats.org/officeDocument/2006/relationships/package" Target="../embeddings/Microsoft_Excel_Worksheet73.xlsx"/><Relationship Id="rId2" Type="http://schemas.microsoft.com/office/2011/relationships/chartColorStyle" Target="colors31.xml"/><Relationship Id="rId1" Type="http://schemas.microsoft.com/office/2011/relationships/chartStyle" Target="style31.xml"/></Relationships>
</file>

<file path=word/charts/_rels/chart91.xml.rels><?xml version="1.0" encoding="UTF-8" standalone="yes"?>
<Relationships xmlns="http://schemas.openxmlformats.org/package/2006/relationships"><Relationship Id="rId1" Type="http://schemas.openxmlformats.org/officeDocument/2006/relationships/package" Target="../embeddings/Microsoft_Excel_Worksheet74.xlsx"/></Relationships>
</file>

<file path=word/charts/_rels/chart92.xml.rels><?xml version="1.0" encoding="UTF-8" standalone="yes"?>
<Relationships xmlns="http://schemas.openxmlformats.org/package/2006/relationships"><Relationship Id="rId1" Type="http://schemas.openxmlformats.org/officeDocument/2006/relationships/package" Target="../embeddings/Microsoft_Excel_Worksheet75.xlsx"/></Relationships>
</file>

<file path=word/charts/_rels/chart93.xml.rels><?xml version="1.0" encoding="UTF-8" standalone="yes"?>
<Relationships xmlns="http://schemas.openxmlformats.org/package/2006/relationships"><Relationship Id="rId1" Type="http://schemas.openxmlformats.org/officeDocument/2006/relationships/package" Target="../embeddings/Microsoft_Excel_Worksheet76.xlsx"/></Relationships>
</file>

<file path=word/charts/_rels/chart94.xml.rels><?xml version="1.0" encoding="UTF-8" standalone="yes"?>
<Relationships xmlns="http://schemas.openxmlformats.org/package/2006/relationships"><Relationship Id="rId1" Type="http://schemas.openxmlformats.org/officeDocument/2006/relationships/package" Target="../embeddings/Microsoft_Excel_Worksheet77.xlsx"/></Relationships>
</file>

<file path=word/charts/_rels/chart95.xml.rels><?xml version="1.0" encoding="UTF-8" standalone="yes"?>
<Relationships xmlns="http://schemas.openxmlformats.org/package/2006/relationships"><Relationship Id="rId1" Type="http://schemas.openxmlformats.org/officeDocument/2006/relationships/oleObject" Target="file:///C:\Users\Prokurors\Documents\2020.gada%20p&#257;rskati%20un%20zi&#326;ojums\Excel%20statistika\Statistika%20tabul&#257;s%20VIDZEME.xlsx" TargetMode="External"/></Relationships>
</file>

<file path=word/charts/_rels/chart96.xml.rels><?xml version="1.0" encoding="UTF-8" standalone="yes"?>
<Relationships xmlns="http://schemas.openxmlformats.org/package/2006/relationships"><Relationship Id="rId1" Type="http://schemas.openxmlformats.org/officeDocument/2006/relationships/oleObject" Target="file:///C:\Users\Prokurors\Documents\2020.gada%20p&#257;rskati%20un%20zi&#326;ojums\Excel%20statistika\Statistika%20tabul&#257;s%20VIDZEME.xlsx" TargetMode="External"/></Relationships>
</file>

<file path=word/charts/_rels/chart97.xml.rels><?xml version="1.0" encoding="UTF-8" standalone="yes"?>
<Relationships xmlns="http://schemas.openxmlformats.org/package/2006/relationships"><Relationship Id="rId1" Type="http://schemas.openxmlformats.org/officeDocument/2006/relationships/package" Target="../embeddings/Microsoft_Excel_Worksheet78.xlsx"/></Relationships>
</file>

<file path=word/charts/_rels/chart98.xml.rels><?xml version="1.0" encoding="UTF-8" standalone="yes"?>
<Relationships xmlns="http://schemas.openxmlformats.org/package/2006/relationships"><Relationship Id="rId1" Type="http://schemas.openxmlformats.org/officeDocument/2006/relationships/package" Target="../embeddings/Microsoft_Excel_Worksheet79.xlsx"/></Relationships>
</file>

<file path=word/charts/_rels/chart99.xml.rels><?xml version="1.0" encoding="UTF-8" standalone="yes"?>
<Relationships xmlns="http://schemas.openxmlformats.org/package/2006/relationships"><Relationship Id="rId1" Type="http://schemas.openxmlformats.org/officeDocument/2006/relationships/package" Target="../embeddings/Microsoft_Excel_Worksheet80.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v-LV" sz="1200" b="1" baseline="0">
                <a:solidFill>
                  <a:schemeClr val="tx1"/>
                </a:solidFill>
                <a:latin typeface="Times New Roman" panose="02020603050405020304" pitchFamily="18" charset="0"/>
                <a:cs typeface="Times New Roman" panose="02020603050405020304" pitchFamily="18" charset="0"/>
              </a:rPr>
              <a:t>Prokuroru uzraudzībā pieņemti kriminālprocesi</a:t>
            </a:r>
            <a:endParaRPr lang="en-US" sz="1200" baseline="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41281</c:v>
                </c:pt>
                <c:pt idx="1">
                  <c:v>38344</c:v>
                </c:pt>
                <c:pt idx="2">
                  <c:v>36756</c:v>
                </c:pt>
              </c:numCache>
            </c:numRef>
          </c:val>
          <c:extLst>
            <c:ext xmlns:c16="http://schemas.microsoft.com/office/drawing/2014/chart" uri="{C3380CC4-5D6E-409C-BE32-E72D297353CC}">
              <c16:uniqueId val="{00000000-B235-48C6-A2C6-1F05089C9779}"/>
            </c:ext>
          </c:extLst>
        </c:ser>
        <c:dLbls>
          <c:showLegendKey val="0"/>
          <c:showVal val="0"/>
          <c:showCatName val="0"/>
          <c:showSerName val="0"/>
          <c:showPercent val="0"/>
          <c:showBubbleSize val="0"/>
        </c:dLbls>
        <c:gapWidth val="219"/>
        <c:overlap val="-27"/>
        <c:axId val="348378888"/>
        <c:axId val="348379216"/>
      </c:barChart>
      <c:catAx>
        <c:axId val="348378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348379216"/>
        <c:crosses val="autoZero"/>
        <c:auto val="1"/>
        <c:lblAlgn val="ctr"/>
        <c:lblOffset val="100"/>
        <c:noMultiLvlLbl val="0"/>
      </c:catAx>
      <c:valAx>
        <c:axId val="34837921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483788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100" b="1" baseline="0">
                <a:solidFill>
                  <a:schemeClr val="tx1"/>
                </a:solidFill>
              </a:rPr>
              <a:t>Kriminālprocesa pabeigšanas veidi prokuratūrā</a:t>
            </a:r>
          </a:p>
          <a:p>
            <a:pPr algn="ctr">
              <a:defRPr sz="1400"/>
            </a:pPr>
            <a:r>
              <a:rPr lang="lv-LV" sz="1100" b="1" baseline="0">
                <a:solidFill>
                  <a:schemeClr val="tx1"/>
                </a:solidFill>
              </a:rPr>
              <a:t>2020. gadā</a:t>
            </a:r>
            <a:endParaRPr lang="lv-LV" sz="1100" b="1">
              <a:solidFill>
                <a:schemeClr val="tx1"/>
              </a:solidFill>
            </a:endParaRPr>
          </a:p>
        </c:rich>
      </c:tx>
      <c:layout>
        <c:manualLayout>
          <c:xMode val="edge"/>
          <c:yMode val="edge"/>
          <c:x val="0.13080982104930547"/>
          <c:y val="2.145539066690506E-2"/>
        </c:manualLayout>
      </c:layout>
      <c:overlay val="0"/>
      <c:spPr>
        <a:noFill/>
        <a:ln>
          <a:noFill/>
        </a:ln>
        <a:effectLst/>
      </c:spPr>
      <c:txPr>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doughnutChart>
        <c:varyColors val="1"/>
        <c:ser>
          <c:idx val="0"/>
          <c:order val="0"/>
          <c:dPt>
            <c:idx val="0"/>
            <c:bubble3D val="0"/>
            <c:spPr>
              <a:solidFill>
                <a:schemeClr val="accent1"/>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447F-469D-80F3-03DF99DD5D7B}"/>
              </c:ext>
            </c:extLst>
          </c:dPt>
          <c:dPt>
            <c:idx val="1"/>
            <c:bubble3D val="0"/>
            <c:spPr>
              <a:solidFill>
                <a:schemeClr val="accent2"/>
              </a:solidFill>
              <a:ln w="6350" cap="flat" cmpd="sng" algn="ctr">
                <a:solidFill>
                  <a:schemeClr val="accent2">
                    <a:shade val="50000"/>
                  </a:schemeClr>
                </a:solidFill>
                <a:prstDash val="solid"/>
                <a:round/>
              </a:ln>
              <a:effectLst/>
            </c:spPr>
            <c:extLst>
              <c:ext xmlns:c16="http://schemas.microsoft.com/office/drawing/2014/chart" uri="{C3380CC4-5D6E-409C-BE32-E72D297353CC}">
                <c16:uniqueId val="{00000003-447F-469D-80F3-03DF99DD5D7B}"/>
              </c:ext>
            </c:extLst>
          </c:dPt>
          <c:dPt>
            <c:idx val="2"/>
            <c:bubble3D val="0"/>
            <c:spPr>
              <a:solidFill>
                <a:schemeClr val="accent3"/>
              </a:solidFill>
              <a:ln w="6350" cap="flat" cmpd="sng" algn="ctr">
                <a:solidFill>
                  <a:schemeClr val="accent3">
                    <a:shade val="50000"/>
                  </a:schemeClr>
                </a:solidFill>
                <a:prstDash val="solid"/>
                <a:round/>
              </a:ln>
              <a:effectLst/>
            </c:spPr>
            <c:extLst>
              <c:ext xmlns:c16="http://schemas.microsoft.com/office/drawing/2014/chart" uri="{C3380CC4-5D6E-409C-BE32-E72D297353CC}">
                <c16:uniqueId val="{00000005-447F-469D-80F3-03DF99DD5D7B}"/>
              </c:ext>
            </c:extLst>
          </c:dPt>
          <c:dPt>
            <c:idx val="3"/>
            <c:bubble3D val="0"/>
            <c:spPr>
              <a:solidFill>
                <a:schemeClr val="accent4"/>
              </a:solidFill>
              <a:ln w="6350" cap="flat" cmpd="sng" algn="ctr">
                <a:solidFill>
                  <a:schemeClr val="accent4">
                    <a:shade val="50000"/>
                  </a:schemeClr>
                </a:solidFill>
                <a:prstDash val="solid"/>
                <a:round/>
              </a:ln>
              <a:effectLst/>
            </c:spPr>
            <c:extLst>
              <c:ext xmlns:c16="http://schemas.microsoft.com/office/drawing/2014/chart" uri="{C3380CC4-5D6E-409C-BE32-E72D297353CC}">
                <c16:uniqueId val="{00000007-447F-469D-80F3-03DF99DD5D7B}"/>
              </c:ext>
            </c:extLst>
          </c:dPt>
          <c:dPt>
            <c:idx val="4"/>
            <c:bubble3D val="0"/>
            <c:spPr>
              <a:solidFill>
                <a:schemeClr val="accent5"/>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9-447F-469D-80F3-03DF99DD5D7B}"/>
              </c:ext>
            </c:extLst>
          </c:dPt>
          <c:dLbls>
            <c:dLbl>
              <c:idx val="2"/>
              <c:layout>
                <c:manualLayout>
                  <c:x val="0"/>
                  <c:y val="-9.84251968503930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7F-469D-80F3-03DF99DD5D7B}"/>
                </c:ext>
              </c:extLst>
            </c:dLbl>
            <c:dLbl>
              <c:idx val="3"/>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5496815286624205"/>
                      <c:h val="0.18831877729257643"/>
                    </c:manualLayout>
                  </c15:layout>
                </c:ext>
                <c:ext xmlns:c16="http://schemas.microsoft.com/office/drawing/2014/chart" uri="{C3380CC4-5D6E-409C-BE32-E72D297353CC}">
                  <c16:uniqueId val="{00000007-447F-469D-80F3-03DF99DD5D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6350" cap="flat" cmpd="sng" algn="ctr">
                  <a:solidFill>
                    <a:schemeClr val="dk1"/>
                  </a:solidFill>
                  <a:prstDash val="solid"/>
                  <a:round/>
                </a:ln>
                <a:effectLst/>
              </c:spPr>
            </c:leaderLines>
            <c:extLst>
              <c:ext xmlns:c15="http://schemas.microsoft.com/office/drawing/2012/chart" uri="{CE6537A1-D6FC-4f65-9D91-7224C49458BB}"/>
            </c:extLst>
          </c:dLbls>
          <c:cat>
            <c:strRef>
              <c:f>I_tiesas_apgabala_prok!$AR$6:$AR$10</c:f>
              <c:strCache>
                <c:ptCount val="5"/>
                <c:pt idx="0">
                  <c:v>Priekšraksti par sodu</c:v>
                </c:pt>
                <c:pt idx="1">
                  <c:v>Nosacīti atbrīvojot no kriminālatbildības</c:v>
                </c:pt>
                <c:pt idx="2">
                  <c:v>KPL 379.panta 1., 2.daļa</c:v>
                </c:pt>
                <c:pt idx="3">
                  <c:v>Izlīgumi (KPL 377.panta 9.punkts)</c:v>
                </c:pt>
                <c:pt idx="4">
                  <c:v>Citi</c:v>
                </c:pt>
              </c:strCache>
            </c:strRef>
          </c:cat>
          <c:val>
            <c:numRef>
              <c:f>I_tiesas_apgabala_prok!$AS$6:$AS$10</c:f>
              <c:numCache>
                <c:formatCode>General</c:formatCode>
                <c:ptCount val="5"/>
                <c:pt idx="0">
                  <c:v>1972</c:v>
                </c:pt>
                <c:pt idx="1">
                  <c:v>365</c:v>
                </c:pt>
                <c:pt idx="2">
                  <c:v>242</c:v>
                </c:pt>
                <c:pt idx="3">
                  <c:v>192</c:v>
                </c:pt>
                <c:pt idx="4">
                  <c:v>154</c:v>
                </c:pt>
              </c:numCache>
            </c:numRef>
          </c:val>
          <c:extLst>
            <c:ext xmlns:c16="http://schemas.microsoft.com/office/drawing/2014/chart" uri="{C3380CC4-5D6E-409C-BE32-E72D297353CC}">
              <c16:uniqueId val="{0000000A-447F-469D-80F3-03DF99DD5D7B}"/>
            </c:ext>
          </c:extLst>
        </c:ser>
        <c:dLbls>
          <c:showLegendKey val="0"/>
          <c:showVal val="0"/>
          <c:showCatName val="0"/>
          <c:showSerName val="0"/>
          <c:showPercent val="1"/>
          <c:showBubbleSize val="0"/>
          <c:showLeaderLines val="1"/>
        </c:dLbls>
        <c:firstSliceAng val="0"/>
        <c:holeSize val="52"/>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Kriminālvajāšanai saņemti kriminālprocesi</a:t>
            </a:r>
          </a:p>
        </c:rich>
      </c:tx>
      <c:overlay val="0"/>
    </c:title>
    <c:autoTitleDeleted val="0"/>
    <c:plotArea>
      <c:layout>
        <c:manualLayout>
          <c:layoutTarget val="inner"/>
          <c:xMode val="edge"/>
          <c:yMode val="edge"/>
          <c:x val="0.11701986022239026"/>
          <c:y val="0.16603773584905659"/>
          <c:w val="0.85721901565582992"/>
          <c:h val="0.47037757072818726"/>
        </c:manualLayout>
      </c:layout>
      <c:barChart>
        <c:barDir val="col"/>
        <c:grouping val="clustered"/>
        <c:varyColors val="0"/>
        <c:ser>
          <c:idx val="0"/>
          <c:order val="0"/>
          <c:tx>
            <c:strRef>
              <c:f>II_Rajona_prok!$C$4</c:f>
              <c:strCache>
                <c:ptCount val="1"/>
                <c:pt idx="0">
                  <c:v>2020</c:v>
                </c:pt>
              </c:strCache>
            </c:strRef>
          </c:tx>
          <c:invertIfNegative val="0"/>
          <c:dLbls>
            <c:spPr>
              <a:noFill/>
              <a:ln>
                <a:noFill/>
              </a:ln>
              <a:effectLst/>
            </c:spPr>
            <c:txPr>
              <a:bodyPr wrap="square" lIns="38100" tIns="19050" rIns="38100" bIns="19050" anchor="ctr">
                <a:spAutoFit/>
              </a:bodyPr>
              <a:lstStyle/>
              <a:p>
                <a:pPr>
                  <a:defRPr b="1" i="0"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II_Rajona_prok!$B$5:$B$11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II_Rajona_prok!$C$5:$C$11</c:f>
              <c:numCache>
                <c:formatCode>General</c:formatCode>
                <c:ptCount val="7"/>
                <c:pt idx="0">
                  <c:v>141</c:v>
                </c:pt>
                <c:pt idx="1">
                  <c:v>264</c:v>
                </c:pt>
                <c:pt idx="2">
                  <c:v>143</c:v>
                </c:pt>
                <c:pt idx="3">
                  <c:v>180</c:v>
                </c:pt>
                <c:pt idx="4">
                  <c:v>228</c:v>
                </c:pt>
                <c:pt idx="5">
                  <c:v>101</c:v>
                </c:pt>
                <c:pt idx="6">
                  <c:v>267</c:v>
                </c:pt>
              </c:numCache>
            </c:numRef>
          </c:val>
          <c:extLst>
            <c:ext xmlns:c16="http://schemas.microsoft.com/office/drawing/2014/chart" uri="{C3380CC4-5D6E-409C-BE32-E72D297353CC}">
              <c16:uniqueId val="{00000000-4705-4DF3-A700-CC027D266F26}"/>
            </c:ext>
          </c:extLst>
        </c:ser>
        <c:ser>
          <c:idx val="1"/>
          <c:order val="1"/>
          <c:tx>
            <c:strRef>
              <c:f>II_Rajona_prok!$D$4</c:f>
              <c:strCache>
                <c:ptCount val="1"/>
                <c:pt idx="0">
                  <c:v>2019</c:v>
                </c:pt>
              </c:strCache>
            </c:strRef>
          </c:tx>
          <c:invertIfNegative val="0"/>
          <c:dLbls>
            <c:spPr>
              <a:noFill/>
              <a:ln>
                <a:noFill/>
              </a:ln>
              <a:effectLst/>
            </c:spPr>
            <c:txPr>
              <a:bodyPr wrap="square" lIns="38100" tIns="19050" rIns="38100" bIns="19050" anchor="ctr">
                <a:spAutoFit/>
              </a:bodyPr>
              <a:lstStyle/>
              <a:p>
                <a:pPr>
                  <a:defRPr b="1" i="0"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II_Rajona_prok!$B$5:$B$11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II_Rajona_prok!$D$5:$D$11</c:f>
              <c:numCache>
                <c:formatCode>General</c:formatCode>
                <c:ptCount val="7"/>
                <c:pt idx="0">
                  <c:v>104</c:v>
                </c:pt>
                <c:pt idx="1">
                  <c:v>228</c:v>
                </c:pt>
                <c:pt idx="2">
                  <c:v>104</c:v>
                </c:pt>
                <c:pt idx="3">
                  <c:v>134</c:v>
                </c:pt>
                <c:pt idx="4">
                  <c:v>205</c:v>
                </c:pt>
                <c:pt idx="5">
                  <c:v>138</c:v>
                </c:pt>
                <c:pt idx="6">
                  <c:v>364</c:v>
                </c:pt>
              </c:numCache>
            </c:numRef>
          </c:val>
          <c:extLst>
            <c:ext xmlns:c16="http://schemas.microsoft.com/office/drawing/2014/chart" uri="{C3380CC4-5D6E-409C-BE32-E72D297353CC}">
              <c16:uniqueId val="{00000001-4705-4DF3-A700-CC027D266F26}"/>
            </c:ext>
          </c:extLst>
        </c:ser>
        <c:dLbls>
          <c:showLegendKey val="0"/>
          <c:showVal val="0"/>
          <c:showCatName val="0"/>
          <c:showSerName val="0"/>
          <c:showPercent val="0"/>
          <c:showBubbleSize val="0"/>
        </c:dLbls>
        <c:gapWidth val="150"/>
        <c:axId val="252554240"/>
        <c:axId val="252556800"/>
      </c:barChart>
      <c:catAx>
        <c:axId val="252554240"/>
        <c:scaling>
          <c:orientation val="minMax"/>
        </c:scaling>
        <c:delete val="0"/>
        <c:axPos val="b"/>
        <c:numFmt formatCode="General" sourceLinked="0"/>
        <c:majorTickMark val="none"/>
        <c:minorTickMark val="none"/>
        <c:tickLblPos val="nextTo"/>
        <c:crossAx val="252556800"/>
        <c:crosses val="autoZero"/>
        <c:auto val="1"/>
        <c:lblAlgn val="ctr"/>
        <c:lblOffset val="100"/>
        <c:noMultiLvlLbl val="0"/>
      </c:catAx>
      <c:valAx>
        <c:axId val="25255680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2554240"/>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a:ln>
      <a:solidFill>
        <a:srgbClr val="7030A0">
          <a:alpha val="79000"/>
        </a:srgbClr>
      </a:solidFill>
    </a:ln>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Paātrinātā procesa kārtībā kriminālvajāšanai saņemti kriminālprocesi, no tiem šī procesa kārtībā tiesai nodotas krimināllietas</a:t>
            </a:r>
          </a:p>
        </c:rich>
      </c:tx>
      <c:layout>
        <c:manualLayout>
          <c:xMode val="edge"/>
          <c:yMode val="edge"/>
          <c:x val="0.11760212448204169"/>
          <c:y val="1.5762133274421844E-2"/>
        </c:manualLayout>
      </c:layout>
      <c:overlay val="0"/>
    </c:title>
    <c:autoTitleDeleted val="0"/>
    <c:plotArea>
      <c:layout>
        <c:manualLayout>
          <c:layoutTarget val="inner"/>
          <c:xMode val="edge"/>
          <c:yMode val="edge"/>
          <c:x val="6.5104991932239356E-2"/>
          <c:y val="0.27724490909709582"/>
          <c:w val="0.81997541660651796"/>
          <c:h val="0.52624166504265091"/>
        </c:manualLayout>
      </c:layout>
      <c:barChart>
        <c:barDir val="col"/>
        <c:grouping val="clustered"/>
        <c:varyColors val="0"/>
        <c:ser>
          <c:idx val="0"/>
          <c:order val="0"/>
          <c:tx>
            <c:strRef>
              <c:f>II_Rajona_prok!$G$4</c:f>
              <c:strCache>
                <c:ptCount val="1"/>
                <c:pt idx="0">
                  <c:v>2020</c:v>
                </c:pt>
              </c:strCache>
            </c:strRef>
          </c:tx>
          <c:invertIfNegative val="0"/>
          <c:dLbls>
            <c:dLbl>
              <c:idx val="2"/>
              <c:layout>
                <c:manualLayout>
                  <c:x val="-3.2098097466647754E-17"/>
                  <c:y val="2.3643199911632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CB-4770-97E9-F0DF6AF11977}"/>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II_Rajona_prok!$G$5:$G$11</c:f>
              <c:numCache>
                <c:formatCode>General</c:formatCode>
                <c:ptCount val="7"/>
                <c:pt idx="0">
                  <c:v>62</c:v>
                </c:pt>
                <c:pt idx="1">
                  <c:v>64</c:v>
                </c:pt>
                <c:pt idx="2">
                  <c:v>64</c:v>
                </c:pt>
                <c:pt idx="3">
                  <c:v>31</c:v>
                </c:pt>
                <c:pt idx="4">
                  <c:v>72</c:v>
                </c:pt>
                <c:pt idx="5">
                  <c:v>25</c:v>
                </c:pt>
                <c:pt idx="6">
                  <c:v>70</c:v>
                </c:pt>
              </c:numCache>
            </c:numRef>
          </c:val>
          <c:extLst>
            <c:ext xmlns:c16="http://schemas.microsoft.com/office/drawing/2014/chart" uri="{C3380CC4-5D6E-409C-BE32-E72D297353CC}">
              <c16:uniqueId val="{00000001-59CB-4770-97E9-F0DF6AF11977}"/>
            </c:ext>
          </c:extLst>
        </c:ser>
        <c:ser>
          <c:idx val="1"/>
          <c:order val="1"/>
          <c:tx>
            <c:strRef>
              <c:f>II_Rajona_prok!$G$4</c:f>
              <c:strCache>
                <c:ptCount val="1"/>
                <c:pt idx="0">
                  <c:v>2020</c:v>
                </c:pt>
              </c:strCache>
            </c:strRef>
          </c:tx>
          <c:invertIfNegative val="0"/>
          <c:dLbls>
            <c:dLbl>
              <c:idx val="4"/>
              <c:layout>
                <c:manualLayout>
                  <c:x val="-6.4196194933295507E-17"/>
                  <c:y val="-7.8810666372110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CB-4770-97E9-F0DF6AF11977}"/>
                </c:ext>
              </c:extLst>
            </c:dLbl>
            <c:dLbl>
              <c:idx val="7"/>
              <c:layout>
                <c:manualLayout>
                  <c:x val="-1.2839238986659101E-16"/>
                  <c:y val="-1.5762133274421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CB-4770-97E9-F0DF6AF11977}"/>
                </c:ext>
              </c:extLst>
            </c:dLbl>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II_Rajona_prok!$H$5:$H$11</c:f>
              <c:numCache>
                <c:formatCode>General</c:formatCode>
                <c:ptCount val="7"/>
                <c:pt idx="0">
                  <c:v>60</c:v>
                </c:pt>
                <c:pt idx="1">
                  <c:v>48</c:v>
                </c:pt>
                <c:pt idx="2">
                  <c:v>32</c:v>
                </c:pt>
                <c:pt idx="3">
                  <c:v>14</c:v>
                </c:pt>
                <c:pt idx="4">
                  <c:v>20</c:v>
                </c:pt>
                <c:pt idx="5">
                  <c:v>1</c:v>
                </c:pt>
                <c:pt idx="6">
                  <c:v>30</c:v>
                </c:pt>
              </c:numCache>
            </c:numRef>
          </c:val>
          <c:extLst>
            <c:ext xmlns:c16="http://schemas.microsoft.com/office/drawing/2014/chart" uri="{C3380CC4-5D6E-409C-BE32-E72D297353CC}">
              <c16:uniqueId val="{00000004-59CB-4770-97E9-F0DF6AF11977}"/>
            </c:ext>
          </c:extLst>
        </c:ser>
        <c:ser>
          <c:idx val="2"/>
          <c:order val="2"/>
          <c:tx>
            <c:strRef>
              <c:f>II_Rajona_prok!$I$4</c:f>
              <c:strCache>
                <c:ptCount val="1"/>
                <c:pt idx="0">
                  <c:v>2019</c:v>
                </c:pt>
              </c:strCache>
            </c:strRef>
          </c:tx>
          <c:invertIfNegative val="0"/>
          <c:dLbls>
            <c:dLbl>
              <c:idx val="3"/>
              <c:layout>
                <c:manualLayout>
                  <c:x val="1.7508255418149574E-3"/>
                  <c:y val="1.18215999558163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CB-4770-97E9-F0DF6AF11977}"/>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II_Rajona_prok!$I$5:$I$11</c:f>
              <c:numCache>
                <c:formatCode>General</c:formatCode>
                <c:ptCount val="7"/>
                <c:pt idx="0">
                  <c:v>45</c:v>
                </c:pt>
                <c:pt idx="1">
                  <c:v>77</c:v>
                </c:pt>
                <c:pt idx="2">
                  <c:v>53</c:v>
                </c:pt>
                <c:pt idx="3">
                  <c:v>15</c:v>
                </c:pt>
                <c:pt idx="4">
                  <c:v>71</c:v>
                </c:pt>
                <c:pt idx="5">
                  <c:v>33</c:v>
                </c:pt>
                <c:pt idx="6">
                  <c:v>139</c:v>
                </c:pt>
              </c:numCache>
            </c:numRef>
          </c:val>
          <c:extLst>
            <c:ext xmlns:c16="http://schemas.microsoft.com/office/drawing/2014/chart" uri="{C3380CC4-5D6E-409C-BE32-E72D297353CC}">
              <c16:uniqueId val="{00000006-59CB-4770-97E9-F0DF6AF11977}"/>
            </c:ext>
          </c:extLst>
        </c:ser>
        <c:ser>
          <c:idx val="3"/>
          <c:order val="3"/>
          <c:tx>
            <c:strRef>
              <c:f>II_Rajona_prok!$I$4</c:f>
              <c:strCache>
                <c:ptCount val="1"/>
                <c:pt idx="0">
                  <c:v>2019</c:v>
                </c:pt>
              </c:strCache>
            </c:strRef>
          </c:tx>
          <c:invertIfNegative val="0"/>
          <c:dLbls>
            <c:dLbl>
              <c:idx val="0"/>
              <c:layout>
                <c:manualLayout>
                  <c:x val="-1.6049048733323877E-17"/>
                  <c:y val="4.85088959866739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9CB-4770-97E9-F0DF6AF11977}"/>
                </c:ext>
              </c:extLst>
            </c:dLbl>
            <c:dLbl>
              <c:idx val="1"/>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9CB-4770-97E9-F0DF6AF11977}"/>
                </c:ext>
              </c:extLst>
            </c:dLbl>
            <c:dLbl>
              <c:idx val="2"/>
              <c:layout>
                <c:manualLayout>
                  <c:x val="0"/>
                  <c:y val="-2.33329216975707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9CB-4770-97E9-F0DF6AF11977}"/>
                </c:ext>
              </c:extLst>
            </c:dLbl>
            <c:dLbl>
              <c:idx val="3"/>
              <c:layout>
                <c:manualLayout>
                  <c:x val="1.7508255418150216E-3"/>
                  <c:y val="1.50360822535132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9CB-4770-97E9-F0DF6AF11977}"/>
                </c:ext>
              </c:extLst>
            </c:dLbl>
            <c:dLbl>
              <c:idx val="4"/>
              <c:layout>
                <c:manualLayout>
                  <c:x val="1.7508255418150216E-3"/>
                  <c:y val="4.551781400310402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9CB-4770-97E9-F0DF6AF11977}"/>
                </c:ext>
              </c:extLst>
            </c:dLbl>
            <c:dLbl>
              <c:idx val="5"/>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9CB-4770-97E9-F0DF6AF11977}"/>
                </c:ext>
              </c:extLst>
            </c:dLbl>
            <c:dLbl>
              <c:idx val="6"/>
              <c:layout>
                <c:manualLayout>
                  <c:x val="0"/>
                  <c:y val="1.61721041367549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9CB-4770-97E9-F0DF6AF11977}"/>
                </c:ext>
              </c:extLst>
            </c:dLbl>
            <c:dLbl>
              <c:idx val="7"/>
              <c:layout>
                <c:manualLayout>
                  <c:x val="1.7508255418150216E-3"/>
                  <c:y val="-3.48535517857442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9CB-4770-97E9-F0DF6AF11977}"/>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II_Rajona_prok!$J$5:$J$11</c:f>
              <c:numCache>
                <c:formatCode>General</c:formatCode>
                <c:ptCount val="7"/>
                <c:pt idx="0">
                  <c:v>39</c:v>
                </c:pt>
                <c:pt idx="1">
                  <c:v>55</c:v>
                </c:pt>
                <c:pt idx="2">
                  <c:v>37</c:v>
                </c:pt>
                <c:pt idx="3">
                  <c:v>4</c:v>
                </c:pt>
                <c:pt idx="4">
                  <c:v>12</c:v>
                </c:pt>
                <c:pt idx="5">
                  <c:v>0</c:v>
                </c:pt>
                <c:pt idx="6">
                  <c:v>59</c:v>
                </c:pt>
              </c:numCache>
            </c:numRef>
          </c:val>
          <c:extLst>
            <c:ext xmlns:c16="http://schemas.microsoft.com/office/drawing/2014/chart" uri="{C3380CC4-5D6E-409C-BE32-E72D297353CC}">
              <c16:uniqueId val="{0000000F-59CB-4770-97E9-F0DF6AF11977}"/>
            </c:ext>
          </c:extLst>
        </c:ser>
        <c:dLbls>
          <c:showLegendKey val="0"/>
          <c:showVal val="0"/>
          <c:showCatName val="0"/>
          <c:showSerName val="0"/>
          <c:showPercent val="0"/>
          <c:showBubbleSize val="0"/>
        </c:dLbls>
        <c:gapWidth val="150"/>
        <c:axId val="175464832"/>
        <c:axId val="175466368"/>
      </c:barChart>
      <c:catAx>
        <c:axId val="175464832"/>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75466368"/>
        <c:crosses val="autoZero"/>
        <c:auto val="1"/>
        <c:lblAlgn val="ctr"/>
        <c:lblOffset val="100"/>
        <c:noMultiLvlLbl val="0"/>
      </c:catAx>
      <c:valAx>
        <c:axId val="175466368"/>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64832"/>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baseline="0">
          <a:solidFill>
            <a:schemeClr val="tx2"/>
          </a:solidFill>
          <a:latin typeface="Times New Roman" panose="02020603050405020304" pitchFamily="18" charset="0"/>
        </a:defRPr>
      </a:pPr>
      <a:endParaRPr lang="lv-LV"/>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Tiesai nodotas krimināllietas, no tām vienošanās procesa kārtībā</a:t>
            </a:r>
          </a:p>
        </c:rich>
      </c:tx>
      <c:overlay val="0"/>
    </c:title>
    <c:autoTitleDeleted val="0"/>
    <c:plotArea>
      <c:layout>
        <c:manualLayout>
          <c:layoutTarget val="inner"/>
          <c:xMode val="edge"/>
          <c:yMode val="edge"/>
          <c:x val="6.7774486717197727E-2"/>
          <c:y val="0.18908382066276802"/>
          <c:w val="0.80613326955625875"/>
          <c:h val="0.66464367392672408"/>
        </c:manualLayout>
      </c:layout>
      <c:barChart>
        <c:barDir val="col"/>
        <c:grouping val="clustered"/>
        <c:varyColors val="0"/>
        <c:ser>
          <c:idx val="0"/>
          <c:order val="0"/>
          <c:tx>
            <c:strRef>
              <c:f>II_Rajona_prok!$M$4</c:f>
              <c:strCache>
                <c:ptCount val="1"/>
                <c:pt idx="0">
                  <c:v>2020</c:v>
                </c:pt>
              </c:strCache>
            </c:strRef>
          </c:tx>
          <c:invertIfNegative val="0"/>
          <c:dLbls>
            <c:dLbl>
              <c:idx val="0"/>
              <c:layout>
                <c:manualLayout>
                  <c:x val="-1.0708599034783172E-17"/>
                  <c:y val="1.46198830409355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53A-4F8C-93FD-82E7A42EB225}"/>
                </c:ext>
              </c:extLst>
            </c:dLbl>
            <c:dLbl>
              <c:idx val="1"/>
              <c:layout>
                <c:manualLayout>
                  <c:x val="2.3364485981307984E-3"/>
                  <c:y val="2.43664717348927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3A-4F8C-93FD-82E7A42EB225}"/>
                </c:ext>
              </c:extLst>
            </c:dLbl>
            <c:dLbl>
              <c:idx val="2"/>
              <c:layout>
                <c:manualLayout>
                  <c:x val="-2.3364485981308839E-3"/>
                  <c:y val="2.43664717348927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53A-4F8C-93FD-82E7A42EB225}"/>
                </c:ext>
              </c:extLst>
            </c:dLbl>
            <c:dLbl>
              <c:idx val="3"/>
              <c:layout>
                <c:manualLayout>
                  <c:x val="-2.3364485981309268E-3"/>
                  <c:y val="9.7465886939570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3A-4F8C-93FD-82E7A42EB225}"/>
                </c:ext>
              </c:extLst>
            </c:dLbl>
            <c:dLbl>
              <c:idx val="4"/>
              <c:layout>
                <c:manualLayout>
                  <c:x val="0"/>
                  <c:y val="4.87329434697855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3A-4F8C-93FD-82E7A42EB225}"/>
                </c:ext>
              </c:extLst>
            </c:dLbl>
            <c:dLbl>
              <c:idx val="5"/>
              <c:layout>
                <c:manualLayout>
                  <c:x val="0"/>
                  <c:y val="9.7465886939571145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14602803738317757"/>
                      <c:h val="7.7972709551656916E-2"/>
                    </c:manualLayout>
                  </c15:layout>
                </c:ext>
                <c:ext xmlns:c16="http://schemas.microsoft.com/office/drawing/2014/chart" uri="{C3380CC4-5D6E-409C-BE32-E72D297353CC}">
                  <c16:uniqueId val="{00000004-553A-4F8C-93FD-82E7A42EB225}"/>
                </c:ext>
              </c:extLst>
            </c:dLbl>
            <c:dLbl>
              <c:idx val="6"/>
              <c:layout>
                <c:manualLayout>
                  <c:x val="-2.3364485981309268E-3"/>
                  <c:y val="2.92397660818713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3A-4F8C-93FD-82E7A42EB225}"/>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II_Rajona_prok!$M$5:$M$11</c:f>
              <c:numCache>
                <c:formatCode>General</c:formatCode>
                <c:ptCount val="7"/>
                <c:pt idx="0">
                  <c:v>130</c:v>
                </c:pt>
                <c:pt idx="1">
                  <c:v>170</c:v>
                </c:pt>
                <c:pt idx="2">
                  <c:v>130</c:v>
                </c:pt>
                <c:pt idx="3">
                  <c:v>84</c:v>
                </c:pt>
                <c:pt idx="4">
                  <c:v>155</c:v>
                </c:pt>
                <c:pt idx="5">
                  <c:v>68</c:v>
                </c:pt>
                <c:pt idx="6">
                  <c:v>196</c:v>
                </c:pt>
              </c:numCache>
            </c:numRef>
          </c:val>
          <c:extLst>
            <c:ext xmlns:c16="http://schemas.microsoft.com/office/drawing/2014/chart" uri="{C3380CC4-5D6E-409C-BE32-E72D297353CC}">
              <c16:uniqueId val="{00000000-33B3-4649-BFA1-8B7B89FA93EB}"/>
            </c:ext>
          </c:extLst>
        </c:ser>
        <c:ser>
          <c:idx val="1"/>
          <c:order val="1"/>
          <c:tx>
            <c:strRef>
              <c:f>II_Rajona_prok!$M$4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II_Rajona_prok!$N$5:$N$11</c:f>
              <c:numCache>
                <c:formatCode>General</c:formatCode>
                <c:ptCount val="7"/>
                <c:pt idx="0">
                  <c:v>12</c:v>
                </c:pt>
                <c:pt idx="1">
                  <c:v>16</c:v>
                </c:pt>
                <c:pt idx="2">
                  <c:v>64</c:v>
                </c:pt>
                <c:pt idx="3">
                  <c:v>5</c:v>
                </c:pt>
                <c:pt idx="4">
                  <c:v>2</c:v>
                </c:pt>
                <c:pt idx="5">
                  <c:v>2</c:v>
                </c:pt>
                <c:pt idx="6">
                  <c:v>41</c:v>
                </c:pt>
              </c:numCache>
            </c:numRef>
          </c:val>
          <c:extLst>
            <c:ext xmlns:c16="http://schemas.microsoft.com/office/drawing/2014/chart" uri="{C3380CC4-5D6E-409C-BE32-E72D297353CC}">
              <c16:uniqueId val="{00000001-33B3-4649-BFA1-8B7B89FA93EB}"/>
            </c:ext>
          </c:extLst>
        </c:ser>
        <c:ser>
          <c:idx val="2"/>
          <c:order val="2"/>
          <c:tx>
            <c:strRef>
              <c:f>II_Rajona_prok!$O$4</c:f>
              <c:strCache>
                <c:ptCount val="1"/>
                <c:pt idx="0">
                  <c:v>2019</c:v>
                </c:pt>
              </c:strCache>
            </c:strRef>
          </c:tx>
          <c:invertIfNegative val="0"/>
          <c:dLbls>
            <c:dLbl>
              <c:idx val="0"/>
              <c:layout>
                <c:manualLayout>
                  <c:x val="0"/>
                  <c:y val="1.94931773879142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53A-4F8C-93FD-82E7A42EB225}"/>
                </c:ext>
              </c:extLst>
            </c:dLbl>
            <c:dLbl>
              <c:idx val="1"/>
              <c:layout>
                <c:manualLayout>
                  <c:x val="2.3364485981308409E-3"/>
                  <c:y val="2.43664717348927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3A-4F8C-93FD-82E7A42EB225}"/>
                </c:ext>
              </c:extLst>
            </c:dLbl>
            <c:dLbl>
              <c:idx val="2"/>
              <c:layout>
                <c:manualLayout>
                  <c:x val="4.6728971962616819E-3"/>
                  <c:y val="9.74658869395711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53A-4F8C-93FD-82E7A42EB225}"/>
                </c:ext>
              </c:extLst>
            </c:dLbl>
            <c:dLbl>
              <c:idx val="3"/>
              <c:layout>
                <c:manualLayout>
                  <c:x val="0"/>
                  <c:y val="9.74658869395711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53A-4F8C-93FD-82E7A42EB225}"/>
                </c:ext>
              </c:extLst>
            </c:dLbl>
            <c:dLbl>
              <c:idx val="4"/>
              <c:layout>
                <c:manualLayout>
                  <c:x val="-8.5668792278265377E-17"/>
                  <c:y val="1.94931773879142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53A-4F8C-93FD-82E7A42EB225}"/>
                </c:ext>
              </c:extLst>
            </c:dLbl>
            <c:dLbl>
              <c:idx val="5"/>
              <c:layout>
                <c:manualLayout>
                  <c:x val="0"/>
                  <c:y val="2.43664717348926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3A-4F8C-93FD-82E7A42EB225}"/>
                </c:ext>
              </c:extLst>
            </c:dLbl>
            <c:dLbl>
              <c:idx val="6"/>
              <c:layout>
                <c:manualLayout>
                  <c:x val="0"/>
                  <c:y val="2.92397660818713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53A-4F8C-93FD-82E7A42EB225}"/>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II_Rajona_prok!$O$5:$O$11</c:f>
              <c:numCache>
                <c:formatCode>General</c:formatCode>
                <c:ptCount val="7"/>
                <c:pt idx="0">
                  <c:v>96</c:v>
                </c:pt>
                <c:pt idx="1">
                  <c:v>177</c:v>
                </c:pt>
                <c:pt idx="2">
                  <c:v>92</c:v>
                </c:pt>
                <c:pt idx="3">
                  <c:v>66</c:v>
                </c:pt>
                <c:pt idx="4">
                  <c:v>117</c:v>
                </c:pt>
                <c:pt idx="5">
                  <c:v>109</c:v>
                </c:pt>
                <c:pt idx="6">
                  <c:v>262</c:v>
                </c:pt>
              </c:numCache>
            </c:numRef>
          </c:val>
          <c:extLst>
            <c:ext xmlns:c16="http://schemas.microsoft.com/office/drawing/2014/chart" uri="{C3380CC4-5D6E-409C-BE32-E72D297353CC}">
              <c16:uniqueId val="{00000002-33B3-4649-BFA1-8B7B89FA93EB}"/>
            </c:ext>
          </c:extLst>
        </c:ser>
        <c:ser>
          <c:idx val="3"/>
          <c:order val="3"/>
          <c:tx>
            <c:strRef>
              <c:f>II_Rajona_prok!$O$4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II_Rajona_prok!$P$5:$P$11</c:f>
              <c:numCache>
                <c:formatCode>General</c:formatCode>
                <c:ptCount val="7"/>
                <c:pt idx="0">
                  <c:v>14</c:v>
                </c:pt>
                <c:pt idx="1">
                  <c:v>11</c:v>
                </c:pt>
                <c:pt idx="2">
                  <c:v>17</c:v>
                </c:pt>
                <c:pt idx="3">
                  <c:v>7</c:v>
                </c:pt>
                <c:pt idx="4">
                  <c:v>10</c:v>
                </c:pt>
                <c:pt idx="5">
                  <c:v>7</c:v>
                </c:pt>
                <c:pt idx="6">
                  <c:v>48</c:v>
                </c:pt>
              </c:numCache>
            </c:numRef>
          </c:val>
          <c:extLst>
            <c:ext xmlns:c16="http://schemas.microsoft.com/office/drawing/2014/chart" uri="{C3380CC4-5D6E-409C-BE32-E72D297353CC}">
              <c16:uniqueId val="{00000003-33B3-4649-BFA1-8B7B89FA93EB}"/>
            </c:ext>
          </c:extLst>
        </c:ser>
        <c:dLbls>
          <c:showLegendKey val="0"/>
          <c:showVal val="0"/>
          <c:showCatName val="0"/>
          <c:showSerName val="0"/>
          <c:showPercent val="0"/>
          <c:showBubbleSize val="0"/>
        </c:dLbls>
        <c:gapWidth val="150"/>
        <c:axId val="175476096"/>
        <c:axId val="240403584"/>
      </c:barChart>
      <c:catAx>
        <c:axId val="17547609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40403584"/>
        <c:crosses val="autoZero"/>
        <c:auto val="1"/>
        <c:lblAlgn val="ctr"/>
        <c:lblOffset val="100"/>
        <c:noMultiLvlLbl val="0"/>
      </c:catAx>
      <c:valAx>
        <c:axId val="240403584"/>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7609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a:solidFill>
                  <a:schemeClr val="tx1"/>
                </a:solidFill>
              </a:rPr>
              <a:t>Prokuratūrā pabeigti kriminālprocesi ar prokurora priekšrakstu par sodu</a:t>
            </a:r>
          </a:p>
        </c:rich>
      </c:tx>
      <c:overlay val="0"/>
    </c:title>
    <c:autoTitleDeleted val="0"/>
    <c:plotArea>
      <c:layout/>
      <c:barChart>
        <c:barDir val="col"/>
        <c:grouping val="clustered"/>
        <c:varyColors val="0"/>
        <c:ser>
          <c:idx val="0"/>
          <c:order val="0"/>
          <c:tx>
            <c:strRef>
              <c:f>II_Rajona_prok!$S$4</c:f>
              <c:strCache>
                <c:ptCount val="1"/>
                <c:pt idx="0">
                  <c:v>2020</c:v>
                </c:pt>
              </c:strCache>
            </c:strRef>
          </c:tx>
          <c:invertIfNegative val="0"/>
          <c:dLbls>
            <c:dLbl>
              <c:idx val="0"/>
              <c:layout>
                <c:manualLayout>
                  <c:x val="0"/>
                  <c:y val="1.36984075469477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17-4C71-89FB-D5E86F7CBA13}"/>
                </c:ext>
              </c:extLst>
            </c:dLbl>
            <c:dLbl>
              <c:idx val="2"/>
              <c:layout>
                <c:manualLayout>
                  <c:x val="-8.952910491671183E-17"/>
                  <c:y val="1.77589190941097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17-4C71-89FB-D5E86F7CBA13}"/>
                </c:ext>
              </c:extLst>
            </c:dLbl>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II_Rajona_prok!$R$5:$R$11</c:f>
              <c:strCache>
                <c:ptCount val="7"/>
                <c:pt idx="0">
                  <c:v>Alūksnes raj.</c:v>
                </c:pt>
                <c:pt idx="1">
                  <c:v>Cēsu raj.</c:v>
                </c:pt>
                <c:pt idx="2">
                  <c:v>Gulbenes raj.</c:v>
                </c:pt>
                <c:pt idx="3">
                  <c:v>Limbažu raj.</c:v>
                </c:pt>
                <c:pt idx="4">
                  <c:v>Madonas raj. </c:v>
                </c:pt>
                <c:pt idx="5">
                  <c:v>Valkas raj.</c:v>
                </c:pt>
                <c:pt idx="6">
                  <c:v>Valmieras raj.</c:v>
                </c:pt>
              </c:strCache>
            </c:strRef>
          </c:cat>
          <c:val>
            <c:numRef>
              <c:f>II_Rajona_prok!$S$5:$S$11</c:f>
              <c:numCache>
                <c:formatCode>General</c:formatCode>
                <c:ptCount val="7"/>
                <c:pt idx="0">
                  <c:v>6</c:v>
                </c:pt>
                <c:pt idx="1">
                  <c:v>53</c:v>
                </c:pt>
                <c:pt idx="2">
                  <c:v>9</c:v>
                </c:pt>
                <c:pt idx="3">
                  <c:v>51</c:v>
                </c:pt>
                <c:pt idx="4">
                  <c:v>35</c:v>
                </c:pt>
                <c:pt idx="5">
                  <c:v>22</c:v>
                </c:pt>
                <c:pt idx="6">
                  <c:v>36</c:v>
                </c:pt>
              </c:numCache>
            </c:numRef>
          </c:val>
          <c:extLst>
            <c:ext xmlns:c16="http://schemas.microsoft.com/office/drawing/2014/chart" uri="{C3380CC4-5D6E-409C-BE32-E72D297353CC}">
              <c16:uniqueId val="{00000002-1A17-4C71-89FB-D5E86F7CBA13}"/>
            </c:ext>
          </c:extLst>
        </c:ser>
        <c:ser>
          <c:idx val="1"/>
          <c:order val="1"/>
          <c:tx>
            <c:strRef>
              <c:f>II_Rajona_prok!$T$4</c:f>
              <c:strCache>
                <c:ptCount val="1"/>
                <c:pt idx="0">
                  <c:v>2019</c:v>
                </c:pt>
              </c:strCache>
            </c:strRef>
          </c:tx>
          <c:invertIfNegative val="0"/>
          <c:dLbls>
            <c:dLbl>
              <c:idx val="0"/>
              <c:layout>
                <c:manualLayout>
                  <c:x val="2.2382276229177957E-17"/>
                  <c:y val="1.36984075469477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17-4C71-89FB-D5E86F7CBA13}"/>
                </c:ext>
              </c:extLst>
            </c:dLbl>
            <c:dLbl>
              <c:idx val="2"/>
              <c:layout>
                <c:manualLayout>
                  <c:x val="2.4417310681245918E-3"/>
                  <c:y val="3.00581497224702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17-4C71-89FB-D5E86F7CBA13}"/>
                </c:ext>
              </c:extLst>
            </c:dLbl>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II_Rajona_prok!$R$5:$R$11</c:f>
              <c:strCache>
                <c:ptCount val="7"/>
                <c:pt idx="0">
                  <c:v>Alūksnes raj.</c:v>
                </c:pt>
                <c:pt idx="1">
                  <c:v>Cēsu raj.</c:v>
                </c:pt>
                <c:pt idx="2">
                  <c:v>Gulbenes raj.</c:v>
                </c:pt>
                <c:pt idx="3">
                  <c:v>Limbažu raj.</c:v>
                </c:pt>
                <c:pt idx="4">
                  <c:v>Madonas raj. </c:v>
                </c:pt>
                <c:pt idx="5">
                  <c:v>Valkas raj.</c:v>
                </c:pt>
                <c:pt idx="6">
                  <c:v>Valmieras raj.</c:v>
                </c:pt>
              </c:strCache>
            </c:strRef>
          </c:cat>
          <c:val>
            <c:numRef>
              <c:f>II_Rajona_prok!$T$5:$T$11</c:f>
              <c:numCache>
                <c:formatCode>General</c:formatCode>
                <c:ptCount val="7"/>
                <c:pt idx="0">
                  <c:v>6</c:v>
                </c:pt>
                <c:pt idx="1">
                  <c:v>23</c:v>
                </c:pt>
                <c:pt idx="2">
                  <c:v>3</c:v>
                </c:pt>
                <c:pt idx="3">
                  <c:v>35</c:v>
                </c:pt>
                <c:pt idx="4">
                  <c:v>43</c:v>
                </c:pt>
                <c:pt idx="5">
                  <c:v>17</c:v>
                </c:pt>
                <c:pt idx="6">
                  <c:v>55</c:v>
                </c:pt>
              </c:numCache>
            </c:numRef>
          </c:val>
          <c:extLst>
            <c:ext xmlns:c16="http://schemas.microsoft.com/office/drawing/2014/chart" uri="{C3380CC4-5D6E-409C-BE32-E72D297353CC}">
              <c16:uniqueId val="{00000005-1A17-4C71-89FB-D5E86F7CBA13}"/>
            </c:ext>
          </c:extLst>
        </c:ser>
        <c:dLbls>
          <c:showLegendKey val="0"/>
          <c:showVal val="0"/>
          <c:showCatName val="0"/>
          <c:showSerName val="0"/>
          <c:showPercent val="0"/>
          <c:showBubbleSize val="0"/>
        </c:dLbls>
        <c:gapWidth val="150"/>
        <c:axId val="237797376"/>
        <c:axId val="239077632"/>
      </c:barChart>
      <c:catAx>
        <c:axId val="237797376"/>
        <c:scaling>
          <c:orientation val="minMax"/>
        </c:scaling>
        <c:delete val="0"/>
        <c:axPos val="b"/>
        <c:numFmt formatCode="General" sourceLinked="0"/>
        <c:majorTickMark val="none"/>
        <c:minorTickMark val="none"/>
        <c:tickLblPos val="nextTo"/>
        <c:crossAx val="239077632"/>
        <c:crosses val="autoZero"/>
        <c:auto val="1"/>
        <c:lblAlgn val="ctr"/>
        <c:lblOffset val="100"/>
        <c:noMultiLvlLbl val="0"/>
      </c:catAx>
      <c:valAx>
        <c:axId val="239077632"/>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37797376"/>
        <c:crosses val="autoZero"/>
        <c:crossBetween val="between"/>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Pēc Krimināllikuma180. panta pabeigto kriminālprocesu procentuālā attiecība pret kopā pabeigto kriminālprocesu skaitu</a:t>
            </a:r>
          </a:p>
        </c:rich>
      </c:tx>
      <c:overlay val="0"/>
    </c:title>
    <c:autoTitleDeleted val="0"/>
    <c:plotArea>
      <c:layout>
        <c:manualLayout>
          <c:layoutTarget val="inner"/>
          <c:xMode val="edge"/>
          <c:yMode val="edge"/>
          <c:x val="0.11286289918109586"/>
          <c:y val="0.23053714071970202"/>
          <c:w val="0.86229110331879921"/>
          <c:h val="0.3768222436344667"/>
        </c:manualLayout>
      </c:layout>
      <c:barChart>
        <c:barDir val="col"/>
        <c:grouping val="clustered"/>
        <c:varyColors val="0"/>
        <c:ser>
          <c:idx val="0"/>
          <c:order val="0"/>
          <c:tx>
            <c:strRef>
              <c:f>II_Rajona_prok!$W$4</c:f>
              <c:strCache>
                <c:ptCount val="1"/>
                <c:pt idx="0">
                  <c:v>2020</c:v>
                </c:pt>
              </c:strCache>
            </c:strRef>
          </c:tx>
          <c:invertIfNegative val="0"/>
          <c:dLbls>
            <c:dLbl>
              <c:idx val="2"/>
              <c:layout>
                <c:manualLayout>
                  <c:x val="0"/>
                  <c:y val="0.2162117685240617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CD-4485-8505-B6A29088E3E4}"/>
                </c:ext>
              </c:extLst>
            </c:dLbl>
            <c:dLbl>
              <c:idx val="3"/>
              <c:layout>
                <c:manualLayout>
                  <c:x val="-8.2819034934457661E-17"/>
                  <c:y val="6.59679470312819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CD-4485-8505-B6A29088E3E4}"/>
                </c:ext>
              </c:extLst>
            </c:dLbl>
            <c:dLbl>
              <c:idx val="4"/>
              <c:layout>
                <c:manualLayout>
                  <c:x val="0"/>
                  <c:y val="0.2246173987423412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CD-4485-8505-B6A29088E3E4}"/>
                </c:ext>
              </c:extLst>
            </c:dLbl>
            <c:spPr>
              <a:noFill/>
              <a:ln>
                <a:noFill/>
              </a:ln>
              <a:effectLst/>
            </c:spPr>
            <c:txPr>
              <a:bodyPr rot="-5400000" vert="horz"/>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II_Rajona_prok!$V$5:$V$11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II_Rajona_prok!$W$5:$W$11</c:f>
              <c:numCache>
                <c:formatCode>0.00%</c:formatCode>
                <c:ptCount val="7"/>
                <c:pt idx="0">
                  <c:v>0.248</c:v>
                </c:pt>
                <c:pt idx="1">
                  <c:v>0.22750000000000001</c:v>
                </c:pt>
                <c:pt idx="2">
                  <c:v>0.18459999999999999</c:v>
                </c:pt>
                <c:pt idx="3">
                  <c:v>6.0199999999999997E-2</c:v>
                </c:pt>
                <c:pt idx="4">
                  <c:v>0.187</c:v>
                </c:pt>
                <c:pt idx="5">
                  <c:v>0.23069999999999999</c:v>
                </c:pt>
                <c:pt idx="6">
                  <c:v>0.24349999999999999</c:v>
                </c:pt>
              </c:numCache>
            </c:numRef>
          </c:val>
          <c:extLst>
            <c:ext xmlns:c16="http://schemas.microsoft.com/office/drawing/2014/chart" uri="{C3380CC4-5D6E-409C-BE32-E72D297353CC}">
              <c16:uniqueId val="{00000003-92CD-4485-8505-B6A29088E3E4}"/>
            </c:ext>
          </c:extLst>
        </c:ser>
        <c:ser>
          <c:idx val="1"/>
          <c:order val="1"/>
          <c:tx>
            <c:strRef>
              <c:f>II_Rajona_prok!$X$4</c:f>
              <c:strCache>
                <c:ptCount val="1"/>
                <c:pt idx="0">
                  <c:v>2019</c:v>
                </c:pt>
              </c:strCache>
            </c:strRef>
          </c:tx>
          <c:invertIfNegative val="0"/>
          <c:dLbls>
            <c:dLbl>
              <c:idx val="3"/>
              <c:layout>
                <c:manualLayout>
                  <c:x val="0"/>
                  <c:y val="6.23511927954622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CD-4485-8505-B6A29088E3E4}"/>
                </c:ext>
              </c:extLst>
            </c:dLbl>
            <c:dLbl>
              <c:idx val="4"/>
              <c:layout>
                <c:manualLayout>
                  <c:x val="0"/>
                  <c:y val="0.2426126992538209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CD-4485-8505-B6A29088E3E4}"/>
                </c:ext>
              </c:extLst>
            </c:dLbl>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II_Rajona_prok!$V$5:$V$11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II_Rajona_prok!$X$5:$X$11</c:f>
              <c:numCache>
                <c:formatCode>0.00%</c:formatCode>
                <c:ptCount val="7"/>
                <c:pt idx="0">
                  <c:v>0.32629999999999998</c:v>
                </c:pt>
                <c:pt idx="1">
                  <c:v>0.28000000000000003</c:v>
                </c:pt>
                <c:pt idx="2">
                  <c:v>0.26369999999999999</c:v>
                </c:pt>
                <c:pt idx="3">
                  <c:v>8.6900000000000005E-2</c:v>
                </c:pt>
                <c:pt idx="4">
                  <c:v>0.19289999999999999</c:v>
                </c:pt>
                <c:pt idx="5">
                  <c:v>0.22220000000000001</c:v>
                </c:pt>
                <c:pt idx="6">
                  <c:v>0.31409999999999999</c:v>
                </c:pt>
              </c:numCache>
            </c:numRef>
          </c:val>
          <c:extLst>
            <c:ext xmlns:c16="http://schemas.microsoft.com/office/drawing/2014/chart" uri="{C3380CC4-5D6E-409C-BE32-E72D297353CC}">
              <c16:uniqueId val="{00000006-92CD-4485-8505-B6A29088E3E4}"/>
            </c:ext>
          </c:extLst>
        </c:ser>
        <c:dLbls>
          <c:showLegendKey val="0"/>
          <c:showVal val="0"/>
          <c:showCatName val="0"/>
          <c:showSerName val="0"/>
          <c:showPercent val="0"/>
          <c:showBubbleSize val="0"/>
        </c:dLbls>
        <c:gapWidth val="150"/>
        <c:axId val="146108416"/>
        <c:axId val="146122240"/>
      </c:barChart>
      <c:catAx>
        <c:axId val="146108416"/>
        <c:scaling>
          <c:orientation val="minMax"/>
        </c:scaling>
        <c:delete val="0"/>
        <c:axPos val="b"/>
        <c:numFmt formatCode="General" sourceLinked="0"/>
        <c:majorTickMark val="none"/>
        <c:minorTickMark val="none"/>
        <c:tickLblPos val="nextTo"/>
        <c:crossAx val="146122240"/>
        <c:crosses val="autoZero"/>
        <c:auto val="1"/>
        <c:lblAlgn val="ctr"/>
        <c:lblOffset val="100"/>
        <c:noMultiLvlLbl val="0"/>
      </c:catAx>
      <c:valAx>
        <c:axId val="146122240"/>
        <c:scaling>
          <c:orientation val="minMax"/>
        </c:scaling>
        <c:delete val="0"/>
        <c:axPos val="l"/>
        <c:majorGridlines/>
        <c:numFmt formatCode="0%" sourceLinked="0"/>
        <c:majorTickMark val="none"/>
        <c:minorTickMark val="none"/>
        <c:tickLblPos val="nextTo"/>
        <c:txPr>
          <a:bodyPr/>
          <a:lstStyle/>
          <a:p>
            <a:pPr>
              <a:defRPr>
                <a:solidFill>
                  <a:schemeClr val="tx1"/>
                </a:solidFill>
              </a:defRPr>
            </a:pPr>
            <a:endParaRPr lang="lv-LV"/>
          </a:p>
        </c:txPr>
        <c:crossAx val="146108416"/>
        <c:crosses val="autoZero"/>
        <c:crossBetween val="between"/>
        <c:minorUnit val="2.0000000000000004E-2"/>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100">
                <a:solidFill>
                  <a:schemeClr val="tx1"/>
                </a:solidFill>
              </a:rPr>
              <a:t>Prokuroru</a:t>
            </a:r>
            <a:r>
              <a:rPr lang="lv-LV" sz="1100" baseline="0">
                <a:solidFill>
                  <a:schemeClr val="tx1"/>
                </a:solidFill>
              </a:rPr>
              <a:t> u</a:t>
            </a:r>
            <a:r>
              <a:rPr lang="lv-LV" sz="1100">
                <a:solidFill>
                  <a:schemeClr val="tx1"/>
                </a:solidFill>
              </a:rPr>
              <a:t>zraudzībā pieņemti kriminālprocesi</a:t>
            </a:r>
          </a:p>
        </c:rich>
      </c:tx>
      <c:overlay val="0"/>
    </c:title>
    <c:autoTitleDeleted val="0"/>
    <c:plotArea>
      <c:layout>
        <c:manualLayout>
          <c:layoutTarget val="inner"/>
          <c:xMode val="edge"/>
          <c:yMode val="edge"/>
          <c:x val="0.11743238616912016"/>
          <c:y val="0.1506541655045163"/>
          <c:w val="0.85671567493546263"/>
          <c:h val="0.52539509536784745"/>
        </c:manualLayout>
      </c:layout>
      <c:barChart>
        <c:barDir val="col"/>
        <c:grouping val="clustered"/>
        <c:varyColors val="0"/>
        <c:ser>
          <c:idx val="0"/>
          <c:order val="0"/>
          <c:tx>
            <c:strRef>
              <c:f>II_Rajona_prok!$AA$4</c:f>
              <c:strCache>
                <c:ptCount val="1"/>
                <c:pt idx="0">
                  <c:v>2020</c:v>
                </c:pt>
              </c:strCache>
            </c:strRef>
          </c:tx>
          <c:invertIfNegative val="0"/>
          <c:dLbls>
            <c:dLbl>
              <c:idx val="0"/>
              <c:layout>
                <c:manualLayout>
                  <c:x val="-2.1543033545885769E-17"/>
                  <c:y val="0.1513462225672493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CB-4CBE-80EA-BEBAD8F10E53}"/>
                </c:ext>
              </c:extLst>
            </c:dLbl>
            <c:dLbl>
              <c:idx val="5"/>
              <c:layout>
                <c:manualLayout>
                  <c:x val="0"/>
                  <c:y val="0.156809483321627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CB-4CBE-80EA-BEBAD8F10E53}"/>
                </c:ext>
              </c:extLst>
            </c:dLbl>
            <c:spPr>
              <a:noFill/>
              <a:ln>
                <a:noFill/>
              </a:ln>
              <a:effectLst/>
            </c:spPr>
            <c:txPr>
              <a:bodyPr rot="-5400000" vert="horz"/>
              <a:lstStyle/>
              <a:p>
                <a:pPr>
                  <a:defRPr b="1">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II_Rajona_prok!$Z$5:$Z$11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II_Rajona_prok!$AA$5:$AA$11</c:f>
              <c:numCache>
                <c:formatCode>General</c:formatCode>
                <c:ptCount val="7"/>
                <c:pt idx="0">
                  <c:v>313</c:v>
                </c:pt>
                <c:pt idx="1">
                  <c:v>610</c:v>
                </c:pt>
                <c:pt idx="2">
                  <c:v>352</c:v>
                </c:pt>
                <c:pt idx="3">
                  <c:v>364</c:v>
                </c:pt>
                <c:pt idx="4">
                  <c:v>469</c:v>
                </c:pt>
                <c:pt idx="5">
                  <c:v>252</c:v>
                </c:pt>
                <c:pt idx="6">
                  <c:v>722</c:v>
                </c:pt>
              </c:numCache>
            </c:numRef>
          </c:val>
          <c:extLst>
            <c:ext xmlns:c16="http://schemas.microsoft.com/office/drawing/2014/chart" uri="{C3380CC4-5D6E-409C-BE32-E72D297353CC}">
              <c16:uniqueId val="{00000000-A9CB-4CBE-80EA-BEBAD8F10E53}"/>
            </c:ext>
          </c:extLst>
        </c:ser>
        <c:ser>
          <c:idx val="1"/>
          <c:order val="1"/>
          <c:tx>
            <c:strRef>
              <c:f>II_Rajona_prok!$AB$4</c:f>
              <c:strCache>
                <c:ptCount val="1"/>
                <c:pt idx="0">
                  <c:v>2019</c:v>
                </c:pt>
              </c:strCache>
            </c:strRef>
          </c:tx>
          <c:invertIfNegative val="0"/>
          <c:dLbls>
            <c:dLbl>
              <c:idx val="0"/>
              <c:layout>
                <c:manualLayout>
                  <c:x val="-2.1543033545885769E-17"/>
                  <c:y val="0.1575128461055043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CB-4CBE-80EA-BEBAD8F10E53}"/>
                </c:ext>
              </c:extLst>
            </c:dLbl>
            <c:spPr>
              <a:noFill/>
              <a:ln>
                <a:noFill/>
              </a:ln>
              <a:effectLst/>
            </c:spPr>
            <c:txPr>
              <a:bodyPr rot="-5400000" vert="horz"/>
              <a:lstStyle/>
              <a:p>
                <a:pPr>
                  <a:defRPr b="1">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II_Rajona_prok!$Z$5:$Z$11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II_Rajona_prok!$AB$5:$AB$11</c:f>
              <c:numCache>
                <c:formatCode>General</c:formatCode>
                <c:ptCount val="7"/>
                <c:pt idx="0">
                  <c:v>298</c:v>
                </c:pt>
                <c:pt idx="1">
                  <c:v>597</c:v>
                </c:pt>
                <c:pt idx="2">
                  <c:v>374</c:v>
                </c:pt>
                <c:pt idx="3">
                  <c:v>407</c:v>
                </c:pt>
                <c:pt idx="4">
                  <c:v>492</c:v>
                </c:pt>
                <c:pt idx="5">
                  <c:v>424</c:v>
                </c:pt>
                <c:pt idx="6">
                  <c:v>874</c:v>
                </c:pt>
              </c:numCache>
            </c:numRef>
          </c:val>
          <c:extLst>
            <c:ext xmlns:c16="http://schemas.microsoft.com/office/drawing/2014/chart" uri="{C3380CC4-5D6E-409C-BE32-E72D297353CC}">
              <c16:uniqueId val="{00000001-A9CB-4CBE-80EA-BEBAD8F10E53}"/>
            </c:ext>
          </c:extLst>
        </c:ser>
        <c:dLbls>
          <c:showLegendKey val="0"/>
          <c:showVal val="0"/>
          <c:showCatName val="0"/>
          <c:showSerName val="0"/>
          <c:showPercent val="0"/>
          <c:showBubbleSize val="0"/>
        </c:dLbls>
        <c:gapWidth val="150"/>
        <c:axId val="258908160"/>
        <c:axId val="258911232"/>
      </c:barChart>
      <c:catAx>
        <c:axId val="258908160"/>
        <c:scaling>
          <c:orientation val="minMax"/>
        </c:scaling>
        <c:delete val="0"/>
        <c:axPos val="b"/>
        <c:numFmt formatCode="General" sourceLinked="0"/>
        <c:majorTickMark val="none"/>
        <c:minorTickMark val="none"/>
        <c:tickLblPos val="nextTo"/>
        <c:crossAx val="258911232"/>
        <c:crosses val="autoZero"/>
        <c:auto val="1"/>
        <c:lblAlgn val="ctr"/>
        <c:lblOffset val="100"/>
        <c:noMultiLvlLbl val="0"/>
      </c:catAx>
      <c:valAx>
        <c:axId val="258911232"/>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58908160"/>
        <c:crosses val="autoZero"/>
        <c:crossBetween val="between"/>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Ar prokurora piekrišanu atteikts uzsākt kriminālprocesu par maznozīmīgu noziedzīgu nodarījumu</a:t>
            </a:r>
          </a:p>
        </c:rich>
      </c:tx>
      <c:layout>
        <c:manualLayout>
          <c:xMode val="edge"/>
          <c:yMode val="edge"/>
          <c:x val="0.14335407071757539"/>
          <c:y val="4.8802606570730366E-3"/>
        </c:manualLayout>
      </c:layout>
      <c:overlay val="0"/>
    </c:title>
    <c:autoTitleDeleted val="0"/>
    <c:plotArea>
      <c:layout>
        <c:manualLayout>
          <c:layoutTarget val="inner"/>
          <c:xMode val="edge"/>
          <c:yMode val="edge"/>
          <c:x val="0.11370342471840535"/>
          <c:y val="0.26735444701689937"/>
          <c:w val="0.86126554181705595"/>
          <c:h val="0.4157702791632984"/>
        </c:manualLayout>
      </c:layout>
      <c:barChart>
        <c:barDir val="col"/>
        <c:grouping val="clustered"/>
        <c:varyColors val="0"/>
        <c:ser>
          <c:idx val="0"/>
          <c:order val="0"/>
          <c:tx>
            <c:strRef>
              <c:f>II_Rajona_prok!$AE$4</c:f>
              <c:strCache>
                <c:ptCount val="1"/>
                <c:pt idx="0">
                  <c:v>2020</c:v>
                </c:pt>
              </c:strCache>
            </c:strRef>
          </c:tx>
          <c:invertIfNegative val="0"/>
          <c:cat>
            <c:strRef>
              <c:f>II_Rajona_prok!$AD$5:$AD$11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II_Rajona_prok!$AE$5:$AE$11</c:f>
              <c:numCache>
                <c:formatCode>General</c:formatCode>
                <c:ptCount val="7"/>
                <c:pt idx="0">
                  <c:v>25</c:v>
                </c:pt>
                <c:pt idx="1">
                  <c:v>29</c:v>
                </c:pt>
                <c:pt idx="2">
                  <c:v>22</c:v>
                </c:pt>
                <c:pt idx="3">
                  <c:v>39</c:v>
                </c:pt>
                <c:pt idx="4">
                  <c:v>22</c:v>
                </c:pt>
                <c:pt idx="5">
                  <c:v>43</c:v>
                </c:pt>
                <c:pt idx="6">
                  <c:v>68</c:v>
                </c:pt>
              </c:numCache>
            </c:numRef>
          </c:val>
          <c:extLst>
            <c:ext xmlns:c16="http://schemas.microsoft.com/office/drawing/2014/chart" uri="{C3380CC4-5D6E-409C-BE32-E72D297353CC}">
              <c16:uniqueId val="{00000000-AC6B-40D6-A135-4C55486E5FA2}"/>
            </c:ext>
          </c:extLst>
        </c:ser>
        <c:ser>
          <c:idx val="1"/>
          <c:order val="1"/>
          <c:tx>
            <c:strRef>
              <c:f>II_Rajona_prok!$AF$4</c:f>
              <c:strCache>
                <c:ptCount val="1"/>
                <c:pt idx="0">
                  <c:v>2019</c:v>
                </c:pt>
              </c:strCache>
            </c:strRef>
          </c:tx>
          <c:invertIfNegative val="0"/>
          <c:cat>
            <c:strRef>
              <c:f>II_Rajona_prok!$AD$5:$AD$11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II_Rajona_prok!$AF$5:$AF$11</c:f>
              <c:numCache>
                <c:formatCode>General</c:formatCode>
                <c:ptCount val="7"/>
                <c:pt idx="0">
                  <c:v>26</c:v>
                </c:pt>
                <c:pt idx="1">
                  <c:v>35</c:v>
                </c:pt>
                <c:pt idx="2">
                  <c:v>9</c:v>
                </c:pt>
                <c:pt idx="3">
                  <c:v>23</c:v>
                </c:pt>
                <c:pt idx="4">
                  <c:v>16</c:v>
                </c:pt>
                <c:pt idx="5">
                  <c:v>17</c:v>
                </c:pt>
                <c:pt idx="6">
                  <c:v>41</c:v>
                </c:pt>
              </c:numCache>
            </c:numRef>
          </c:val>
          <c:extLst>
            <c:ext xmlns:c16="http://schemas.microsoft.com/office/drawing/2014/chart" uri="{C3380CC4-5D6E-409C-BE32-E72D297353CC}">
              <c16:uniqueId val="{00000001-AC6B-40D6-A135-4C55486E5FA2}"/>
            </c:ext>
          </c:extLst>
        </c:ser>
        <c:dLbls>
          <c:showLegendKey val="0"/>
          <c:showVal val="0"/>
          <c:showCatName val="0"/>
          <c:showSerName val="0"/>
          <c:showPercent val="0"/>
          <c:showBubbleSize val="0"/>
        </c:dLbls>
        <c:gapWidth val="150"/>
        <c:axId val="243090560"/>
        <c:axId val="243092480"/>
      </c:barChart>
      <c:catAx>
        <c:axId val="243090560"/>
        <c:scaling>
          <c:orientation val="minMax"/>
        </c:scaling>
        <c:delete val="0"/>
        <c:axPos val="b"/>
        <c:numFmt formatCode="General" sourceLinked="0"/>
        <c:majorTickMark val="none"/>
        <c:minorTickMark val="none"/>
        <c:tickLblPos val="nextTo"/>
        <c:crossAx val="243092480"/>
        <c:crosses val="autoZero"/>
        <c:auto val="1"/>
        <c:lblAlgn val="ctr"/>
        <c:lblOffset val="100"/>
        <c:noMultiLvlLbl val="0"/>
      </c:catAx>
      <c:valAx>
        <c:axId val="243092480"/>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43090560"/>
        <c:crosses val="autoZero"/>
        <c:crossBetween val="between"/>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Dota piekrišana kriminālprocesa apturēšanai izmeklēšanā</a:t>
            </a:r>
          </a:p>
        </c:rich>
      </c:tx>
      <c:overlay val="0"/>
    </c:title>
    <c:autoTitleDeleted val="0"/>
    <c:plotArea>
      <c:layout/>
      <c:barChart>
        <c:barDir val="col"/>
        <c:grouping val="clustered"/>
        <c:varyColors val="0"/>
        <c:ser>
          <c:idx val="0"/>
          <c:order val="0"/>
          <c:tx>
            <c:strRef>
              <c:f>II_Rajona_prok!$AI$4</c:f>
              <c:strCache>
                <c:ptCount val="1"/>
                <c:pt idx="0">
                  <c:v>2020</c:v>
                </c:pt>
              </c:strCache>
            </c:strRef>
          </c:tx>
          <c:invertIfNegative val="0"/>
          <c:dLbls>
            <c:spPr>
              <a:noFill/>
              <a:ln>
                <a:noFill/>
              </a:ln>
              <a:effectLst/>
            </c:spPr>
            <c:txPr>
              <a:bodyPr rot="-5400000" vert="horz"/>
              <a:lstStyle/>
              <a:p>
                <a:pPr>
                  <a:defRPr b="1">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II_Rajona_prok!$AH$5:$AH$11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II_Rajona_prok!$AI$5:$AI$11</c:f>
              <c:numCache>
                <c:formatCode>General</c:formatCode>
                <c:ptCount val="7"/>
                <c:pt idx="0">
                  <c:v>80</c:v>
                </c:pt>
                <c:pt idx="1">
                  <c:v>170</c:v>
                </c:pt>
                <c:pt idx="2">
                  <c:v>91</c:v>
                </c:pt>
                <c:pt idx="3">
                  <c:v>119</c:v>
                </c:pt>
                <c:pt idx="4">
                  <c:v>65</c:v>
                </c:pt>
                <c:pt idx="5">
                  <c:v>88</c:v>
                </c:pt>
                <c:pt idx="6">
                  <c:v>215</c:v>
                </c:pt>
              </c:numCache>
            </c:numRef>
          </c:val>
          <c:extLst>
            <c:ext xmlns:c16="http://schemas.microsoft.com/office/drawing/2014/chart" uri="{C3380CC4-5D6E-409C-BE32-E72D297353CC}">
              <c16:uniqueId val="{00000000-1EAE-4F14-B509-735BF8D878A0}"/>
            </c:ext>
          </c:extLst>
        </c:ser>
        <c:ser>
          <c:idx val="1"/>
          <c:order val="1"/>
          <c:tx>
            <c:strRef>
              <c:f>II_Rajona_prok!$AJ$4</c:f>
              <c:strCache>
                <c:ptCount val="1"/>
                <c:pt idx="0">
                  <c:v>2019</c:v>
                </c:pt>
              </c:strCache>
            </c:strRef>
          </c:tx>
          <c:invertIfNegative val="0"/>
          <c:dLbls>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II_Rajona_prok!$AH$5:$AH$11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II_Rajona_prok!$AJ$5:$AJ$11</c:f>
              <c:numCache>
                <c:formatCode>General</c:formatCode>
                <c:ptCount val="7"/>
                <c:pt idx="0">
                  <c:v>60</c:v>
                </c:pt>
                <c:pt idx="1">
                  <c:v>210</c:v>
                </c:pt>
                <c:pt idx="2">
                  <c:v>95</c:v>
                </c:pt>
                <c:pt idx="3">
                  <c:v>143</c:v>
                </c:pt>
                <c:pt idx="4">
                  <c:v>144</c:v>
                </c:pt>
                <c:pt idx="5">
                  <c:v>167</c:v>
                </c:pt>
                <c:pt idx="6">
                  <c:v>161</c:v>
                </c:pt>
              </c:numCache>
            </c:numRef>
          </c:val>
          <c:extLst>
            <c:ext xmlns:c16="http://schemas.microsoft.com/office/drawing/2014/chart" uri="{C3380CC4-5D6E-409C-BE32-E72D297353CC}">
              <c16:uniqueId val="{00000001-1EAE-4F14-B509-735BF8D878A0}"/>
            </c:ext>
          </c:extLst>
        </c:ser>
        <c:dLbls>
          <c:showLegendKey val="0"/>
          <c:showVal val="0"/>
          <c:showCatName val="0"/>
          <c:showSerName val="0"/>
          <c:showPercent val="0"/>
          <c:showBubbleSize val="0"/>
        </c:dLbls>
        <c:gapWidth val="150"/>
        <c:axId val="291249152"/>
        <c:axId val="291261824"/>
      </c:barChart>
      <c:catAx>
        <c:axId val="291249152"/>
        <c:scaling>
          <c:orientation val="minMax"/>
        </c:scaling>
        <c:delete val="0"/>
        <c:axPos val="b"/>
        <c:numFmt formatCode="General" sourceLinked="0"/>
        <c:majorTickMark val="none"/>
        <c:minorTickMark val="none"/>
        <c:tickLblPos val="nextTo"/>
        <c:crossAx val="291261824"/>
        <c:crosses val="autoZero"/>
        <c:auto val="1"/>
        <c:lblAlgn val="ctr"/>
        <c:lblOffset val="100"/>
        <c:noMultiLvlLbl val="0"/>
      </c:catAx>
      <c:valAx>
        <c:axId val="291261824"/>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91249152"/>
        <c:crosses val="autoZero"/>
        <c:crossBetween val="between"/>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Prokuroru dotie norādījumi</a:t>
            </a:r>
          </a:p>
        </c:rich>
      </c:tx>
      <c:overlay val="0"/>
    </c:title>
    <c:autoTitleDeleted val="0"/>
    <c:plotArea>
      <c:layout/>
      <c:barChart>
        <c:barDir val="col"/>
        <c:grouping val="clustered"/>
        <c:varyColors val="0"/>
        <c:ser>
          <c:idx val="0"/>
          <c:order val="0"/>
          <c:tx>
            <c:strRef>
              <c:f>II_Rajona_prok!$AM$4</c:f>
              <c:strCache>
                <c:ptCount val="1"/>
                <c:pt idx="0">
                  <c:v>2020</c:v>
                </c:pt>
              </c:strCache>
            </c:strRef>
          </c:tx>
          <c:invertIfNegative val="0"/>
          <c:cat>
            <c:strRef>
              <c:f>II_Rajona_prok!$AL$5:$AL$11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II_Rajona_prok!$AM$5:$AM$11</c:f>
              <c:numCache>
                <c:formatCode>General</c:formatCode>
                <c:ptCount val="7"/>
                <c:pt idx="0">
                  <c:v>109</c:v>
                </c:pt>
                <c:pt idx="1">
                  <c:v>555</c:v>
                </c:pt>
                <c:pt idx="2">
                  <c:v>574</c:v>
                </c:pt>
                <c:pt idx="3">
                  <c:v>230</c:v>
                </c:pt>
                <c:pt idx="4">
                  <c:v>363</c:v>
                </c:pt>
                <c:pt idx="5">
                  <c:v>154</c:v>
                </c:pt>
                <c:pt idx="6">
                  <c:v>389</c:v>
                </c:pt>
              </c:numCache>
            </c:numRef>
          </c:val>
          <c:extLst>
            <c:ext xmlns:c16="http://schemas.microsoft.com/office/drawing/2014/chart" uri="{C3380CC4-5D6E-409C-BE32-E72D297353CC}">
              <c16:uniqueId val="{00000000-452B-47C0-B740-F3D719F3F270}"/>
            </c:ext>
          </c:extLst>
        </c:ser>
        <c:ser>
          <c:idx val="1"/>
          <c:order val="1"/>
          <c:tx>
            <c:strRef>
              <c:f>II_Rajona_prok!$AN$4</c:f>
              <c:strCache>
                <c:ptCount val="1"/>
                <c:pt idx="0">
                  <c:v>2019</c:v>
                </c:pt>
              </c:strCache>
            </c:strRef>
          </c:tx>
          <c:invertIfNegative val="0"/>
          <c:cat>
            <c:strRef>
              <c:f>II_Rajona_prok!$AL$5:$AL$11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II_Rajona_prok!$AN$5:$AN$11</c:f>
              <c:numCache>
                <c:formatCode>General</c:formatCode>
                <c:ptCount val="7"/>
                <c:pt idx="0">
                  <c:v>74</c:v>
                </c:pt>
                <c:pt idx="1">
                  <c:v>513</c:v>
                </c:pt>
                <c:pt idx="2">
                  <c:v>540</c:v>
                </c:pt>
                <c:pt idx="3">
                  <c:v>184</c:v>
                </c:pt>
                <c:pt idx="4">
                  <c:v>293</c:v>
                </c:pt>
                <c:pt idx="5">
                  <c:v>166</c:v>
                </c:pt>
                <c:pt idx="6">
                  <c:v>435</c:v>
                </c:pt>
              </c:numCache>
            </c:numRef>
          </c:val>
          <c:extLst>
            <c:ext xmlns:c16="http://schemas.microsoft.com/office/drawing/2014/chart" uri="{C3380CC4-5D6E-409C-BE32-E72D297353CC}">
              <c16:uniqueId val="{00000001-452B-47C0-B740-F3D719F3F270}"/>
            </c:ext>
          </c:extLst>
        </c:ser>
        <c:dLbls>
          <c:showLegendKey val="0"/>
          <c:showVal val="0"/>
          <c:showCatName val="0"/>
          <c:showSerName val="0"/>
          <c:showPercent val="0"/>
          <c:showBubbleSize val="0"/>
        </c:dLbls>
        <c:gapWidth val="150"/>
        <c:axId val="258443904"/>
        <c:axId val="258512000"/>
      </c:barChart>
      <c:catAx>
        <c:axId val="258443904"/>
        <c:scaling>
          <c:orientation val="minMax"/>
        </c:scaling>
        <c:delete val="0"/>
        <c:axPos val="b"/>
        <c:numFmt formatCode="General" sourceLinked="0"/>
        <c:majorTickMark val="none"/>
        <c:minorTickMark val="none"/>
        <c:tickLblPos val="nextTo"/>
        <c:crossAx val="258512000"/>
        <c:crosses val="autoZero"/>
        <c:auto val="1"/>
        <c:lblAlgn val="ctr"/>
        <c:lblOffset val="100"/>
        <c:noMultiLvlLbl val="0"/>
      </c:catAx>
      <c:valAx>
        <c:axId val="258512000"/>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58443904"/>
        <c:crosses val="autoZero"/>
        <c:crossBetween val="between"/>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Valsts apsūdzības uzturēšana pirmās instances tiesā (izskatītas krimināllietas), no tām bez pierādījumu pārbaudes</a:t>
            </a:r>
          </a:p>
        </c:rich>
      </c:tx>
      <c:overlay val="0"/>
    </c:title>
    <c:autoTitleDeleted val="0"/>
    <c:plotArea>
      <c:layout/>
      <c:barChart>
        <c:barDir val="col"/>
        <c:grouping val="clustered"/>
        <c:varyColors val="0"/>
        <c:ser>
          <c:idx val="0"/>
          <c:order val="0"/>
          <c:tx>
            <c:strRef>
              <c:f>II_Rajona_prok!$AQ$4</c:f>
              <c:strCache>
                <c:ptCount val="1"/>
                <c:pt idx="0">
                  <c:v>2020</c:v>
                </c:pt>
              </c:strCache>
            </c:strRef>
          </c:tx>
          <c:invertIfNegative val="0"/>
          <c:dLbls>
            <c:spPr>
              <a:noFill/>
              <a:ln>
                <a:noFill/>
              </a:ln>
              <a:effectLst/>
            </c:spPr>
            <c:txPr>
              <a:bodyPr rot="-5400000" vert="horz"/>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II_Rajona_prok!$AQ$5:$AQ$11</c:f>
              <c:numCache>
                <c:formatCode>General</c:formatCode>
                <c:ptCount val="7"/>
                <c:pt idx="0">
                  <c:v>131</c:v>
                </c:pt>
                <c:pt idx="1">
                  <c:v>165</c:v>
                </c:pt>
                <c:pt idx="2">
                  <c:v>117</c:v>
                </c:pt>
                <c:pt idx="3">
                  <c:v>91</c:v>
                </c:pt>
                <c:pt idx="4">
                  <c:v>136</c:v>
                </c:pt>
                <c:pt idx="5">
                  <c:v>48</c:v>
                </c:pt>
                <c:pt idx="6">
                  <c:v>182</c:v>
                </c:pt>
              </c:numCache>
            </c:numRef>
          </c:val>
          <c:extLst>
            <c:ext xmlns:c16="http://schemas.microsoft.com/office/drawing/2014/chart" uri="{C3380CC4-5D6E-409C-BE32-E72D297353CC}">
              <c16:uniqueId val="{00000000-7FB3-4278-ABE3-ABF462C7BC5D}"/>
            </c:ext>
          </c:extLst>
        </c:ser>
        <c:ser>
          <c:idx val="1"/>
          <c:order val="1"/>
          <c:tx>
            <c:strRef>
              <c:f>II_Rajona_prok!$AQ$4</c:f>
              <c:strCache>
                <c:ptCount val="1"/>
                <c:pt idx="0">
                  <c:v>2020</c:v>
                </c:pt>
              </c:strCache>
            </c:strRef>
          </c:tx>
          <c:invertIfNegative val="0"/>
          <c:dLbls>
            <c:spPr>
              <a:noFill/>
              <a:ln>
                <a:noFill/>
              </a:ln>
              <a:effectLst/>
            </c:spPr>
            <c:txPr>
              <a:bodyPr rot="-5400000" vert="horz"/>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II_Rajona_prok!$AR$5:$AR$11</c:f>
              <c:numCache>
                <c:formatCode>General</c:formatCode>
                <c:ptCount val="7"/>
                <c:pt idx="0">
                  <c:v>107</c:v>
                </c:pt>
                <c:pt idx="1">
                  <c:v>129</c:v>
                </c:pt>
                <c:pt idx="2">
                  <c:v>54</c:v>
                </c:pt>
                <c:pt idx="3">
                  <c:v>73</c:v>
                </c:pt>
                <c:pt idx="4">
                  <c:v>113</c:v>
                </c:pt>
                <c:pt idx="5">
                  <c:v>36</c:v>
                </c:pt>
                <c:pt idx="6">
                  <c:v>101</c:v>
                </c:pt>
              </c:numCache>
            </c:numRef>
          </c:val>
          <c:extLst>
            <c:ext xmlns:c16="http://schemas.microsoft.com/office/drawing/2014/chart" uri="{C3380CC4-5D6E-409C-BE32-E72D297353CC}">
              <c16:uniqueId val="{00000001-7FB3-4278-ABE3-ABF462C7BC5D}"/>
            </c:ext>
          </c:extLst>
        </c:ser>
        <c:ser>
          <c:idx val="2"/>
          <c:order val="2"/>
          <c:tx>
            <c:strRef>
              <c:f>II_Rajona_prok!$AS$4</c:f>
              <c:strCache>
                <c:ptCount val="1"/>
                <c:pt idx="0">
                  <c:v>2019</c:v>
                </c:pt>
              </c:strCache>
            </c:strRef>
          </c:tx>
          <c:invertIfNegative val="0"/>
          <c:dLbls>
            <c:dLbl>
              <c:idx val="0"/>
              <c:layout>
                <c:manualLayout>
                  <c:x val="0"/>
                  <c:y val="0.116837407867525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B3-4278-ABE3-ABF462C7BC5D}"/>
                </c:ext>
              </c:extLst>
            </c:dLbl>
            <c:dLbl>
              <c:idx val="1"/>
              <c:layout>
                <c:manualLayout>
                  <c:x val="-9.7101104777529722E-8"/>
                  <c:y val="0.11386001274583016"/>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7644459255599613E-2"/>
                      <c:h val="5.6848249706069387E-2"/>
                    </c:manualLayout>
                  </c15:layout>
                </c:ext>
                <c:ext xmlns:c16="http://schemas.microsoft.com/office/drawing/2014/chart" uri="{C3380CC4-5D6E-409C-BE32-E72D297353CC}">
                  <c16:uniqueId val="{00000003-7FB3-4278-ABE3-ABF462C7BC5D}"/>
                </c:ext>
              </c:extLst>
            </c:dLbl>
            <c:dLbl>
              <c:idx val="2"/>
              <c:layout>
                <c:manualLayout>
                  <c:x val="0"/>
                  <c:y val="0.1128890953203480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B3-4278-ABE3-ABF462C7BC5D}"/>
                </c:ext>
              </c:extLst>
            </c:dLbl>
            <c:dLbl>
              <c:idx val="3"/>
              <c:layout>
                <c:manualLayout>
                  <c:x val="0"/>
                  <c:y val="9.69777066459736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B3-4278-ABE3-ABF462C7BC5D}"/>
                </c:ext>
              </c:extLst>
            </c:dLbl>
            <c:dLbl>
              <c:idx val="4"/>
              <c:layout>
                <c:manualLayout>
                  <c:x val="0"/>
                  <c:y val="0.1165588497539609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FB3-4278-ABE3-ABF462C7BC5D}"/>
                </c:ext>
              </c:extLst>
            </c:dLbl>
            <c:dLbl>
              <c:idx val="5"/>
              <c:layout>
                <c:manualLayout>
                  <c:x val="0"/>
                  <c:y val="9.95761315490689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FB3-4278-ABE3-ABF462C7BC5D}"/>
                </c:ext>
              </c:extLst>
            </c:dLbl>
            <c:dLbl>
              <c:idx val="6"/>
              <c:layout>
                <c:manualLayout>
                  <c:x val="-1.3221723115399697E-16"/>
                  <c:y val="0.1178826225748965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FB3-4278-ABE3-ABF462C7BC5D}"/>
                </c:ext>
              </c:extLst>
            </c:dLbl>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II_Rajona_prok!$AS$5:$AS$11</c:f>
              <c:numCache>
                <c:formatCode>General</c:formatCode>
                <c:ptCount val="7"/>
                <c:pt idx="0">
                  <c:v>101</c:v>
                </c:pt>
                <c:pt idx="1">
                  <c:v>169</c:v>
                </c:pt>
                <c:pt idx="2">
                  <c:v>101</c:v>
                </c:pt>
                <c:pt idx="3">
                  <c:v>79</c:v>
                </c:pt>
                <c:pt idx="4">
                  <c:v>116</c:v>
                </c:pt>
                <c:pt idx="5">
                  <c:v>95</c:v>
                </c:pt>
                <c:pt idx="6">
                  <c:v>229</c:v>
                </c:pt>
              </c:numCache>
            </c:numRef>
          </c:val>
          <c:extLst>
            <c:ext xmlns:c16="http://schemas.microsoft.com/office/drawing/2014/chart" uri="{C3380CC4-5D6E-409C-BE32-E72D297353CC}">
              <c16:uniqueId val="{00000009-7FB3-4278-ABE3-ABF462C7BC5D}"/>
            </c:ext>
          </c:extLst>
        </c:ser>
        <c:ser>
          <c:idx val="3"/>
          <c:order val="3"/>
          <c:tx>
            <c:strRef>
              <c:f>II_Rajona_prok!$AS$4</c:f>
              <c:strCache>
                <c:ptCount val="1"/>
                <c:pt idx="0">
                  <c:v>2019</c:v>
                </c:pt>
              </c:strCache>
            </c:strRef>
          </c:tx>
          <c:invertIfNegative val="0"/>
          <c:dLbls>
            <c:dLbl>
              <c:idx val="0"/>
              <c:layout>
                <c:manualLayout>
                  <c:x val="-1.6527153894249621E-17"/>
                  <c:y val="9.69777066459736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FB3-4278-ABE3-ABF462C7BC5D}"/>
                </c:ext>
              </c:extLst>
            </c:dLbl>
            <c:dLbl>
              <c:idx val="1"/>
              <c:layout>
                <c:manualLayout>
                  <c:x val="3.3054307788499243E-17"/>
                  <c:y val="0.1201695349447421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FB3-4278-ABE3-ABF462C7BC5D}"/>
                </c:ext>
              </c:extLst>
            </c:dLbl>
            <c:dLbl>
              <c:idx val="2"/>
              <c:layout>
                <c:manualLayout>
                  <c:x val="-6.6108615576998486E-17"/>
                  <c:y val="9.79902778244112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FB3-4278-ABE3-ABF462C7BC5D}"/>
                </c:ext>
              </c:extLst>
            </c:dLbl>
            <c:dLbl>
              <c:idx val="3"/>
              <c:layout>
                <c:manualLayout>
                  <c:x val="0"/>
                  <c:y val="9.75938921159347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FB3-4278-ABE3-ABF462C7BC5D}"/>
                </c:ext>
              </c:extLst>
            </c:dLbl>
            <c:dLbl>
              <c:idx val="4"/>
              <c:layout>
                <c:manualLayout>
                  <c:x val="0"/>
                  <c:y val="0.108147700465465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FB3-4278-ABE3-ABF462C7BC5D}"/>
                </c:ext>
              </c:extLst>
            </c:dLbl>
            <c:dLbl>
              <c:idx val="5"/>
              <c:layout>
                <c:manualLayout>
                  <c:x val="-1.3221723115399697E-16"/>
                  <c:y val="8.97560253736594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FB3-4278-ABE3-ABF462C7BC5D}"/>
                </c:ext>
              </c:extLst>
            </c:dLbl>
            <c:dLbl>
              <c:idx val="6"/>
              <c:layout>
                <c:manualLayout>
                  <c:x val="0"/>
                  <c:y val="0.1037604101768220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FB3-4278-ABE3-ABF462C7BC5D}"/>
                </c:ext>
              </c:extLst>
            </c:dLbl>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II_Rajona_prok!$AT$5:$AT$11</c:f>
              <c:numCache>
                <c:formatCode>General</c:formatCode>
                <c:ptCount val="7"/>
                <c:pt idx="0">
                  <c:v>79</c:v>
                </c:pt>
                <c:pt idx="1">
                  <c:v>120</c:v>
                </c:pt>
                <c:pt idx="2">
                  <c:v>67</c:v>
                </c:pt>
                <c:pt idx="3">
                  <c:v>60</c:v>
                </c:pt>
                <c:pt idx="4">
                  <c:v>87</c:v>
                </c:pt>
                <c:pt idx="5">
                  <c:v>71</c:v>
                </c:pt>
                <c:pt idx="6">
                  <c:v>139</c:v>
                </c:pt>
              </c:numCache>
            </c:numRef>
          </c:val>
          <c:extLst>
            <c:ext xmlns:c16="http://schemas.microsoft.com/office/drawing/2014/chart" uri="{C3380CC4-5D6E-409C-BE32-E72D297353CC}">
              <c16:uniqueId val="{00000011-7FB3-4278-ABE3-ABF462C7BC5D}"/>
            </c:ext>
          </c:extLst>
        </c:ser>
        <c:dLbls>
          <c:showLegendKey val="0"/>
          <c:showVal val="0"/>
          <c:showCatName val="0"/>
          <c:showSerName val="0"/>
          <c:showPercent val="0"/>
          <c:showBubbleSize val="0"/>
        </c:dLbls>
        <c:gapWidth val="150"/>
        <c:axId val="256409600"/>
        <c:axId val="256412672"/>
      </c:barChart>
      <c:catAx>
        <c:axId val="256409600"/>
        <c:scaling>
          <c:orientation val="minMax"/>
        </c:scaling>
        <c:delete val="0"/>
        <c:axPos val="b"/>
        <c:numFmt formatCode="General" sourceLinked="0"/>
        <c:majorTickMark val="none"/>
        <c:minorTickMark val="none"/>
        <c:tickLblPos val="nextTo"/>
        <c:txPr>
          <a:bodyPr/>
          <a:lstStyle/>
          <a:p>
            <a:pPr>
              <a:defRPr b="1">
                <a:solidFill>
                  <a:schemeClr val="tx1"/>
                </a:solidFill>
              </a:defRPr>
            </a:pPr>
            <a:endParaRPr lang="lv-LV"/>
          </a:p>
        </c:txPr>
        <c:crossAx val="256412672"/>
        <c:crosses val="autoZero"/>
        <c:auto val="1"/>
        <c:lblAlgn val="ctr"/>
        <c:lblOffset val="100"/>
        <c:noMultiLvlLbl val="0"/>
      </c:catAx>
      <c:valAx>
        <c:axId val="256412672"/>
        <c:scaling>
          <c:orientation val="minMax"/>
        </c:scaling>
        <c:delete val="0"/>
        <c:axPos val="l"/>
        <c:majorGridlines/>
        <c:numFmt formatCode="General" sourceLinked="1"/>
        <c:majorTickMark val="out"/>
        <c:minorTickMark val="none"/>
        <c:tickLblPos val="nextTo"/>
        <c:txPr>
          <a:bodyPr/>
          <a:lstStyle/>
          <a:p>
            <a:pPr>
              <a:defRPr>
                <a:solidFill>
                  <a:schemeClr val="tx1"/>
                </a:solidFill>
              </a:defRPr>
            </a:pPr>
            <a:endParaRPr lang="lv-LV"/>
          </a:p>
        </c:txPr>
        <c:crossAx val="256409600"/>
        <c:crosses val="autoZero"/>
        <c:crossBetween val="between"/>
      </c:valAx>
    </c:plotArea>
    <c:legend>
      <c:legendPos val="r"/>
      <c:overlay val="0"/>
      <c:txPr>
        <a:bodyPr/>
        <a:lstStyle/>
        <a:p>
          <a:pPr>
            <a:defRPr b="1">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1" baseline="0">
                <a:solidFill>
                  <a:schemeClr val="tx1"/>
                </a:solidFill>
              </a:rPr>
              <a:t>Nodotas krimināllietas tiesām</a:t>
            </a:r>
          </a:p>
          <a:p>
            <a:pPr algn="ctr">
              <a:defRPr sz="1400"/>
            </a:pPr>
            <a:r>
              <a:rPr lang="lv-LV" sz="1200" b="1" baseline="0">
                <a:solidFill>
                  <a:schemeClr val="tx1"/>
                </a:solidFill>
              </a:rPr>
              <a:t>2018. gadā</a:t>
            </a:r>
            <a:endParaRPr lang="lv-LV" sz="1200" b="1">
              <a:solidFill>
                <a:schemeClr val="tx1"/>
              </a:solidFill>
            </a:endParaRPr>
          </a:p>
        </c:rich>
      </c:tx>
      <c:layout>
        <c:manualLayout>
          <c:xMode val="edge"/>
          <c:yMode val="edge"/>
          <c:x val="0.13080982104930547"/>
          <c:y val="2.145539066690506E-2"/>
        </c:manualLayout>
      </c:layout>
      <c:overlay val="0"/>
      <c:spPr>
        <a:noFill/>
        <a:ln>
          <a:noFill/>
        </a:ln>
        <a:effectLst/>
      </c:spPr>
      <c:txPr>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doughnutChart>
        <c:varyColors val="1"/>
        <c:ser>
          <c:idx val="0"/>
          <c:order val="0"/>
          <c:dPt>
            <c:idx val="0"/>
            <c:bubble3D val="0"/>
            <c:spPr>
              <a:solidFill>
                <a:schemeClr val="accent1"/>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1B83-44C1-AE25-12D28B21F60B}"/>
              </c:ext>
            </c:extLst>
          </c:dPt>
          <c:dPt>
            <c:idx val="1"/>
            <c:bubble3D val="0"/>
            <c:spPr>
              <a:solidFill>
                <a:schemeClr val="accent2"/>
              </a:solidFill>
              <a:ln w="6350" cap="flat" cmpd="sng" algn="ctr">
                <a:solidFill>
                  <a:schemeClr val="accent2">
                    <a:shade val="50000"/>
                  </a:schemeClr>
                </a:solidFill>
                <a:prstDash val="solid"/>
                <a:round/>
              </a:ln>
              <a:effectLst/>
            </c:spPr>
            <c:extLst>
              <c:ext xmlns:c16="http://schemas.microsoft.com/office/drawing/2014/chart" uri="{C3380CC4-5D6E-409C-BE32-E72D297353CC}">
                <c16:uniqueId val="{00000003-1B83-44C1-AE25-12D28B21F60B}"/>
              </c:ext>
            </c:extLst>
          </c:dPt>
          <c:dPt>
            <c:idx val="2"/>
            <c:bubble3D val="0"/>
            <c:spPr>
              <a:solidFill>
                <a:schemeClr val="accent3"/>
              </a:solidFill>
              <a:ln w="6350" cap="flat" cmpd="sng" algn="ctr">
                <a:solidFill>
                  <a:schemeClr val="accent3">
                    <a:shade val="50000"/>
                  </a:schemeClr>
                </a:solidFill>
                <a:prstDash val="solid"/>
                <a:round/>
              </a:ln>
              <a:effectLst/>
            </c:spPr>
            <c:extLst>
              <c:ext xmlns:c16="http://schemas.microsoft.com/office/drawing/2014/chart" uri="{C3380CC4-5D6E-409C-BE32-E72D297353CC}">
                <c16:uniqueId val="{00000005-1B83-44C1-AE25-12D28B21F60B}"/>
              </c:ext>
            </c:extLst>
          </c:dPt>
          <c:dPt>
            <c:idx val="3"/>
            <c:bubble3D val="0"/>
            <c:spPr>
              <a:solidFill>
                <a:schemeClr val="accent4"/>
              </a:solidFill>
              <a:ln w="6350" cap="flat" cmpd="sng" algn="ctr">
                <a:solidFill>
                  <a:schemeClr val="accent4">
                    <a:shade val="50000"/>
                  </a:schemeClr>
                </a:solidFill>
                <a:prstDash val="solid"/>
                <a:round/>
              </a:ln>
              <a:effectLst/>
            </c:spPr>
            <c:extLst>
              <c:ext xmlns:c16="http://schemas.microsoft.com/office/drawing/2014/chart" uri="{C3380CC4-5D6E-409C-BE32-E72D297353CC}">
                <c16:uniqueId val="{00000007-1B83-44C1-AE25-12D28B21F60B}"/>
              </c:ext>
            </c:extLst>
          </c:dPt>
          <c:dPt>
            <c:idx val="4"/>
            <c:bubble3D val="0"/>
            <c:spPr>
              <a:solidFill>
                <a:schemeClr val="accent5"/>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9-1B83-44C1-AE25-12D28B21F60B}"/>
              </c:ext>
            </c:extLst>
          </c:dPt>
          <c:dLbls>
            <c:dLbl>
              <c:idx val="2"/>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5496815286624205"/>
                      <c:h val="0.18831877729257643"/>
                    </c:manualLayout>
                  </c15:layout>
                </c:ext>
                <c:ext xmlns:c16="http://schemas.microsoft.com/office/drawing/2014/chart" uri="{C3380CC4-5D6E-409C-BE32-E72D297353CC}">
                  <c16:uniqueId val="{00000005-1B83-44C1-AE25-12D28B21F60B}"/>
                </c:ext>
              </c:extLst>
            </c:dLbl>
            <c:dLbl>
              <c:idx val="3"/>
              <c:layout>
                <c:manualLayout>
                  <c:x val="0"/>
                  <c:y val="-9.84251968503930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83-44C1-AE25-12D28B21F60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6350" cap="flat" cmpd="sng" algn="ctr">
                  <a:solidFill>
                    <a:schemeClr val="dk1"/>
                  </a:solidFill>
                  <a:prstDash val="solid"/>
                  <a:round/>
                </a:ln>
                <a:effectLst/>
              </c:spPr>
            </c:leaderLines>
            <c:extLst>
              <c:ext xmlns:c15="http://schemas.microsoft.com/office/drawing/2012/chart" uri="{CE6537A1-D6FC-4f65-9D91-7224C49458BB}"/>
            </c:extLst>
          </c:dLbls>
          <c:cat>
            <c:strRef>
              <c:f>I_tiesas_apgabala_prok!$AR$6:$AR$10</c:f>
              <c:strCache>
                <c:ptCount val="4"/>
                <c:pt idx="0">
                  <c:v>Vispārējā kārtībā</c:v>
                </c:pt>
                <c:pt idx="1">
                  <c:v>Paātrinātā kārtībā</c:v>
                </c:pt>
                <c:pt idx="2">
                  <c:v>Slēdzot vienošanos</c:v>
                </c:pt>
                <c:pt idx="3">
                  <c:v>Medicīniska rakstura piespiedu līdzekļa piemērošana</c:v>
                </c:pt>
              </c:strCache>
            </c:strRef>
          </c:cat>
          <c:val>
            <c:numRef>
              <c:f>I_tiesas_apgabala_prok!$AS$6:$AS$10</c:f>
              <c:numCache>
                <c:formatCode>General</c:formatCode>
                <c:ptCount val="5"/>
                <c:pt idx="0">
                  <c:v>5598</c:v>
                </c:pt>
                <c:pt idx="1">
                  <c:v>1707</c:v>
                </c:pt>
                <c:pt idx="2">
                  <c:v>1473</c:v>
                </c:pt>
                <c:pt idx="3">
                  <c:v>109</c:v>
                </c:pt>
              </c:numCache>
            </c:numRef>
          </c:val>
          <c:extLst>
            <c:ext xmlns:c16="http://schemas.microsoft.com/office/drawing/2014/chart" uri="{C3380CC4-5D6E-409C-BE32-E72D297353CC}">
              <c16:uniqueId val="{0000000A-1B83-44C1-AE25-12D28B21F60B}"/>
            </c:ext>
          </c:extLst>
        </c:ser>
        <c:dLbls>
          <c:showLegendKey val="0"/>
          <c:showVal val="0"/>
          <c:showCatName val="0"/>
          <c:showSerName val="0"/>
          <c:showPercent val="1"/>
          <c:showBubbleSize val="0"/>
          <c:showLeaderLines val="1"/>
        </c:dLbls>
        <c:firstSliceAng val="0"/>
        <c:holeSize val="52"/>
      </c:doughnutChart>
      <c:spPr>
        <a:noFill/>
        <a:ln>
          <a:noFill/>
        </a:ln>
        <a:effectLst/>
      </c:spPr>
    </c:plotArea>
    <c:legend>
      <c:legendPos val="r"/>
      <c:legendEntry>
        <c:idx val="4"/>
        <c:delete val="1"/>
      </c:legendEntry>
      <c:layout>
        <c:manualLayout>
          <c:xMode val="edge"/>
          <c:yMode val="edge"/>
          <c:x val="0.67121197267560095"/>
          <c:y val="0.12033699647616425"/>
          <c:w val="0.3128939875892997"/>
          <c:h val="0.815670146177445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Iesniegti protesti, no tiem apmierināti</a:t>
            </a:r>
          </a:p>
        </c:rich>
      </c:tx>
      <c:overlay val="0"/>
    </c:title>
    <c:autoTitleDeleted val="0"/>
    <c:plotArea>
      <c:layout/>
      <c:barChart>
        <c:barDir val="col"/>
        <c:grouping val="clustered"/>
        <c:varyColors val="0"/>
        <c:ser>
          <c:idx val="0"/>
          <c:order val="0"/>
          <c:tx>
            <c:strRef>
              <c:f>II_Rajona_prok!$AW$4</c:f>
              <c:strCache>
                <c:ptCount val="1"/>
                <c:pt idx="0">
                  <c:v>2020</c:v>
                </c:pt>
              </c:strCache>
            </c:strRef>
          </c:tx>
          <c:invertIfNegative val="0"/>
          <c:dLbls>
            <c:dLbl>
              <c:idx val="5"/>
              <c:layout>
                <c:manualLayout>
                  <c:x val="0"/>
                  <c:y val="8.9792087544604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70-4D36-BC30-BEE831C3469A}"/>
                </c:ext>
              </c:extLst>
            </c:dLbl>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II_Rajona_prok!$AW$5:$AW$11</c:f>
              <c:numCache>
                <c:formatCode>General</c:formatCode>
                <c:ptCount val="7"/>
                <c:pt idx="0">
                  <c:v>4</c:v>
                </c:pt>
                <c:pt idx="1">
                  <c:v>3</c:v>
                </c:pt>
                <c:pt idx="2">
                  <c:v>5</c:v>
                </c:pt>
                <c:pt idx="3">
                  <c:v>4</c:v>
                </c:pt>
                <c:pt idx="4">
                  <c:v>3</c:v>
                </c:pt>
                <c:pt idx="5">
                  <c:v>1</c:v>
                </c:pt>
                <c:pt idx="6">
                  <c:v>5</c:v>
                </c:pt>
              </c:numCache>
            </c:numRef>
          </c:val>
          <c:extLst>
            <c:ext xmlns:c16="http://schemas.microsoft.com/office/drawing/2014/chart" uri="{C3380CC4-5D6E-409C-BE32-E72D297353CC}">
              <c16:uniqueId val="{00000001-5970-4D36-BC30-BEE831C3469A}"/>
            </c:ext>
          </c:extLst>
        </c:ser>
        <c:ser>
          <c:idx val="1"/>
          <c:order val="1"/>
          <c:tx>
            <c:strRef>
              <c:f>II_Rajona_prok!$AW$4</c:f>
              <c:strCache>
                <c:ptCount val="1"/>
                <c:pt idx="0">
                  <c:v>2020</c:v>
                </c:pt>
              </c:strCache>
            </c:strRef>
          </c:tx>
          <c:invertIfNegative val="0"/>
          <c:dLbls>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II_Rajona_prok!$AX$5:$AX$11</c:f>
              <c:numCache>
                <c:formatCode>General</c:formatCode>
                <c:ptCount val="7"/>
                <c:pt idx="0">
                  <c:v>0</c:v>
                </c:pt>
                <c:pt idx="1">
                  <c:v>0</c:v>
                </c:pt>
                <c:pt idx="2">
                  <c:v>2</c:v>
                </c:pt>
                <c:pt idx="3">
                  <c:v>4</c:v>
                </c:pt>
                <c:pt idx="4">
                  <c:v>0</c:v>
                </c:pt>
                <c:pt idx="5">
                  <c:v>0</c:v>
                </c:pt>
                <c:pt idx="6">
                  <c:v>2</c:v>
                </c:pt>
              </c:numCache>
            </c:numRef>
          </c:val>
          <c:extLst>
            <c:ext xmlns:c16="http://schemas.microsoft.com/office/drawing/2014/chart" uri="{C3380CC4-5D6E-409C-BE32-E72D297353CC}">
              <c16:uniqueId val="{00000002-5970-4D36-BC30-BEE831C3469A}"/>
            </c:ext>
          </c:extLst>
        </c:ser>
        <c:ser>
          <c:idx val="2"/>
          <c:order val="2"/>
          <c:tx>
            <c:strRef>
              <c:f>II_Rajona_prok!$AY$4</c:f>
              <c:strCache>
                <c:ptCount val="1"/>
                <c:pt idx="0">
                  <c:v>2019</c:v>
                </c:pt>
              </c:strCache>
            </c:strRef>
          </c:tx>
          <c:invertIfNegative val="0"/>
          <c:dLbls>
            <c:dLbl>
              <c:idx val="0"/>
              <c:layout>
                <c:manualLayout>
                  <c:x val="-1.5090115515825401E-17"/>
                  <c:y val="8.05133515602361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70-4D36-BC30-BEE831C3469A}"/>
                </c:ext>
              </c:extLst>
            </c:dLbl>
            <c:dLbl>
              <c:idx val="1"/>
              <c:layout>
                <c:manualLayout>
                  <c:x val="-3.0180231031650801E-17"/>
                  <c:y val="0.1002637149569947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70-4D36-BC30-BEE831C3469A}"/>
                </c:ext>
              </c:extLst>
            </c:dLbl>
            <c:dLbl>
              <c:idx val="2"/>
              <c:layout>
                <c:manualLayout>
                  <c:x val="1.6462134368866396E-3"/>
                  <c:y val="8.4311038320453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70-4D36-BC30-BEE831C3469A}"/>
                </c:ext>
              </c:extLst>
            </c:dLbl>
            <c:dLbl>
              <c:idx val="3"/>
              <c:layout>
                <c:manualLayout>
                  <c:x val="0"/>
                  <c:y val="8.27931597381808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970-4D36-BC30-BEE831C3469A}"/>
                </c:ext>
              </c:extLst>
            </c:dLbl>
            <c:dLbl>
              <c:idx val="4"/>
              <c:layout>
                <c:manualLayout>
                  <c:x val="0"/>
                  <c:y val="8.65908464983982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970-4D36-BC30-BEE831C3469A}"/>
                </c:ext>
              </c:extLst>
            </c:dLbl>
            <c:dLbl>
              <c:idx val="5"/>
              <c:layout>
                <c:manualLayout>
                  <c:x val="-1.2072092412660321E-16"/>
                  <c:y val="9.03885332586154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970-4D36-BC30-BEE831C3469A}"/>
                </c:ext>
              </c:extLst>
            </c:dLbl>
            <c:dLbl>
              <c:idx val="6"/>
              <c:layout>
                <c:manualLayout>
                  <c:x val="-1.2072092412660321E-16"/>
                  <c:y val="9.64720088058487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970-4D36-BC30-BEE831C3469A}"/>
                </c:ext>
              </c:extLst>
            </c:dLbl>
            <c:spPr>
              <a:noFill/>
              <a:ln>
                <a:noFill/>
              </a:ln>
              <a:effectLst/>
            </c:spPr>
            <c:txPr>
              <a:bodyPr/>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II_Rajona_prok!$AY$5:$AY$11</c:f>
              <c:numCache>
                <c:formatCode>General</c:formatCode>
                <c:ptCount val="7"/>
                <c:pt idx="0">
                  <c:v>2</c:v>
                </c:pt>
                <c:pt idx="1">
                  <c:v>4</c:v>
                </c:pt>
                <c:pt idx="2">
                  <c:v>2</c:v>
                </c:pt>
                <c:pt idx="3">
                  <c:v>3</c:v>
                </c:pt>
                <c:pt idx="4">
                  <c:v>3</c:v>
                </c:pt>
                <c:pt idx="5">
                  <c:v>3</c:v>
                </c:pt>
                <c:pt idx="6">
                  <c:v>9</c:v>
                </c:pt>
              </c:numCache>
            </c:numRef>
          </c:val>
          <c:extLst>
            <c:ext xmlns:c16="http://schemas.microsoft.com/office/drawing/2014/chart" uri="{C3380CC4-5D6E-409C-BE32-E72D297353CC}">
              <c16:uniqueId val="{0000000A-5970-4D36-BC30-BEE831C3469A}"/>
            </c:ext>
          </c:extLst>
        </c:ser>
        <c:ser>
          <c:idx val="3"/>
          <c:order val="3"/>
          <c:tx>
            <c:strRef>
              <c:f>II_Rajona_prok!$AY$4</c:f>
              <c:strCache>
                <c:ptCount val="1"/>
                <c:pt idx="0">
                  <c:v>2019</c:v>
                </c:pt>
              </c:strCache>
            </c:strRef>
          </c:tx>
          <c:invertIfNegative val="0"/>
          <c:dLbls>
            <c:dLbl>
              <c:idx val="0"/>
              <c:layout>
                <c:manualLayout>
                  <c:x val="0"/>
                  <c:y val="8.43666870154786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970-4D36-BC30-BEE831C3469A}"/>
                </c:ext>
              </c:extLst>
            </c:dLbl>
            <c:dLbl>
              <c:idx val="1"/>
              <c:layout>
                <c:manualLayout>
                  <c:x val="0"/>
                  <c:y val="9.41862200188327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970-4D36-BC30-BEE831C3469A}"/>
                </c:ext>
              </c:extLst>
            </c:dLbl>
            <c:dLbl>
              <c:idx val="2"/>
              <c:layout>
                <c:manualLayout>
                  <c:x val="4.5728878690823634E-17"/>
                  <c:y val="8.9792087544604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970-4D36-BC30-BEE831C3469A}"/>
                </c:ext>
              </c:extLst>
            </c:dLbl>
            <c:dLbl>
              <c:idx val="3"/>
              <c:layout>
                <c:manualLayout>
                  <c:x val="0"/>
                  <c:y val="8.43666870154786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970-4D36-BC30-BEE831C3469A}"/>
                </c:ext>
              </c:extLst>
            </c:dLbl>
            <c:dLbl>
              <c:idx val="5"/>
              <c:layout>
                <c:manualLayout>
                  <c:x val="0"/>
                  <c:y val="9.19064118408882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970-4D36-BC30-BEE831C3469A}"/>
                </c:ext>
              </c:extLst>
            </c:dLbl>
            <c:dLbl>
              <c:idx val="6"/>
              <c:layout>
                <c:manualLayout>
                  <c:x val="0"/>
                  <c:y val="8.8108725080670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970-4D36-BC30-BEE831C3469A}"/>
                </c:ext>
              </c:extLst>
            </c:dLbl>
            <c:spPr>
              <a:noFill/>
              <a:ln>
                <a:noFill/>
              </a:ln>
              <a:effectLst/>
            </c:spPr>
            <c:txPr>
              <a:bodyPr/>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II_Rajona_prok!$AZ$5:$AZ$11</c:f>
              <c:numCache>
                <c:formatCode>General</c:formatCode>
                <c:ptCount val="7"/>
                <c:pt idx="0">
                  <c:v>1</c:v>
                </c:pt>
                <c:pt idx="1">
                  <c:v>3</c:v>
                </c:pt>
                <c:pt idx="2">
                  <c:v>1</c:v>
                </c:pt>
                <c:pt idx="3">
                  <c:v>1</c:v>
                </c:pt>
                <c:pt idx="4">
                  <c:v>0</c:v>
                </c:pt>
                <c:pt idx="5">
                  <c:v>2</c:v>
                </c:pt>
                <c:pt idx="6">
                  <c:v>2</c:v>
                </c:pt>
              </c:numCache>
            </c:numRef>
          </c:val>
          <c:extLst>
            <c:ext xmlns:c16="http://schemas.microsoft.com/office/drawing/2014/chart" uri="{C3380CC4-5D6E-409C-BE32-E72D297353CC}">
              <c16:uniqueId val="{00000011-5970-4D36-BC30-BEE831C3469A}"/>
            </c:ext>
          </c:extLst>
        </c:ser>
        <c:dLbls>
          <c:showLegendKey val="0"/>
          <c:showVal val="0"/>
          <c:showCatName val="0"/>
          <c:showSerName val="0"/>
          <c:showPercent val="0"/>
          <c:showBubbleSize val="0"/>
        </c:dLbls>
        <c:gapWidth val="150"/>
        <c:axId val="240398336"/>
        <c:axId val="240425216"/>
      </c:barChart>
      <c:catAx>
        <c:axId val="240398336"/>
        <c:scaling>
          <c:orientation val="minMax"/>
        </c:scaling>
        <c:delete val="0"/>
        <c:axPos val="b"/>
        <c:numFmt formatCode="General" sourceLinked="0"/>
        <c:majorTickMark val="none"/>
        <c:minorTickMark val="none"/>
        <c:tickLblPos val="nextTo"/>
        <c:txPr>
          <a:bodyPr/>
          <a:lstStyle/>
          <a:p>
            <a:pPr>
              <a:defRPr b="1">
                <a:solidFill>
                  <a:schemeClr val="tx1"/>
                </a:solidFill>
              </a:defRPr>
            </a:pPr>
            <a:endParaRPr lang="lv-LV"/>
          </a:p>
        </c:txPr>
        <c:crossAx val="240425216"/>
        <c:crosses val="autoZero"/>
        <c:auto val="1"/>
        <c:lblAlgn val="ctr"/>
        <c:lblOffset val="100"/>
        <c:noMultiLvlLbl val="0"/>
      </c:catAx>
      <c:valAx>
        <c:axId val="240425216"/>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40398336"/>
        <c:crosses val="autoZero"/>
        <c:crossBetween val="between"/>
      </c:valAx>
    </c:plotArea>
    <c:legend>
      <c:legendPos val="r"/>
      <c:overlay val="0"/>
      <c:txPr>
        <a:bodyPr/>
        <a:lstStyle/>
        <a:p>
          <a:pPr>
            <a:defRPr b="1">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Izlemtas sūdzības, no tām apmierinātas</a:t>
            </a:r>
          </a:p>
        </c:rich>
      </c:tx>
      <c:overlay val="0"/>
    </c:title>
    <c:autoTitleDeleted val="0"/>
    <c:plotArea>
      <c:layout/>
      <c:barChart>
        <c:barDir val="col"/>
        <c:grouping val="clustered"/>
        <c:varyColors val="0"/>
        <c:ser>
          <c:idx val="0"/>
          <c:order val="0"/>
          <c:tx>
            <c:strRef>
              <c:f>II_Rajona_prok!$BC$4</c:f>
              <c:strCache>
                <c:ptCount val="1"/>
                <c:pt idx="0">
                  <c:v>2020</c:v>
                </c:pt>
              </c:strCache>
            </c:strRef>
          </c:tx>
          <c:invertIfNegative val="0"/>
          <c:dLbls>
            <c:spPr>
              <a:noFill/>
              <a:ln>
                <a:noFill/>
              </a:ln>
              <a:effectLst/>
            </c:spPr>
            <c:txPr>
              <a:bodyPr rot="-5400000" vert="horz"/>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II_Rajona_prok!$BC$5:$BC$11</c:f>
              <c:numCache>
                <c:formatCode>General</c:formatCode>
                <c:ptCount val="7"/>
                <c:pt idx="0">
                  <c:v>42</c:v>
                </c:pt>
                <c:pt idx="1">
                  <c:v>92</c:v>
                </c:pt>
                <c:pt idx="2">
                  <c:v>52</c:v>
                </c:pt>
                <c:pt idx="3">
                  <c:v>92</c:v>
                </c:pt>
                <c:pt idx="4">
                  <c:v>59</c:v>
                </c:pt>
                <c:pt idx="5">
                  <c:v>47</c:v>
                </c:pt>
                <c:pt idx="6">
                  <c:v>137</c:v>
                </c:pt>
              </c:numCache>
            </c:numRef>
          </c:val>
          <c:extLst>
            <c:ext xmlns:c16="http://schemas.microsoft.com/office/drawing/2014/chart" uri="{C3380CC4-5D6E-409C-BE32-E72D297353CC}">
              <c16:uniqueId val="{00000000-D2C5-489E-8AE5-140619F1A704}"/>
            </c:ext>
          </c:extLst>
        </c:ser>
        <c:ser>
          <c:idx val="1"/>
          <c:order val="1"/>
          <c:tx>
            <c:strRef>
              <c:f>II_Rajona_prok!$BC$4</c:f>
              <c:strCache>
                <c:ptCount val="1"/>
                <c:pt idx="0">
                  <c:v>2020</c:v>
                </c:pt>
              </c:strCache>
            </c:strRef>
          </c:tx>
          <c:invertIfNegative val="0"/>
          <c:dLbls>
            <c:dLbl>
              <c:idx val="1"/>
              <c:layout>
                <c:manualLayout>
                  <c:x val="0"/>
                  <c:y val="9.08953709063425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C5-489E-8AE5-140619F1A704}"/>
                </c:ext>
              </c:extLst>
            </c:dLbl>
            <c:dLbl>
              <c:idx val="3"/>
              <c:layout>
                <c:manualLayout>
                  <c:x val="2.2846176096429373E-3"/>
                  <c:y val="0.1036176578763185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2263761850762416E-2"/>
                      <c:h val="7.883534741092614E-2"/>
                    </c:manualLayout>
                  </c15:layout>
                </c:ext>
                <c:ext xmlns:c16="http://schemas.microsoft.com/office/drawing/2014/chart" uri="{C3380CC4-5D6E-409C-BE32-E72D297353CC}">
                  <c16:uniqueId val="{00000002-D2C5-489E-8AE5-140619F1A704}"/>
                </c:ext>
              </c:extLst>
            </c:dLbl>
            <c:dLbl>
              <c:idx val="6"/>
              <c:layout>
                <c:manualLayout>
                  <c:x val="-1.3628269884060499E-16"/>
                  <c:y val="8.9644784459688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C5-489E-8AE5-140619F1A704}"/>
                </c:ext>
              </c:extLst>
            </c:dLbl>
            <c:spPr>
              <a:noFill/>
              <a:ln>
                <a:noFill/>
              </a:ln>
              <a:effectLst/>
            </c:spPr>
            <c:txPr>
              <a:bodyPr rot="-5400000" vert="horz"/>
              <a:lstStyle/>
              <a:p>
                <a:pPr>
                  <a:defRPr b="1">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II_Rajona_prok!$BD$5:$BD$11</c:f>
              <c:numCache>
                <c:formatCode>General</c:formatCode>
                <c:ptCount val="7"/>
                <c:pt idx="0">
                  <c:v>9</c:v>
                </c:pt>
                <c:pt idx="1">
                  <c:v>22</c:v>
                </c:pt>
                <c:pt idx="2">
                  <c:v>6</c:v>
                </c:pt>
                <c:pt idx="3">
                  <c:v>36</c:v>
                </c:pt>
                <c:pt idx="4">
                  <c:v>7</c:v>
                </c:pt>
                <c:pt idx="5">
                  <c:v>3</c:v>
                </c:pt>
                <c:pt idx="6">
                  <c:v>35</c:v>
                </c:pt>
              </c:numCache>
            </c:numRef>
          </c:val>
          <c:extLst>
            <c:ext xmlns:c16="http://schemas.microsoft.com/office/drawing/2014/chart" uri="{C3380CC4-5D6E-409C-BE32-E72D297353CC}">
              <c16:uniqueId val="{00000004-D2C5-489E-8AE5-140619F1A704}"/>
            </c:ext>
          </c:extLst>
        </c:ser>
        <c:ser>
          <c:idx val="2"/>
          <c:order val="2"/>
          <c:tx>
            <c:strRef>
              <c:f>II_Rajona_prok!$BE$4</c:f>
              <c:strCache>
                <c:ptCount val="1"/>
                <c:pt idx="0">
                  <c:v>2019</c:v>
                </c:pt>
              </c:strCache>
            </c:strRef>
          </c:tx>
          <c:invertIfNegative val="0"/>
          <c:dLbls>
            <c:dLbl>
              <c:idx val="0"/>
              <c:layout>
                <c:manualLayout>
                  <c:x val="-1.7035337355075624E-17"/>
                  <c:y val="9.67123289352863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2C5-489E-8AE5-140619F1A704}"/>
                </c:ext>
              </c:extLst>
            </c:dLbl>
            <c:dLbl>
              <c:idx val="1"/>
              <c:layout>
                <c:manualLayout>
                  <c:x val="0"/>
                  <c:y val="8.70877137848573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2C5-489E-8AE5-140619F1A704}"/>
                </c:ext>
              </c:extLst>
            </c:dLbl>
            <c:dLbl>
              <c:idx val="2"/>
              <c:dLblPos val="inBase"/>
              <c:showLegendKey val="0"/>
              <c:showVal val="1"/>
              <c:showCatName val="0"/>
              <c:showSerName val="0"/>
              <c:showPercent val="0"/>
              <c:showBubbleSize val="0"/>
              <c:extLst>
                <c:ext xmlns:c15="http://schemas.microsoft.com/office/drawing/2012/chart" uri="{CE6537A1-D6FC-4f65-9D91-7224C49458BB}">
                  <c15:layout>
                    <c:manualLayout>
                      <c:w val="5.2965024353375266E-2"/>
                      <c:h val="6.2361589189348442E-2"/>
                    </c:manualLayout>
                  </c15:layout>
                </c:ext>
                <c:ext xmlns:c16="http://schemas.microsoft.com/office/drawing/2014/chart" uri="{C3380CC4-5D6E-409C-BE32-E72D297353CC}">
                  <c16:uniqueId val="{00000007-D2C5-489E-8AE5-140619F1A704}"/>
                </c:ext>
              </c:extLst>
            </c:dLbl>
            <c:dLbl>
              <c:idx val="3"/>
              <c:layout>
                <c:manualLayout>
                  <c:x val="-6.8141349420302495E-17"/>
                  <c:y val="0.1196713372387073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2C5-489E-8AE5-140619F1A704}"/>
                </c:ext>
              </c:extLst>
            </c:dLbl>
            <c:dLbl>
              <c:idx val="4"/>
              <c:layout>
                <c:manualLayout>
                  <c:x val="-6.8141349420302495E-17"/>
                  <c:y val="9.355251140431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2C5-489E-8AE5-140619F1A704}"/>
                </c:ext>
              </c:extLst>
            </c:dLbl>
            <c:dLbl>
              <c:idx val="5"/>
              <c:layout>
                <c:manualLayout>
                  <c:x val="-1.3628269884060499E-16"/>
                  <c:y val="9.097487859131553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0398711981919165E-2"/>
                      <c:h val="6.2361589189348442E-2"/>
                    </c:manualLayout>
                  </c15:layout>
                </c:ext>
                <c:ext xmlns:c16="http://schemas.microsoft.com/office/drawing/2014/chart" uri="{C3380CC4-5D6E-409C-BE32-E72D297353CC}">
                  <c16:uniqueId val="{0000000A-D2C5-489E-8AE5-140619F1A704}"/>
                </c:ext>
              </c:extLst>
            </c:dLbl>
            <c:dLbl>
              <c:idx val="6"/>
              <c:layout>
                <c:manualLayout>
                  <c:x val="0"/>
                  <c:y val="0.1198168066938045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16133926369909368"/>
                      <c:h val="8.1849585811019837E-2"/>
                    </c:manualLayout>
                  </c15:layout>
                </c:ext>
                <c:ext xmlns:c16="http://schemas.microsoft.com/office/drawing/2014/chart" uri="{C3380CC4-5D6E-409C-BE32-E72D297353CC}">
                  <c16:uniqueId val="{0000000B-D2C5-489E-8AE5-140619F1A704}"/>
                </c:ext>
              </c:extLst>
            </c:dLbl>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II_Rajona_prok!$BE$5:$BE$11</c:f>
              <c:numCache>
                <c:formatCode>General</c:formatCode>
                <c:ptCount val="7"/>
                <c:pt idx="0">
                  <c:v>40</c:v>
                </c:pt>
                <c:pt idx="1">
                  <c:v>87</c:v>
                </c:pt>
                <c:pt idx="2">
                  <c:v>26</c:v>
                </c:pt>
                <c:pt idx="3">
                  <c:v>117</c:v>
                </c:pt>
                <c:pt idx="4">
                  <c:v>53</c:v>
                </c:pt>
                <c:pt idx="5">
                  <c:v>34</c:v>
                </c:pt>
                <c:pt idx="6">
                  <c:v>109</c:v>
                </c:pt>
              </c:numCache>
            </c:numRef>
          </c:val>
          <c:extLst>
            <c:ext xmlns:c16="http://schemas.microsoft.com/office/drawing/2014/chart" uri="{C3380CC4-5D6E-409C-BE32-E72D297353CC}">
              <c16:uniqueId val="{0000000C-D2C5-489E-8AE5-140619F1A704}"/>
            </c:ext>
          </c:extLst>
        </c:ser>
        <c:ser>
          <c:idx val="3"/>
          <c:order val="3"/>
          <c:tx>
            <c:strRef>
              <c:f>II_Rajona_prok!$BE$4</c:f>
              <c:strCache>
                <c:ptCount val="1"/>
                <c:pt idx="0">
                  <c:v>2019</c:v>
                </c:pt>
              </c:strCache>
            </c:strRef>
          </c:tx>
          <c:invertIfNegative val="0"/>
          <c:dLbls>
            <c:dLbl>
              <c:idx val="0"/>
              <c:layout>
                <c:manualLayout>
                  <c:x val="-3.4070674710151247E-17"/>
                  <c:y val="5.73714344638621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2C5-489E-8AE5-140619F1A704}"/>
                </c:ext>
              </c:extLst>
            </c:dLbl>
            <c:dLbl>
              <c:idx val="2"/>
              <c:layout>
                <c:manualLayout>
                  <c:x val="0"/>
                  <c:y val="2.79583699564436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2C5-489E-8AE5-140619F1A704}"/>
                </c:ext>
              </c:extLst>
            </c:dLbl>
            <c:dLbl>
              <c:idx val="3"/>
              <c:layout>
                <c:manualLayout>
                  <c:x val="0"/>
                  <c:y val="9.00188926153075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2C5-489E-8AE5-140619F1A704}"/>
                </c:ext>
              </c:extLst>
            </c:dLbl>
            <c:dLbl>
              <c:idx val="4"/>
              <c:layout>
                <c:manualLayout>
                  <c:x val="1.8584219071359743E-3"/>
                  <c:y val="4.63538111769645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2C5-489E-8AE5-140619F1A704}"/>
                </c:ext>
              </c:extLst>
            </c:dLbl>
            <c:dLbl>
              <c:idx val="5"/>
              <c:layout>
                <c:manualLayout>
                  <c:x val="0"/>
                  <c:y val="7.64972919357121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2C5-489E-8AE5-140619F1A704}"/>
                </c:ext>
              </c:extLst>
            </c:dLbl>
            <c:dLbl>
              <c:idx val="6"/>
              <c:layout>
                <c:manualLayout>
                  <c:x val="-1.3628269884060499E-16"/>
                  <c:y val="8.91353344692634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2C5-489E-8AE5-140619F1A704}"/>
                </c:ext>
              </c:extLst>
            </c:dLbl>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II_Rajona_prok!$BB$5:$BB$11</c:f>
              <c:strCache>
                <c:ptCount val="7"/>
                <c:pt idx="0">
                  <c:v>Alūksnes raj.</c:v>
                </c:pt>
                <c:pt idx="1">
                  <c:v>Cēsu raj.</c:v>
                </c:pt>
                <c:pt idx="2">
                  <c:v>Gulbenes raj.</c:v>
                </c:pt>
                <c:pt idx="3">
                  <c:v>Limbažu raj.</c:v>
                </c:pt>
                <c:pt idx="4">
                  <c:v>Madonas raj.</c:v>
                </c:pt>
                <c:pt idx="5">
                  <c:v>Valkas raj.</c:v>
                </c:pt>
                <c:pt idx="6">
                  <c:v>Valmieras raj.</c:v>
                </c:pt>
              </c:strCache>
            </c:strRef>
          </c:cat>
          <c:val>
            <c:numRef>
              <c:f>II_Rajona_prok!$BF$5:$BF$11</c:f>
              <c:numCache>
                <c:formatCode>General</c:formatCode>
                <c:ptCount val="7"/>
                <c:pt idx="0">
                  <c:v>6</c:v>
                </c:pt>
                <c:pt idx="1">
                  <c:v>19</c:v>
                </c:pt>
                <c:pt idx="2">
                  <c:v>7</c:v>
                </c:pt>
                <c:pt idx="3">
                  <c:v>33</c:v>
                </c:pt>
                <c:pt idx="4">
                  <c:v>13</c:v>
                </c:pt>
                <c:pt idx="5">
                  <c:v>8</c:v>
                </c:pt>
                <c:pt idx="6">
                  <c:v>28</c:v>
                </c:pt>
              </c:numCache>
            </c:numRef>
          </c:val>
          <c:extLst>
            <c:ext xmlns:c16="http://schemas.microsoft.com/office/drawing/2014/chart" uri="{C3380CC4-5D6E-409C-BE32-E72D297353CC}">
              <c16:uniqueId val="{00000013-D2C5-489E-8AE5-140619F1A704}"/>
            </c:ext>
          </c:extLst>
        </c:ser>
        <c:dLbls>
          <c:showLegendKey val="0"/>
          <c:showVal val="0"/>
          <c:showCatName val="0"/>
          <c:showSerName val="0"/>
          <c:showPercent val="0"/>
          <c:showBubbleSize val="0"/>
        </c:dLbls>
        <c:gapWidth val="150"/>
        <c:axId val="304738304"/>
        <c:axId val="304741760"/>
      </c:barChart>
      <c:catAx>
        <c:axId val="304738304"/>
        <c:scaling>
          <c:orientation val="minMax"/>
        </c:scaling>
        <c:delete val="0"/>
        <c:axPos val="b"/>
        <c:numFmt formatCode="General" sourceLinked="0"/>
        <c:majorTickMark val="none"/>
        <c:minorTickMark val="none"/>
        <c:tickLblPos val="nextTo"/>
        <c:txPr>
          <a:bodyPr/>
          <a:lstStyle/>
          <a:p>
            <a:pPr>
              <a:defRPr b="1">
                <a:solidFill>
                  <a:schemeClr val="tx1"/>
                </a:solidFill>
              </a:defRPr>
            </a:pPr>
            <a:endParaRPr lang="lv-LV"/>
          </a:p>
        </c:txPr>
        <c:crossAx val="304741760"/>
        <c:crosses val="autoZero"/>
        <c:auto val="1"/>
        <c:lblAlgn val="ctr"/>
        <c:lblOffset val="100"/>
        <c:noMultiLvlLbl val="0"/>
      </c:catAx>
      <c:valAx>
        <c:axId val="304741760"/>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304738304"/>
        <c:crosses val="autoZero"/>
        <c:crossBetween val="between"/>
      </c:valAx>
    </c:plotArea>
    <c:legend>
      <c:legendPos val="r"/>
      <c:overlay val="0"/>
      <c:txPr>
        <a:bodyPr/>
        <a:lstStyle/>
        <a:p>
          <a:pPr>
            <a:defRPr b="1">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400"/>
            </a:pPr>
            <a:r>
              <a:rPr lang="lv-LV" sz="1200" baseline="0">
                <a:solidFill>
                  <a:schemeClr val="tx1"/>
                </a:solidFill>
              </a:rPr>
              <a:t>Prokuroru</a:t>
            </a:r>
            <a:r>
              <a:rPr lang="lv-LV" sz="1400" baseline="0">
                <a:solidFill>
                  <a:schemeClr val="tx1"/>
                </a:solidFill>
              </a:rPr>
              <a:t> </a:t>
            </a:r>
            <a:r>
              <a:rPr lang="lv-LV" sz="1200" baseline="0">
                <a:solidFill>
                  <a:schemeClr val="tx1"/>
                </a:solidFill>
              </a:rPr>
              <a:t>personālsastāvs</a:t>
            </a:r>
          </a:p>
        </c:rich>
      </c:tx>
      <c:layout>
        <c:manualLayout>
          <c:xMode val="edge"/>
          <c:yMode val="edge"/>
          <c:x val="0.21883102274553343"/>
          <c:y val="0"/>
        </c:manualLayout>
      </c:layout>
      <c:overlay val="0"/>
    </c:title>
    <c:autoTitleDeleted val="0"/>
    <c:plotArea>
      <c:layout>
        <c:manualLayout>
          <c:layoutTarget val="inner"/>
          <c:xMode val="edge"/>
          <c:yMode val="edge"/>
          <c:x val="7.8196750087767705E-2"/>
          <c:y val="0.17928020163732639"/>
          <c:w val="0.52667209990470931"/>
          <c:h val="0.82071979836267361"/>
        </c:manualLayout>
      </c:layout>
      <c:doughnutChart>
        <c:varyColors val="1"/>
        <c:ser>
          <c:idx val="0"/>
          <c:order val="0"/>
          <c:dLbls>
            <c:dLbl>
              <c:idx val="0"/>
              <c:tx>
                <c:rich>
                  <a:bodyPr/>
                  <a:lstStyle/>
                  <a:p>
                    <a:r>
                      <a:rPr lang="en-US"/>
                      <a:t>46</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6E9A-4498-9093-381E64273BD9}"/>
                </c:ext>
              </c:extLst>
            </c:dLbl>
            <c:dLbl>
              <c:idx val="1"/>
              <c:tx>
                <c:rich>
                  <a:bodyPr/>
                  <a:lstStyle/>
                  <a:p>
                    <a:r>
                      <a:rPr lang="en-US"/>
                      <a:t>6</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6E9A-4498-9093-381E64273BD9}"/>
                </c:ext>
              </c:extLst>
            </c:dLbl>
            <c:dLbl>
              <c:idx val="2"/>
              <c:layout>
                <c:manualLayout>
                  <c:x val="-3.1847133757961785E-3"/>
                  <c:y val="-9.9255583126550868E-3"/>
                </c:manualLayout>
              </c:layout>
              <c:tx>
                <c:rich>
                  <a:bodyPr/>
                  <a:lstStyle/>
                  <a:p>
                    <a:r>
                      <a:rPr lang="en-US"/>
                      <a:t>2</a:t>
                    </a:r>
                  </a:p>
                </c:rich>
              </c:tx>
              <c:showLegendKey val="0"/>
              <c:showVal val="1"/>
              <c:showCatName val="0"/>
              <c:showSerName val="0"/>
              <c:showPercent val="1"/>
              <c:showBubbleSize val="0"/>
              <c:extLst>
                <c:ext xmlns:c15="http://schemas.microsoft.com/office/drawing/2012/chart" uri="{CE6537A1-D6FC-4f65-9D91-7224C49458BB}">
                  <c15:layout>
                    <c:manualLayout>
                      <c:w val="5.7324840764331211E-2"/>
                      <c:h val="8.3374689826302736E-2"/>
                    </c:manualLayout>
                  </c15:layout>
                  <c15:showDataLabelsRange val="0"/>
                </c:ext>
                <c:ext xmlns:c16="http://schemas.microsoft.com/office/drawing/2014/chart" uri="{C3380CC4-5D6E-409C-BE32-E72D297353CC}">
                  <c16:uniqueId val="{00000002-6E9A-4498-9093-381E64273BD9}"/>
                </c:ext>
              </c:extLst>
            </c:dLbl>
            <c:dLbl>
              <c:idx val="3"/>
              <c:delete val="1"/>
              <c:extLst>
                <c:ext xmlns:c15="http://schemas.microsoft.com/office/drawing/2012/chart" uri="{CE6537A1-D6FC-4f65-9D91-7224C49458BB}"/>
                <c:ext xmlns:c16="http://schemas.microsoft.com/office/drawing/2014/chart" uri="{C3380CC4-5D6E-409C-BE32-E72D297353CC}">
                  <c16:uniqueId val="{00000003-6E9A-4498-9093-381E64273BD9}"/>
                </c:ext>
              </c:extLst>
            </c:dLbl>
            <c:spPr>
              <a:noFill/>
              <a:ln>
                <a:noFill/>
              </a:ln>
              <a:effectLst/>
            </c:spPr>
            <c:txPr>
              <a:bodyPr/>
              <a:lstStyle/>
              <a:p>
                <a:pPr>
                  <a:defRPr sz="1000" b="1" baseline="0">
                    <a:solidFill>
                      <a:schemeClr val="tx1"/>
                    </a:solidFill>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I_tiesas_apgabala_prok!$AR$6:$AR$9</c:f>
              <c:strCache>
                <c:ptCount val="3"/>
                <c:pt idx="0">
                  <c:v>Aizpildītas štata vietas</c:v>
                </c:pt>
                <c:pt idx="1">
                  <c:v>Brīvas štata vietas</c:v>
                </c:pt>
                <c:pt idx="2">
                  <c:v>Ilgstošā prombūtnē</c:v>
                </c:pt>
              </c:strCache>
            </c:strRef>
          </c:cat>
          <c:val>
            <c:numRef>
              <c:f>I_tiesas_apgabala_prok!$AS$6:$AS$9</c:f>
              <c:numCache>
                <c:formatCode>General</c:formatCode>
                <c:ptCount val="4"/>
                <c:pt idx="0">
                  <c:v>46</c:v>
                </c:pt>
                <c:pt idx="1">
                  <c:v>6</c:v>
                </c:pt>
                <c:pt idx="2">
                  <c:v>2</c:v>
                </c:pt>
              </c:numCache>
            </c:numRef>
          </c:val>
          <c:extLst>
            <c:ext xmlns:c16="http://schemas.microsoft.com/office/drawing/2014/chart" uri="{C3380CC4-5D6E-409C-BE32-E72D297353CC}">
              <c16:uniqueId val="{00000004-6E9A-4498-9093-381E64273BD9}"/>
            </c:ext>
          </c:extLst>
        </c:ser>
        <c:dLbls>
          <c:showLegendKey val="0"/>
          <c:showVal val="0"/>
          <c:showCatName val="0"/>
          <c:showSerName val="0"/>
          <c:showPercent val="1"/>
          <c:showBubbleSize val="0"/>
          <c:showLeaderLines val="1"/>
        </c:dLbls>
        <c:firstSliceAng val="0"/>
        <c:holeSize val="50"/>
      </c:doughnutChart>
      <c:spPr>
        <a:noFill/>
        <a:ln w="25400">
          <a:noFill/>
        </a:ln>
      </c:spPr>
    </c:plotArea>
    <c:legend>
      <c:legendPos val="r"/>
      <c:legendEntry>
        <c:idx val="2"/>
        <c:delete val="1"/>
      </c:legendEntry>
      <c:legendEntry>
        <c:idx val="3"/>
        <c:delete val="1"/>
      </c:legendEntry>
      <c:layout>
        <c:manualLayout>
          <c:xMode val="edge"/>
          <c:yMode val="edge"/>
          <c:x val="0.67664551883243895"/>
          <c:y val="0.24657703813224222"/>
          <c:w val="0.32335448116756105"/>
          <c:h val="0.41079637197249086"/>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9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userShapes r:id="rId2"/>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lv-LV" sz="1200">
                <a:solidFill>
                  <a:schemeClr val="tx1"/>
                </a:solidFill>
              </a:rPr>
              <a:t>Kriminālvājāšanai saņemti kriminālprocesi</a:t>
            </a:r>
          </a:p>
        </c:rich>
      </c:tx>
      <c:layout>
        <c:manualLayout>
          <c:xMode val="edge"/>
          <c:yMode val="edge"/>
          <c:x val="0.18026978007059463"/>
          <c:y val="5.0199376608032586E-2"/>
        </c:manualLayout>
      </c:layout>
      <c:overlay val="0"/>
    </c:title>
    <c:autoTitleDeleted val="0"/>
    <c:plotArea>
      <c:layout/>
      <c:barChart>
        <c:barDir val="col"/>
        <c:grouping val="clustered"/>
        <c:varyColors val="0"/>
        <c:ser>
          <c:idx val="1"/>
          <c:order val="0"/>
          <c:tx>
            <c:strRef>
              <c:f>I_tiesas_apgabala_prok!$B$5:$B$7</c:f>
              <c:strCache>
                <c:ptCount val="3"/>
                <c:pt idx="0">
                  <c:v>2018</c:v>
                </c:pt>
                <c:pt idx="1">
                  <c:v>2019</c:v>
                </c:pt>
                <c:pt idx="2">
                  <c:v>2020</c:v>
                </c:pt>
              </c:strCache>
            </c:strRef>
          </c:tx>
          <c:invertIfNegative val="0"/>
          <c:dLbls>
            <c:spPr>
              <a:noFill/>
              <a:ln>
                <a:noFill/>
              </a:ln>
              <a:effectLst/>
            </c:spPr>
            <c:txPr>
              <a:bodyPr/>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I_tiesas_apgabala_prok!$C$5:$C$7</c:f>
              <c:numCache>
                <c:formatCode>General</c:formatCode>
                <c:ptCount val="3"/>
                <c:pt idx="0">
                  <c:v>42</c:v>
                </c:pt>
                <c:pt idx="1">
                  <c:v>35</c:v>
                </c:pt>
                <c:pt idx="2">
                  <c:v>32</c:v>
                </c:pt>
              </c:numCache>
            </c:numRef>
          </c:val>
          <c:extLst>
            <c:ext xmlns:c16="http://schemas.microsoft.com/office/drawing/2014/chart" uri="{C3380CC4-5D6E-409C-BE32-E72D297353CC}">
              <c16:uniqueId val="{00000000-A123-4628-97B6-7A73655C2CE5}"/>
            </c:ext>
          </c:extLst>
        </c:ser>
        <c:dLbls>
          <c:showLegendKey val="0"/>
          <c:showVal val="0"/>
          <c:showCatName val="0"/>
          <c:showSerName val="0"/>
          <c:showPercent val="0"/>
          <c:showBubbleSize val="0"/>
        </c:dLbls>
        <c:gapWidth val="150"/>
        <c:axId val="211601664"/>
        <c:axId val="237375488"/>
      </c:barChart>
      <c:catAx>
        <c:axId val="211601664"/>
        <c:scaling>
          <c:orientation val="minMax"/>
        </c:scaling>
        <c:delete val="0"/>
        <c:axPos val="b"/>
        <c:numFmt formatCode="General" sourceLinked="1"/>
        <c:majorTickMark val="none"/>
        <c:minorTickMark val="none"/>
        <c:tickLblPos val="nextTo"/>
        <c:txPr>
          <a:bodyPr/>
          <a:lstStyle/>
          <a:p>
            <a:pPr>
              <a:defRPr b="1" baseline="0">
                <a:solidFill>
                  <a:schemeClr val="tx1"/>
                </a:solidFill>
              </a:defRPr>
            </a:pPr>
            <a:endParaRPr lang="lv-LV"/>
          </a:p>
        </c:txPr>
        <c:crossAx val="237375488"/>
        <c:crosses val="autoZero"/>
        <c:auto val="1"/>
        <c:lblAlgn val="ctr"/>
        <c:lblOffset val="100"/>
        <c:noMultiLvlLbl val="0"/>
      </c:catAx>
      <c:valAx>
        <c:axId val="237375488"/>
        <c:scaling>
          <c:orientation val="minMax"/>
        </c:scaling>
        <c:delete val="1"/>
        <c:axPos val="l"/>
        <c:majorGridlines/>
        <c:numFmt formatCode="General" sourceLinked="1"/>
        <c:majorTickMark val="none"/>
        <c:minorTickMark val="none"/>
        <c:tickLblPos val="nextTo"/>
        <c:crossAx val="211601664"/>
        <c:crosses val="autoZero"/>
        <c:crossBetween val="between"/>
      </c:valAx>
    </c:plotArea>
    <c:plotVisOnly val="1"/>
    <c:dispBlanksAs val="gap"/>
    <c:showDLblsOverMax val="0"/>
  </c:chart>
  <c:spPr>
    <a:ln cmpd="sng">
      <a:solidFill>
        <a:schemeClr val="tx2"/>
      </a:solidFill>
    </a:ln>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a:pPr>
            <a:r>
              <a:rPr lang="lv-LV" sz="1200">
                <a:solidFill>
                  <a:schemeClr val="tx1"/>
                </a:solidFill>
              </a:rPr>
              <a:t>Tiesai nodotas kimināllietas, no tām vienošanās procesa kārtībā</a:t>
            </a:r>
          </a:p>
        </c:rich>
      </c:tx>
      <c:overlay val="0"/>
    </c:title>
    <c:autoTitleDeleted val="0"/>
    <c:plotArea>
      <c:layout/>
      <c:barChart>
        <c:barDir val="col"/>
        <c:grouping val="clustered"/>
        <c:varyColors val="0"/>
        <c:ser>
          <c:idx val="1"/>
          <c:order val="0"/>
          <c:tx>
            <c:strRef>
              <c:f>I_tiesas_apgabala_prok!$E$5:$E$7</c:f>
              <c:strCache>
                <c:ptCount val="3"/>
                <c:pt idx="0">
                  <c:v>2018</c:v>
                </c:pt>
                <c:pt idx="1">
                  <c:v>2019</c:v>
                </c:pt>
                <c:pt idx="2">
                  <c:v>2020</c:v>
                </c:pt>
              </c:strCache>
            </c:strRef>
          </c:tx>
          <c:invertIfNegative val="0"/>
          <c:dLbls>
            <c:spPr>
              <a:noFill/>
              <a:ln>
                <a:noFill/>
              </a:ln>
              <a:effectLst/>
            </c:spPr>
            <c:txPr>
              <a:bodyPr/>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I_tiesas_apgabala_prok!$F$5:$F$7</c:f>
              <c:numCache>
                <c:formatCode>General</c:formatCode>
                <c:ptCount val="3"/>
                <c:pt idx="0">
                  <c:v>41</c:v>
                </c:pt>
                <c:pt idx="1">
                  <c:v>30</c:v>
                </c:pt>
                <c:pt idx="2">
                  <c:v>29</c:v>
                </c:pt>
              </c:numCache>
            </c:numRef>
          </c:val>
          <c:extLst>
            <c:ext xmlns:c16="http://schemas.microsoft.com/office/drawing/2014/chart" uri="{C3380CC4-5D6E-409C-BE32-E72D297353CC}">
              <c16:uniqueId val="{00000000-1E55-4B06-8360-CCEF87F5EB60}"/>
            </c:ext>
          </c:extLst>
        </c:ser>
        <c:ser>
          <c:idx val="0"/>
          <c:order val="1"/>
          <c:tx>
            <c:strRef>
              <c:f>I_tiesas_apgabala_prok!$E$5:$E$7</c:f>
              <c:strCache>
                <c:ptCount val="3"/>
                <c:pt idx="0">
                  <c:v>2018</c:v>
                </c:pt>
                <c:pt idx="1">
                  <c:v>2019</c:v>
                </c:pt>
                <c:pt idx="2">
                  <c:v>2020</c:v>
                </c:pt>
              </c:strCache>
            </c:strRef>
          </c:tx>
          <c:invertIfNegative val="0"/>
          <c:dLbls>
            <c:dLbl>
              <c:idx val="0"/>
              <c:layout>
                <c:manualLayout>
                  <c:x val="-4.5947663984016273E-17"/>
                  <c:y val="2.75847003591208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55-4B06-8360-CCEF87F5EB60}"/>
                </c:ext>
              </c:extLst>
            </c:dLbl>
            <c:spPr>
              <a:noFill/>
              <a:ln>
                <a:noFill/>
              </a:ln>
              <a:effectLst/>
            </c:spPr>
            <c:txPr>
              <a:bodyPr/>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I_tiesas_apgabala_prok!$G$5:$G$7</c:f>
              <c:numCache>
                <c:formatCode>General</c:formatCode>
                <c:ptCount val="3"/>
                <c:pt idx="0">
                  <c:v>5</c:v>
                </c:pt>
                <c:pt idx="1">
                  <c:v>2</c:v>
                </c:pt>
                <c:pt idx="2">
                  <c:v>3</c:v>
                </c:pt>
              </c:numCache>
            </c:numRef>
          </c:val>
          <c:extLst>
            <c:ext xmlns:c16="http://schemas.microsoft.com/office/drawing/2014/chart" uri="{C3380CC4-5D6E-409C-BE32-E72D297353CC}">
              <c16:uniqueId val="{00000002-1E55-4B06-8360-CCEF87F5EB60}"/>
            </c:ext>
          </c:extLst>
        </c:ser>
        <c:dLbls>
          <c:showLegendKey val="0"/>
          <c:showVal val="0"/>
          <c:showCatName val="0"/>
          <c:showSerName val="0"/>
          <c:showPercent val="0"/>
          <c:showBubbleSize val="0"/>
        </c:dLbls>
        <c:gapWidth val="150"/>
        <c:axId val="51186688"/>
        <c:axId val="139997952"/>
      </c:barChart>
      <c:catAx>
        <c:axId val="51186688"/>
        <c:scaling>
          <c:orientation val="minMax"/>
        </c:scaling>
        <c:delete val="0"/>
        <c:axPos val="b"/>
        <c:numFmt formatCode="General" sourceLinked="1"/>
        <c:majorTickMark val="none"/>
        <c:minorTickMark val="none"/>
        <c:tickLblPos val="nextTo"/>
        <c:txPr>
          <a:bodyPr/>
          <a:lstStyle/>
          <a:p>
            <a:pPr>
              <a:defRPr b="1" baseline="0">
                <a:solidFill>
                  <a:schemeClr val="tx1"/>
                </a:solidFill>
              </a:defRPr>
            </a:pPr>
            <a:endParaRPr lang="lv-LV"/>
          </a:p>
        </c:txPr>
        <c:crossAx val="139997952"/>
        <c:crosses val="autoZero"/>
        <c:auto val="1"/>
        <c:lblAlgn val="ctr"/>
        <c:lblOffset val="100"/>
        <c:noMultiLvlLbl val="0"/>
      </c:catAx>
      <c:valAx>
        <c:axId val="139997952"/>
        <c:scaling>
          <c:orientation val="minMax"/>
        </c:scaling>
        <c:delete val="1"/>
        <c:axPos val="l"/>
        <c:majorGridlines/>
        <c:numFmt formatCode="General" sourceLinked="1"/>
        <c:majorTickMark val="none"/>
        <c:minorTickMark val="none"/>
        <c:tickLblPos val="nextTo"/>
        <c:crossAx val="51186688"/>
        <c:crosses val="autoZero"/>
        <c:crossBetween val="between"/>
      </c:valAx>
    </c:plotArea>
    <c:plotVisOnly val="1"/>
    <c:dispBlanksAs val="gap"/>
    <c:showDLblsOverMax val="0"/>
  </c:chart>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a:pPr>
            <a:r>
              <a:rPr lang="lv-LV" sz="1800" b="1" i="0" baseline="0">
                <a:solidFill>
                  <a:schemeClr val="tx2"/>
                </a:solidFill>
                <a:effectLst/>
              </a:rPr>
              <a:t> </a:t>
            </a:r>
            <a:r>
              <a:rPr lang="lv-LV" sz="1200" b="1" i="0" baseline="0">
                <a:solidFill>
                  <a:schemeClr val="tx1"/>
                </a:solidFill>
                <a:effectLst/>
                <a:latin typeface="Times New Roman" panose="02020603050405020304" pitchFamily="18" charset="0"/>
                <a:cs typeface="Times New Roman" panose="02020603050405020304" pitchFamily="18" charset="0"/>
              </a:rPr>
              <a:t>Prokuratūrā pabeigti kriminālprocesi, nenododot krimināllietu tiesai</a:t>
            </a:r>
            <a:endParaRPr lang="lv-LV" sz="1200">
              <a:solidFill>
                <a:schemeClr val="tx1"/>
              </a:solidFill>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1"/>
        <c:ser>
          <c:idx val="1"/>
          <c:order val="0"/>
          <c:tx>
            <c:strRef>
              <c:f>I_tiesas_apgabala_prok!$I$5:$I$7</c:f>
              <c:strCache>
                <c:ptCount val="3"/>
                <c:pt idx="0">
                  <c:v>2018</c:v>
                </c:pt>
                <c:pt idx="1">
                  <c:v>2019</c:v>
                </c:pt>
                <c:pt idx="2">
                  <c:v>2020</c:v>
                </c:pt>
              </c:strCache>
            </c:strRef>
          </c:tx>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I_tiesas_apgabala_prok!$J$5:$J$7</c:f>
              <c:numCache>
                <c:formatCode>General</c:formatCode>
                <c:ptCount val="3"/>
                <c:pt idx="0">
                  <c:v>2</c:v>
                </c:pt>
                <c:pt idx="1">
                  <c:v>1</c:v>
                </c:pt>
                <c:pt idx="2">
                  <c:v>1</c:v>
                </c:pt>
              </c:numCache>
            </c:numRef>
          </c:val>
          <c:extLst>
            <c:ext xmlns:c16="http://schemas.microsoft.com/office/drawing/2014/chart" uri="{C3380CC4-5D6E-409C-BE32-E72D297353CC}">
              <c16:uniqueId val="{00000000-AF11-47F5-8953-B33FEE79190B}"/>
            </c:ext>
          </c:extLst>
        </c:ser>
        <c:dLbls>
          <c:showLegendKey val="0"/>
          <c:showVal val="0"/>
          <c:showCatName val="0"/>
          <c:showSerName val="0"/>
          <c:showPercent val="0"/>
          <c:showBubbleSize val="0"/>
        </c:dLbls>
        <c:gapWidth val="150"/>
        <c:axId val="166366592"/>
        <c:axId val="166438400"/>
      </c:barChart>
      <c:catAx>
        <c:axId val="1663665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66438400"/>
        <c:crosses val="autoZero"/>
        <c:auto val="1"/>
        <c:lblAlgn val="ctr"/>
        <c:lblOffset val="100"/>
        <c:noMultiLvlLbl val="0"/>
      </c:catAx>
      <c:valAx>
        <c:axId val="166438400"/>
        <c:scaling>
          <c:orientation val="minMax"/>
        </c:scaling>
        <c:delete val="1"/>
        <c:axPos val="l"/>
        <c:majorGridlines/>
        <c:numFmt formatCode="General" sourceLinked="1"/>
        <c:majorTickMark val="none"/>
        <c:minorTickMark val="none"/>
        <c:tickLblPos val="nextTo"/>
        <c:crossAx val="1663665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lgn="ctr">
              <a:defRPr/>
            </a:pPr>
            <a:r>
              <a:rPr lang="lv-LV" sz="1200">
                <a:solidFill>
                  <a:schemeClr val="tx1"/>
                </a:solidFill>
              </a:rPr>
              <a:t>Pabeigti kriminālprocesi par atsevišķiem noziedzīgiem nodarījumiem (īpaši aktuāli)</a:t>
            </a:r>
          </a:p>
        </c:rich>
      </c:tx>
      <c:layout>
        <c:manualLayout>
          <c:xMode val="edge"/>
          <c:yMode val="edge"/>
          <c:x val="0.10714560303335394"/>
          <c:y val="2.3916287344776587E-2"/>
        </c:manualLayout>
      </c:layout>
      <c:overlay val="0"/>
    </c:title>
    <c:autoTitleDeleted val="0"/>
    <c:plotArea>
      <c:layout>
        <c:manualLayout>
          <c:layoutTarget val="inner"/>
          <c:xMode val="edge"/>
          <c:yMode val="edge"/>
          <c:x val="1.8459351858725919E-2"/>
          <c:y val="0.18355750537116031"/>
          <c:w val="0.61152264818011459"/>
          <c:h val="0.74106664287592416"/>
        </c:manualLayout>
      </c:layout>
      <c:barChart>
        <c:barDir val="col"/>
        <c:grouping val="clustered"/>
        <c:varyColors val="0"/>
        <c:ser>
          <c:idx val="0"/>
          <c:order val="0"/>
          <c:tx>
            <c:strRef>
              <c:f>I_tiesas_apgabala_prok!$M$4</c:f>
              <c:strCache>
                <c:ptCount val="1"/>
                <c:pt idx="0">
                  <c:v>Slepkavības (ieskaitot KL 125.p.3.d.)</c:v>
                </c:pt>
              </c:strCache>
            </c:strRef>
          </c:tx>
          <c:spPr>
            <a:solidFill>
              <a:srgbClr val="C00000"/>
            </a:solidFill>
          </c:spPr>
          <c:invertIfNegative val="0"/>
          <c:dLbls>
            <c:dLbl>
              <c:idx val="0"/>
              <c:layout>
                <c:manualLayout>
                  <c:x val="0"/>
                  <c:y val="-1.64979337668435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58-417B-86CF-D5FB5887A042}"/>
                </c:ext>
              </c:extLst>
            </c:dLbl>
            <c:dLbl>
              <c:idx val="1"/>
              <c:layout>
                <c:manualLayout>
                  <c:x val="0"/>
                  <c:y val="-1.74316877894244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58-417B-86CF-D5FB5887A042}"/>
                </c:ext>
              </c:extLst>
            </c:dLbl>
            <c:dLbl>
              <c:idx val="2"/>
              <c:layout>
                <c:manualLayout>
                  <c:x val="0"/>
                  <c:y val="9.5504167905411546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58-417B-86CF-D5FB5887A042}"/>
                </c:ext>
              </c:extLst>
            </c:dLbl>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I_tiesas_apgabala_prok!$M$5:$M$7</c:f>
              <c:numCache>
                <c:formatCode>General</c:formatCode>
                <c:ptCount val="3"/>
                <c:pt idx="0">
                  <c:v>7</c:v>
                </c:pt>
                <c:pt idx="1">
                  <c:v>6</c:v>
                </c:pt>
                <c:pt idx="2">
                  <c:v>2</c:v>
                </c:pt>
              </c:numCache>
            </c:numRef>
          </c:val>
          <c:extLst>
            <c:ext xmlns:c16="http://schemas.microsoft.com/office/drawing/2014/chart" uri="{C3380CC4-5D6E-409C-BE32-E72D297353CC}">
              <c16:uniqueId val="{00000003-A158-417B-86CF-D5FB5887A042}"/>
            </c:ext>
          </c:extLst>
        </c:ser>
        <c:ser>
          <c:idx val="1"/>
          <c:order val="1"/>
          <c:tx>
            <c:strRef>
              <c:f>I_tiesas_apgabala_prok!$N$4</c:f>
              <c:strCache>
                <c:ptCount val="1"/>
                <c:pt idx="0">
                  <c:v>Noziegumi pret tikumību un dzimumneaizskaramību, kas izdarīti ar mazgadīgo vai nepilngadīgo 
          </c:v>
                </c:pt>
              </c:strCache>
            </c:strRef>
          </c:tx>
          <c:spPr>
            <a:solidFill>
              <a:schemeClr val="accent1"/>
            </a:solidFill>
          </c:spPr>
          <c:invertIfNegative val="0"/>
          <c:dLbls>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I_tiesas_apgabala_prok!$N$5:$N$7</c:f>
              <c:numCache>
                <c:formatCode>General</c:formatCode>
                <c:ptCount val="3"/>
                <c:pt idx="0">
                  <c:v>18</c:v>
                </c:pt>
                <c:pt idx="1">
                  <c:v>10</c:v>
                </c:pt>
                <c:pt idx="2">
                  <c:v>7</c:v>
                </c:pt>
              </c:numCache>
            </c:numRef>
          </c:val>
          <c:extLst>
            <c:ext xmlns:c16="http://schemas.microsoft.com/office/drawing/2014/chart" uri="{C3380CC4-5D6E-409C-BE32-E72D297353CC}">
              <c16:uniqueId val="{00000004-A158-417B-86CF-D5FB5887A042}"/>
            </c:ext>
          </c:extLst>
        </c:ser>
        <c:ser>
          <c:idx val="2"/>
          <c:order val="2"/>
          <c:tx>
            <c:strRef>
              <c:f>I_tiesas_apgabala_prok!$O$4</c:f>
              <c:strCache>
                <c:ptCount val="1"/>
                <c:pt idx="0">
                  <c:v>Noziegumi pret īpašumu, ar ko radīts mantisks zaudējums lielā apmērā</c:v>
                </c:pt>
              </c:strCache>
            </c:strRef>
          </c:tx>
          <c:invertIfNegative val="0"/>
          <c:dLbls>
            <c:dLbl>
              <c:idx val="0"/>
              <c:layout>
                <c:manualLayout>
                  <c:x val="1.4831292298378507E-3"/>
                  <c:y val="3.25918858710667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58-417B-86CF-D5FB5887A042}"/>
                </c:ext>
              </c:extLst>
            </c:dLbl>
            <c:dLbl>
              <c:idx val="2"/>
              <c:layout>
                <c:manualLayout>
                  <c:x val="0"/>
                  <c:y val="1.869927097032607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58-417B-86CF-D5FB5887A042}"/>
                </c:ext>
              </c:extLst>
            </c:dLbl>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I_tiesas_apgabala_prok!$O$5:$O$7</c:f>
              <c:numCache>
                <c:formatCode>General</c:formatCode>
                <c:ptCount val="3"/>
                <c:pt idx="0">
                  <c:v>1</c:v>
                </c:pt>
                <c:pt idx="1">
                  <c:v>2</c:v>
                </c:pt>
                <c:pt idx="2">
                  <c:v>1</c:v>
                </c:pt>
              </c:numCache>
            </c:numRef>
          </c:val>
          <c:extLst>
            <c:ext xmlns:c16="http://schemas.microsoft.com/office/drawing/2014/chart" uri="{C3380CC4-5D6E-409C-BE32-E72D297353CC}">
              <c16:uniqueId val="{00000007-A158-417B-86CF-D5FB5887A042}"/>
            </c:ext>
          </c:extLst>
        </c:ser>
        <c:ser>
          <c:idx val="3"/>
          <c:order val="3"/>
          <c:tx>
            <c:strRef>
              <c:f>I_tiesas_apgabala_prok!$P$4</c:f>
              <c:strCache>
                <c:ptCount val="1"/>
                <c:pt idx="0">
                  <c:v>Noziedzīgi iegūtu līdzekļu legalizēšana</c:v>
                </c:pt>
              </c:strCache>
            </c:strRef>
          </c:tx>
          <c:invertIfNegative val="0"/>
          <c:dLbls>
            <c:spPr>
              <a:noFill/>
              <a:ln>
                <a:noFill/>
              </a:ln>
              <a:effectLst/>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I_tiesas_apgabala_prok!$P$5:$P$7</c:f>
              <c:numCache>
                <c:formatCode>General</c:formatCode>
                <c:ptCount val="3"/>
                <c:pt idx="0">
                  <c:v>0</c:v>
                </c:pt>
                <c:pt idx="1">
                  <c:v>1</c:v>
                </c:pt>
                <c:pt idx="2">
                  <c:v>1</c:v>
                </c:pt>
              </c:numCache>
            </c:numRef>
          </c:val>
          <c:extLst>
            <c:ext xmlns:c16="http://schemas.microsoft.com/office/drawing/2014/chart" uri="{C3380CC4-5D6E-409C-BE32-E72D297353CC}">
              <c16:uniqueId val="{00000008-A158-417B-86CF-D5FB5887A042}"/>
            </c:ext>
          </c:extLst>
        </c:ser>
        <c:ser>
          <c:idx val="4"/>
          <c:order val="4"/>
          <c:tx>
            <c:strRef>
              <c:f>I_tiesas_apgabala_prok!$Q$4</c:f>
              <c:strCache>
                <c:ptCount val="1"/>
                <c:pt idx="0">
                  <c:v>Noziedzīgi nodarījumi valsts institūciju dienestā</c:v>
                </c:pt>
              </c:strCache>
            </c:strRef>
          </c:tx>
          <c:spPr>
            <a:solidFill>
              <a:schemeClr val="accent6"/>
            </a:solidFill>
          </c:spPr>
          <c:invertIfNegative val="0"/>
          <c:dLbls>
            <c:spPr>
              <a:noFill/>
              <a:ln>
                <a:noFill/>
              </a:ln>
              <a:effectLst/>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I_tiesas_apgabala_prok!$Q$5:$Q$7</c:f>
              <c:numCache>
                <c:formatCode>General</c:formatCode>
                <c:ptCount val="3"/>
                <c:pt idx="0">
                  <c:v>2</c:v>
                </c:pt>
                <c:pt idx="1">
                  <c:v>0</c:v>
                </c:pt>
                <c:pt idx="2">
                  <c:v>1</c:v>
                </c:pt>
              </c:numCache>
            </c:numRef>
          </c:val>
          <c:extLst>
            <c:ext xmlns:c16="http://schemas.microsoft.com/office/drawing/2014/chart" uri="{C3380CC4-5D6E-409C-BE32-E72D297353CC}">
              <c16:uniqueId val="{00000009-A158-417B-86CF-D5FB5887A042}"/>
            </c:ext>
          </c:extLst>
        </c:ser>
        <c:dLbls>
          <c:showLegendKey val="0"/>
          <c:showVal val="0"/>
          <c:showCatName val="0"/>
          <c:showSerName val="0"/>
          <c:showPercent val="0"/>
          <c:showBubbleSize val="0"/>
        </c:dLbls>
        <c:gapWidth val="150"/>
        <c:axId val="145967360"/>
        <c:axId val="147392000"/>
      </c:barChart>
      <c:catAx>
        <c:axId val="145967360"/>
        <c:scaling>
          <c:orientation val="minMax"/>
        </c:scaling>
        <c:delete val="0"/>
        <c:axPos val="b"/>
        <c:numFmt formatCode="General" sourceLinked="1"/>
        <c:majorTickMark val="none"/>
        <c:minorTickMark val="none"/>
        <c:tickLblPos val="nextTo"/>
        <c:txPr>
          <a:bodyPr/>
          <a:lstStyle/>
          <a:p>
            <a:pPr>
              <a:defRPr sz="1000" b="1" baseline="0">
                <a:solidFill>
                  <a:schemeClr val="tx1"/>
                </a:solidFill>
              </a:defRPr>
            </a:pPr>
            <a:endParaRPr lang="lv-LV"/>
          </a:p>
        </c:txPr>
        <c:crossAx val="147392000"/>
        <c:crosses val="autoZero"/>
        <c:auto val="1"/>
        <c:lblAlgn val="ctr"/>
        <c:lblOffset val="100"/>
        <c:noMultiLvlLbl val="0"/>
      </c:catAx>
      <c:valAx>
        <c:axId val="147392000"/>
        <c:scaling>
          <c:orientation val="minMax"/>
        </c:scaling>
        <c:delete val="1"/>
        <c:axPos val="l"/>
        <c:majorGridlines/>
        <c:numFmt formatCode="General" sourceLinked="1"/>
        <c:majorTickMark val="none"/>
        <c:minorTickMark val="none"/>
        <c:tickLblPos val="nextTo"/>
        <c:crossAx val="145967360"/>
        <c:crosses val="autoZero"/>
        <c:crossBetween val="between"/>
      </c:valAx>
    </c:plotArea>
    <c:legend>
      <c:legendPos val="r"/>
      <c:layout>
        <c:manualLayout>
          <c:xMode val="edge"/>
          <c:yMode val="edge"/>
          <c:x val="0.63168455935974011"/>
          <c:y val="0.12504142193952139"/>
          <c:w val="0.36530097571332304"/>
          <c:h val="0.84728641411680217"/>
        </c:manualLayout>
      </c:layout>
      <c:overlay val="0"/>
      <c:txPr>
        <a:bodyPr/>
        <a:lstStyle/>
        <a:p>
          <a:pPr>
            <a:defRPr sz="1000" b="1" i="0" baseline="0">
              <a:solidFill>
                <a:schemeClr val="tx1"/>
              </a:solidFill>
            </a:defRPr>
          </a:pPr>
          <a:endParaRPr lang="lv-LV"/>
        </a:p>
      </c:txPr>
    </c:legend>
    <c:plotVisOnly val="1"/>
    <c:dispBlanksAs val="gap"/>
    <c:showDLblsOverMax val="0"/>
  </c:chart>
  <c:spPr>
    <a:solidFill>
      <a:schemeClr val="accent2">
        <a:lumMod val="20000"/>
        <a:lumOff val="80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Prokuroru uzraudzībā pieņemti kriminālprocesi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2222873370336904"/>
          <c:y val="2.3077785648450769E-3"/>
        </c:manualLayout>
      </c:layout>
      <c:overlay val="0"/>
    </c:title>
    <c:autoTitleDeleted val="0"/>
    <c:plotArea>
      <c:layout/>
      <c:lineChart>
        <c:grouping val="standard"/>
        <c:varyColors val="0"/>
        <c:ser>
          <c:idx val="1"/>
          <c:order val="0"/>
          <c:tx>
            <c:strRef>
              <c:f>I_tiesas_apgabala_prok!$S$5:$S$7</c:f>
              <c:strCache>
                <c:ptCount val="3"/>
                <c:pt idx="0">
                  <c:v>2018</c:v>
                </c:pt>
                <c:pt idx="1">
                  <c:v>2019</c:v>
                </c:pt>
                <c:pt idx="2">
                  <c:v>2020</c:v>
                </c:pt>
              </c:strCache>
            </c:strRef>
          </c:tx>
          <c:marker>
            <c:symbol val="none"/>
          </c:marker>
          <c:dLbls>
            <c:dLbl>
              <c:idx val="0"/>
              <c:layout>
                <c:manualLayout>
                  <c:x val="-4.7493403693931395E-2"/>
                  <c:y val="-8.2026537997587454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6288478452066845E-2"/>
                      <c:h val="0.20024125452352232"/>
                    </c:manualLayout>
                  </c15:layout>
                </c:ext>
                <c:ext xmlns:c16="http://schemas.microsoft.com/office/drawing/2014/chart" uri="{C3380CC4-5D6E-409C-BE32-E72D297353CC}">
                  <c16:uniqueId val="{00000000-E086-463C-8703-4ED2A478B960}"/>
                </c:ext>
              </c:extLst>
            </c:dLbl>
            <c:dLbl>
              <c:idx val="1"/>
              <c:layout>
                <c:manualLayout>
                  <c:x val="-4.7493403693931464E-2"/>
                  <c:y val="-6.7551266586248493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6288478452066845E-2"/>
                      <c:h val="0.13268998793727382"/>
                    </c:manualLayout>
                  </c15:layout>
                </c:ext>
                <c:ext xmlns:c16="http://schemas.microsoft.com/office/drawing/2014/chart" uri="{C3380CC4-5D6E-409C-BE32-E72D297353CC}">
                  <c16:uniqueId val="{00000001-E086-463C-8703-4ED2A478B960}"/>
                </c:ext>
              </c:extLst>
            </c:dLbl>
            <c:dLbl>
              <c:idx val="2"/>
              <c:layout>
                <c:manualLayout>
                  <c:x val="-5.6288478452066845E-2"/>
                  <c:y val="-6.27261761158021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086-463C-8703-4ED2A478B960}"/>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I_tiesas_apgabala_prok!$T$5:$T$7</c:f>
              <c:numCache>
                <c:formatCode>General</c:formatCode>
                <c:ptCount val="3"/>
                <c:pt idx="0">
                  <c:v>46</c:v>
                </c:pt>
                <c:pt idx="1">
                  <c:v>59</c:v>
                </c:pt>
                <c:pt idx="2">
                  <c:v>101</c:v>
                </c:pt>
              </c:numCache>
            </c:numRef>
          </c:val>
          <c:smooth val="0"/>
          <c:extLst>
            <c:ext xmlns:c16="http://schemas.microsoft.com/office/drawing/2014/chart" uri="{C3380CC4-5D6E-409C-BE32-E72D297353CC}">
              <c16:uniqueId val="{00000003-E086-463C-8703-4ED2A478B960}"/>
            </c:ext>
          </c:extLst>
        </c:ser>
        <c:dLbls>
          <c:showLegendKey val="0"/>
          <c:showVal val="0"/>
          <c:showCatName val="0"/>
          <c:showSerName val="0"/>
          <c:showPercent val="0"/>
          <c:showBubbleSize val="0"/>
        </c:dLbls>
        <c:smooth val="0"/>
        <c:axId val="290766208"/>
        <c:axId val="291205888"/>
      </c:lineChart>
      <c:catAx>
        <c:axId val="29076620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1205888"/>
        <c:crosses val="autoZero"/>
        <c:auto val="1"/>
        <c:lblAlgn val="ctr"/>
        <c:lblOffset val="100"/>
        <c:noMultiLvlLbl val="0"/>
      </c:catAx>
      <c:valAx>
        <c:axId val="291205888"/>
        <c:scaling>
          <c:orientation val="minMax"/>
        </c:scaling>
        <c:delete val="1"/>
        <c:axPos val="l"/>
        <c:majorGridlines/>
        <c:numFmt formatCode="General" sourceLinked="1"/>
        <c:majorTickMark val="none"/>
        <c:minorTickMark val="none"/>
        <c:tickLblPos val="nextTo"/>
        <c:crossAx val="29076620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Prokuroru dotie norādījumi</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5392735585471171"/>
          <c:y val="7.2317859464060788E-2"/>
        </c:manualLayout>
      </c:layout>
      <c:overlay val="0"/>
    </c:title>
    <c:autoTitleDeleted val="0"/>
    <c:plotArea>
      <c:layout>
        <c:manualLayout>
          <c:layoutTarget val="inner"/>
          <c:xMode val="edge"/>
          <c:yMode val="edge"/>
          <c:x val="3.0476190476190476E-2"/>
          <c:y val="0.25900383141762451"/>
          <c:w val="0.94412698412698415"/>
          <c:h val="0.5527450448004344"/>
        </c:manualLayout>
      </c:layout>
      <c:lineChart>
        <c:grouping val="standard"/>
        <c:varyColors val="0"/>
        <c:ser>
          <c:idx val="1"/>
          <c:order val="0"/>
          <c:tx>
            <c:strRef>
              <c:f>I_tiesas_apgabala_prok!$V$6:$V$8</c:f>
              <c:strCache>
                <c:ptCount val="3"/>
                <c:pt idx="0">
                  <c:v>2018</c:v>
                </c:pt>
                <c:pt idx="1">
                  <c:v>2019</c:v>
                </c:pt>
                <c:pt idx="2">
                  <c:v>2020</c:v>
                </c:pt>
              </c:strCache>
            </c:strRef>
          </c:tx>
          <c:marker>
            <c:symbol val="none"/>
          </c:marker>
          <c:dLbls>
            <c:dLbl>
              <c:idx val="0"/>
              <c:layout>
                <c:manualLayout>
                  <c:x val="-5.4721620287927222E-2"/>
                  <c:y val="-7.7344805967917263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9708425411401228E-2"/>
                      <c:h val="0.21287738046622914"/>
                    </c:manualLayout>
                  </c15:layout>
                </c:ext>
                <c:ext xmlns:c16="http://schemas.microsoft.com/office/drawing/2014/chart" uri="{C3380CC4-5D6E-409C-BE32-E72D297353CC}">
                  <c16:uniqueId val="{00000000-06A6-4952-89FF-4444A6438821}"/>
                </c:ext>
              </c:extLst>
            </c:dLbl>
            <c:dLbl>
              <c:idx val="1"/>
              <c:layout>
                <c:manualLayout>
                  <c:x val="-4.2275097084254115E-2"/>
                  <c:y val="-7.5125242288468508E-2"/>
                </c:manualLayout>
              </c:layout>
              <c:tx>
                <c:rich>
                  <a:bodyPr/>
                  <a:lstStyle/>
                  <a:p>
                    <a:fld id="{FD2B82BD-49E1-4F6E-983B-18EDB754AF1B}" type="VALUE">
                      <a:rPr lang="en-US"/>
                      <a:pPr/>
                      <a:t>[VALUE]</a:t>
                    </a:fld>
                    <a:endParaRPr lang="lv-LV"/>
                  </a:p>
                </c:rich>
              </c:tx>
              <c:dLblPos val="r"/>
              <c:showLegendKey val="0"/>
              <c:showVal val="1"/>
              <c:showCatName val="0"/>
              <c:showSerName val="0"/>
              <c:showPercent val="0"/>
              <c:showBubbleSize val="0"/>
              <c:extLst>
                <c:ext xmlns:c15="http://schemas.microsoft.com/office/drawing/2012/chart" uri="{CE6537A1-D6FC-4f65-9D91-7224C49458BB}">
                  <c15:layout>
                    <c:manualLayout>
                      <c:w val="5.6983629771074254E-2"/>
                      <c:h val="0.19790984855892282"/>
                    </c:manualLayout>
                  </c15:layout>
                  <c15:dlblFieldTable/>
                  <c15:showDataLabelsRange val="0"/>
                </c:ext>
                <c:ext xmlns:c16="http://schemas.microsoft.com/office/drawing/2014/chart" uri="{C3380CC4-5D6E-409C-BE32-E72D297353CC}">
                  <c16:uniqueId val="{00000001-06A6-4952-89FF-4444A6438821}"/>
                </c:ext>
              </c:extLst>
            </c:dLbl>
            <c:dLbl>
              <c:idx val="2"/>
              <c:layout>
                <c:manualLayout>
                  <c:x val="-3.4285714285714287E-2"/>
                  <c:y val="-8.42911877394636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A6-4952-89FF-4444A6438821}"/>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I_tiesas_apgabala_prok!$W$6:$W$8</c:f>
              <c:numCache>
                <c:formatCode>General</c:formatCode>
                <c:ptCount val="3"/>
                <c:pt idx="0">
                  <c:v>80</c:v>
                </c:pt>
                <c:pt idx="1">
                  <c:v>38</c:v>
                </c:pt>
                <c:pt idx="2">
                  <c:v>73</c:v>
                </c:pt>
              </c:numCache>
            </c:numRef>
          </c:val>
          <c:smooth val="0"/>
          <c:extLst>
            <c:ext xmlns:c16="http://schemas.microsoft.com/office/drawing/2014/chart" uri="{C3380CC4-5D6E-409C-BE32-E72D297353CC}">
              <c16:uniqueId val="{00000003-06A6-4952-89FF-4444A6438821}"/>
            </c:ext>
          </c:extLst>
        </c:ser>
        <c:dLbls>
          <c:showLegendKey val="0"/>
          <c:showVal val="0"/>
          <c:showCatName val="0"/>
          <c:showSerName val="0"/>
          <c:showPercent val="0"/>
          <c:showBubbleSize val="0"/>
        </c:dLbls>
        <c:smooth val="0"/>
        <c:axId val="291300864"/>
        <c:axId val="291444608"/>
      </c:lineChart>
      <c:catAx>
        <c:axId val="29130086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1444608"/>
        <c:crosses val="autoZero"/>
        <c:auto val="1"/>
        <c:lblAlgn val="ctr"/>
        <c:lblOffset val="100"/>
        <c:noMultiLvlLbl val="0"/>
      </c:catAx>
      <c:valAx>
        <c:axId val="291444608"/>
        <c:scaling>
          <c:orientation val="minMax"/>
        </c:scaling>
        <c:delete val="1"/>
        <c:axPos val="l"/>
        <c:majorGridlines/>
        <c:numFmt formatCode="General" sourceLinked="1"/>
        <c:majorTickMark val="none"/>
        <c:minorTickMark val="none"/>
        <c:tickLblPos val="nextTo"/>
        <c:crossAx val="2913008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600"/>
            </a:pPr>
            <a:r>
              <a:rPr lang="lv-LV" sz="1200" b="1" i="0" baseline="0">
                <a:solidFill>
                  <a:schemeClr val="tx1"/>
                </a:solidFill>
                <a:effectLst/>
                <a:latin typeface="Times New Roman" panose="02020603050405020304" pitchFamily="18" charset="0"/>
                <a:cs typeface="Times New Roman" panose="02020603050405020304" pitchFamily="18" charset="0"/>
              </a:rPr>
              <a:t>Valsts apsūdzības uzturēšana pirmās instances tiesā (izskatītas krimināllietas), no tām ar pierādījumu pārbaudi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233049367122625"/>
          <c:y val="2.7613412228796843E-2"/>
        </c:manualLayout>
      </c:layout>
      <c:overlay val="0"/>
    </c:title>
    <c:autoTitleDeleted val="0"/>
    <c:plotArea>
      <c:layout>
        <c:manualLayout>
          <c:layoutTarget val="inner"/>
          <c:xMode val="edge"/>
          <c:yMode val="edge"/>
          <c:x val="2.1940884024455324E-2"/>
          <c:y val="0.3293009287300625"/>
          <c:w val="0.96286919831223627"/>
          <c:h val="0.51065818695739951"/>
        </c:manualLayout>
      </c:layout>
      <c:barChart>
        <c:barDir val="col"/>
        <c:grouping val="clustered"/>
        <c:varyColors val="0"/>
        <c:ser>
          <c:idx val="1"/>
          <c:order val="0"/>
          <c:tx>
            <c:strRef>
              <c:f>I_tiesas_apgabala_prok!$Y$6:$Y$8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I_tiesas_apgabala_prok!$Z$6:$Z$8</c:f>
              <c:numCache>
                <c:formatCode>General</c:formatCode>
                <c:ptCount val="3"/>
                <c:pt idx="0">
                  <c:v>29</c:v>
                </c:pt>
                <c:pt idx="1">
                  <c:v>36</c:v>
                </c:pt>
                <c:pt idx="2">
                  <c:v>32</c:v>
                </c:pt>
              </c:numCache>
            </c:numRef>
          </c:val>
          <c:extLst>
            <c:ext xmlns:c16="http://schemas.microsoft.com/office/drawing/2014/chart" uri="{C3380CC4-5D6E-409C-BE32-E72D297353CC}">
              <c16:uniqueId val="{00000000-27DF-428F-ADD1-51AC6CE50705}"/>
            </c:ext>
          </c:extLst>
        </c:ser>
        <c:ser>
          <c:idx val="0"/>
          <c:order val="1"/>
          <c:tx>
            <c:strRef>
              <c:f>I_tiesas_apgabala_prok!$Y$6:$Y$8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I_tiesas_apgabala_prok!$AA$6:$AA$8</c:f>
              <c:numCache>
                <c:formatCode>General</c:formatCode>
                <c:ptCount val="3"/>
                <c:pt idx="0">
                  <c:v>21</c:v>
                </c:pt>
                <c:pt idx="1">
                  <c:v>29</c:v>
                </c:pt>
                <c:pt idx="2">
                  <c:v>26</c:v>
                </c:pt>
              </c:numCache>
            </c:numRef>
          </c:val>
          <c:extLst>
            <c:ext xmlns:c16="http://schemas.microsoft.com/office/drawing/2014/chart" uri="{C3380CC4-5D6E-409C-BE32-E72D297353CC}">
              <c16:uniqueId val="{00000001-27DF-428F-ADD1-51AC6CE50705}"/>
            </c:ext>
          </c:extLst>
        </c:ser>
        <c:dLbls>
          <c:showLegendKey val="0"/>
          <c:showVal val="0"/>
          <c:showCatName val="0"/>
          <c:showSerName val="0"/>
          <c:showPercent val="0"/>
          <c:showBubbleSize val="0"/>
        </c:dLbls>
        <c:gapWidth val="150"/>
        <c:axId val="293905536"/>
        <c:axId val="294287616"/>
      </c:barChart>
      <c:catAx>
        <c:axId val="293905536"/>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4287616"/>
        <c:crosses val="autoZero"/>
        <c:auto val="1"/>
        <c:lblAlgn val="ctr"/>
        <c:lblOffset val="100"/>
        <c:noMultiLvlLbl val="0"/>
      </c:catAx>
      <c:valAx>
        <c:axId val="294287616"/>
        <c:scaling>
          <c:orientation val="minMax"/>
        </c:scaling>
        <c:delete val="1"/>
        <c:axPos val="l"/>
        <c:majorGridlines/>
        <c:numFmt formatCode="General" sourceLinked="1"/>
        <c:majorTickMark val="none"/>
        <c:minorTickMark val="none"/>
        <c:tickLblPos val="nextTo"/>
        <c:crossAx val="293905536"/>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1" baseline="0">
                <a:solidFill>
                  <a:schemeClr val="tx1"/>
                </a:solidFill>
              </a:rPr>
              <a:t>Nodotas krimināllietas tiesām</a:t>
            </a:r>
          </a:p>
          <a:p>
            <a:pPr algn="ctr">
              <a:defRPr sz="1400"/>
            </a:pPr>
            <a:r>
              <a:rPr lang="lv-LV" sz="1200" b="1" baseline="0">
                <a:solidFill>
                  <a:schemeClr val="tx1"/>
                </a:solidFill>
              </a:rPr>
              <a:t>2019. gadā</a:t>
            </a:r>
            <a:endParaRPr lang="lv-LV" sz="1200" b="1">
              <a:solidFill>
                <a:schemeClr val="tx1"/>
              </a:solidFill>
            </a:endParaRPr>
          </a:p>
        </c:rich>
      </c:tx>
      <c:layout>
        <c:manualLayout>
          <c:xMode val="edge"/>
          <c:yMode val="edge"/>
          <c:x val="0.13080982104930547"/>
          <c:y val="2.145539066690506E-2"/>
        </c:manualLayout>
      </c:layout>
      <c:overlay val="0"/>
      <c:spPr>
        <a:noFill/>
        <a:ln>
          <a:noFill/>
        </a:ln>
        <a:effectLst/>
      </c:spPr>
      <c:txPr>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doughnutChart>
        <c:varyColors val="1"/>
        <c:ser>
          <c:idx val="0"/>
          <c:order val="0"/>
          <c:dPt>
            <c:idx val="0"/>
            <c:bubble3D val="0"/>
            <c:spPr>
              <a:solidFill>
                <a:schemeClr val="accent1"/>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AAD5-4D4E-84F9-1DBAF571470F}"/>
              </c:ext>
            </c:extLst>
          </c:dPt>
          <c:dPt>
            <c:idx val="1"/>
            <c:bubble3D val="0"/>
            <c:spPr>
              <a:solidFill>
                <a:schemeClr val="accent2"/>
              </a:solidFill>
              <a:ln w="6350" cap="flat" cmpd="sng" algn="ctr">
                <a:solidFill>
                  <a:schemeClr val="accent2">
                    <a:shade val="50000"/>
                  </a:schemeClr>
                </a:solidFill>
                <a:prstDash val="solid"/>
                <a:round/>
              </a:ln>
              <a:effectLst/>
            </c:spPr>
            <c:extLst>
              <c:ext xmlns:c16="http://schemas.microsoft.com/office/drawing/2014/chart" uri="{C3380CC4-5D6E-409C-BE32-E72D297353CC}">
                <c16:uniqueId val="{00000003-AAD5-4D4E-84F9-1DBAF571470F}"/>
              </c:ext>
            </c:extLst>
          </c:dPt>
          <c:dPt>
            <c:idx val="2"/>
            <c:bubble3D val="0"/>
            <c:spPr>
              <a:solidFill>
                <a:schemeClr val="accent3"/>
              </a:solidFill>
              <a:ln w="6350" cap="flat" cmpd="sng" algn="ctr">
                <a:solidFill>
                  <a:schemeClr val="accent3">
                    <a:shade val="50000"/>
                  </a:schemeClr>
                </a:solidFill>
                <a:prstDash val="solid"/>
                <a:round/>
              </a:ln>
              <a:effectLst/>
            </c:spPr>
            <c:extLst>
              <c:ext xmlns:c16="http://schemas.microsoft.com/office/drawing/2014/chart" uri="{C3380CC4-5D6E-409C-BE32-E72D297353CC}">
                <c16:uniqueId val="{00000005-AAD5-4D4E-84F9-1DBAF571470F}"/>
              </c:ext>
            </c:extLst>
          </c:dPt>
          <c:dPt>
            <c:idx val="3"/>
            <c:bubble3D val="0"/>
            <c:spPr>
              <a:solidFill>
                <a:schemeClr val="accent4"/>
              </a:solidFill>
              <a:ln w="6350" cap="flat" cmpd="sng" algn="ctr">
                <a:solidFill>
                  <a:schemeClr val="accent4">
                    <a:shade val="50000"/>
                  </a:schemeClr>
                </a:solidFill>
                <a:prstDash val="solid"/>
                <a:round/>
              </a:ln>
              <a:effectLst/>
            </c:spPr>
            <c:extLst>
              <c:ext xmlns:c16="http://schemas.microsoft.com/office/drawing/2014/chart" uri="{C3380CC4-5D6E-409C-BE32-E72D297353CC}">
                <c16:uniqueId val="{00000007-AAD5-4D4E-84F9-1DBAF571470F}"/>
              </c:ext>
            </c:extLst>
          </c:dPt>
          <c:dLbls>
            <c:dLbl>
              <c:idx val="2"/>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5496815286624205"/>
                      <c:h val="0.18831877729257643"/>
                    </c:manualLayout>
                  </c15:layout>
                </c:ext>
                <c:ext xmlns:c16="http://schemas.microsoft.com/office/drawing/2014/chart" uri="{C3380CC4-5D6E-409C-BE32-E72D297353CC}">
                  <c16:uniqueId val="{00000005-AAD5-4D4E-84F9-1DBAF571470F}"/>
                </c:ext>
              </c:extLst>
            </c:dLbl>
            <c:dLbl>
              <c:idx val="3"/>
              <c:layout>
                <c:manualLayout>
                  <c:x val="0"/>
                  <c:y val="-9.84251968503930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AD5-4D4E-84F9-1DBAF571470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6350" cap="flat" cmpd="sng" algn="ctr">
                  <a:solidFill>
                    <a:schemeClr val="dk1"/>
                  </a:solidFill>
                  <a:prstDash val="solid"/>
                  <a:round/>
                </a:ln>
                <a:effectLst/>
              </c:spPr>
            </c:leaderLines>
            <c:extLst>
              <c:ext xmlns:c15="http://schemas.microsoft.com/office/drawing/2012/chart" uri="{CE6537A1-D6FC-4f65-9D91-7224C49458BB}"/>
            </c:extLst>
          </c:dLbls>
          <c:cat>
            <c:strRef>
              <c:f>I_tiesas_apgabala_prok!$AR$6:$AR$9</c:f>
              <c:strCache>
                <c:ptCount val="4"/>
                <c:pt idx="0">
                  <c:v>Vispārējā kārtībā</c:v>
                </c:pt>
                <c:pt idx="1">
                  <c:v>Paātrinātā kārtībā</c:v>
                </c:pt>
                <c:pt idx="2">
                  <c:v>Slēdzot vienošanos</c:v>
                </c:pt>
                <c:pt idx="3">
                  <c:v>Medicīniska rakstura piespiedu līdzekļa piemērošana</c:v>
                </c:pt>
              </c:strCache>
            </c:strRef>
          </c:cat>
          <c:val>
            <c:numRef>
              <c:f>I_tiesas_apgabala_prok!$AS$6:$AS$9</c:f>
              <c:numCache>
                <c:formatCode>General</c:formatCode>
                <c:ptCount val="4"/>
                <c:pt idx="0">
                  <c:v>5759</c:v>
                </c:pt>
                <c:pt idx="1">
                  <c:v>1346</c:v>
                </c:pt>
                <c:pt idx="2">
                  <c:v>1414</c:v>
                </c:pt>
                <c:pt idx="3">
                  <c:v>74</c:v>
                </c:pt>
              </c:numCache>
            </c:numRef>
          </c:val>
          <c:extLst>
            <c:ext xmlns:c16="http://schemas.microsoft.com/office/drawing/2014/chart" uri="{C3380CC4-5D6E-409C-BE32-E72D297353CC}">
              <c16:uniqueId val="{00000008-AAD5-4D4E-84F9-1DBAF571470F}"/>
            </c:ext>
          </c:extLst>
        </c:ser>
        <c:dLbls>
          <c:showLegendKey val="0"/>
          <c:showVal val="0"/>
          <c:showCatName val="0"/>
          <c:showSerName val="0"/>
          <c:showPercent val="1"/>
          <c:showBubbleSize val="0"/>
          <c:showLeaderLines val="1"/>
        </c:dLbls>
        <c:firstSliceAng val="0"/>
        <c:holeSize val="52"/>
      </c:doughnutChart>
      <c:spPr>
        <a:noFill/>
        <a:ln>
          <a:noFill/>
        </a:ln>
        <a:effectLst/>
      </c:spPr>
    </c:plotArea>
    <c:legend>
      <c:legendPos val="r"/>
      <c:layout>
        <c:manualLayout>
          <c:xMode val="edge"/>
          <c:yMode val="edge"/>
          <c:x val="0.68556507303351344"/>
          <c:y val="0.13935459506410622"/>
          <c:w val="0.3064487696391871"/>
          <c:h val="0.7727789422005703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400"/>
            </a:pPr>
            <a:r>
              <a:rPr lang="lv-LV" sz="1200" b="1" i="0" baseline="0">
                <a:solidFill>
                  <a:schemeClr val="tx1"/>
                </a:solidFill>
                <a:effectLst/>
                <a:latin typeface="Times New Roman" panose="02020603050405020304" pitchFamily="18" charset="0"/>
              </a:rPr>
              <a:t>Valsts apsūdzības uzturēšana apelācijas instances tiesā (izskatītas kriminnāllietas), no tām mutvārdu/rakstveida procesā</a:t>
            </a:r>
            <a:endParaRPr lang="lv-LV" sz="1200" baseline="0">
              <a:solidFill>
                <a:schemeClr val="tx1"/>
              </a:solidFill>
              <a:effectLst/>
              <a:latin typeface="Times New Roman" panose="02020603050405020304" pitchFamily="18" charset="0"/>
            </a:endParaRPr>
          </a:p>
        </c:rich>
      </c:tx>
      <c:layout>
        <c:manualLayout>
          <c:xMode val="edge"/>
          <c:yMode val="edge"/>
          <c:x val="0.11971584305663005"/>
          <c:y val="2.7613358674993212E-2"/>
        </c:manualLayout>
      </c:layout>
      <c:overlay val="0"/>
    </c:title>
    <c:autoTitleDeleted val="0"/>
    <c:plotArea>
      <c:layout>
        <c:manualLayout>
          <c:layoutTarget val="inner"/>
          <c:xMode val="edge"/>
          <c:yMode val="edge"/>
          <c:x val="3.5313001605136438E-2"/>
          <c:y val="0.33269841269841272"/>
          <c:w val="0.9293739967897271"/>
          <c:h val="0.5179997500312461"/>
        </c:manualLayout>
      </c:layout>
      <c:barChart>
        <c:barDir val="col"/>
        <c:grouping val="clustered"/>
        <c:varyColors val="0"/>
        <c:ser>
          <c:idx val="1"/>
          <c:order val="0"/>
          <c:tx>
            <c:strRef>
              <c:f>I_tiesas_apgabala_prok!$AC$6:$AC$8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I_tiesas_apgabala_prok!$AD$6:$AD$8</c:f>
              <c:numCache>
                <c:formatCode>General</c:formatCode>
                <c:ptCount val="3"/>
                <c:pt idx="0">
                  <c:v>59</c:v>
                </c:pt>
                <c:pt idx="1">
                  <c:v>55</c:v>
                </c:pt>
                <c:pt idx="2">
                  <c:v>46</c:v>
                </c:pt>
              </c:numCache>
            </c:numRef>
          </c:val>
          <c:extLst>
            <c:ext xmlns:c16="http://schemas.microsoft.com/office/drawing/2014/chart" uri="{C3380CC4-5D6E-409C-BE32-E72D297353CC}">
              <c16:uniqueId val="{00000000-CB97-4AED-B540-29A8DFA39DAB}"/>
            </c:ext>
          </c:extLst>
        </c:ser>
        <c:ser>
          <c:idx val="0"/>
          <c:order val="1"/>
          <c:tx>
            <c:strRef>
              <c:f>I_tiesas_apgabala_prok!$AC$6:$AC$8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I_tiesas_apgabala_prok!$AE$6:$AE$8</c:f>
              <c:numCache>
                <c:formatCode>General</c:formatCode>
                <c:ptCount val="3"/>
                <c:pt idx="0">
                  <c:v>15</c:v>
                </c:pt>
                <c:pt idx="1">
                  <c:v>27</c:v>
                </c:pt>
                <c:pt idx="2">
                  <c:v>46</c:v>
                </c:pt>
              </c:numCache>
            </c:numRef>
          </c:val>
          <c:extLst>
            <c:ext xmlns:c16="http://schemas.microsoft.com/office/drawing/2014/chart" uri="{C3380CC4-5D6E-409C-BE32-E72D297353CC}">
              <c16:uniqueId val="{00000001-CB97-4AED-B540-29A8DFA39DAB}"/>
            </c:ext>
          </c:extLst>
        </c:ser>
        <c:dLbls>
          <c:showLegendKey val="0"/>
          <c:showVal val="0"/>
          <c:showCatName val="0"/>
          <c:showSerName val="0"/>
          <c:showPercent val="0"/>
          <c:showBubbleSize val="0"/>
        </c:dLbls>
        <c:gapWidth val="150"/>
        <c:axId val="305371392"/>
        <c:axId val="307386624"/>
      </c:barChart>
      <c:catAx>
        <c:axId val="3053713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307386624"/>
        <c:crosses val="autoZero"/>
        <c:auto val="1"/>
        <c:lblAlgn val="ctr"/>
        <c:lblOffset val="100"/>
        <c:noMultiLvlLbl val="0"/>
      </c:catAx>
      <c:valAx>
        <c:axId val="307386624"/>
        <c:scaling>
          <c:orientation val="minMax"/>
        </c:scaling>
        <c:delete val="1"/>
        <c:axPos val="l"/>
        <c:majorGridlines/>
        <c:numFmt formatCode="General" sourceLinked="1"/>
        <c:majorTickMark val="none"/>
        <c:minorTickMark val="none"/>
        <c:tickLblPos val="nextTo"/>
        <c:crossAx val="3053713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Iesniegti protesti, no tiem apmierināti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719740539442661"/>
          <c:y val="4.8555605941927413E-2"/>
        </c:manualLayout>
      </c:layout>
      <c:overlay val="0"/>
    </c:title>
    <c:autoTitleDeleted val="0"/>
    <c:plotArea>
      <c:layout/>
      <c:barChart>
        <c:barDir val="col"/>
        <c:grouping val="clustered"/>
        <c:varyColors val="0"/>
        <c:ser>
          <c:idx val="1"/>
          <c:order val="0"/>
          <c:tx>
            <c:strRef>
              <c:f>I_tiesas_apgabala_prok!$AG$6:$AG$8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I_tiesas_apgabala_prok!$AH$6:$AH$8</c:f>
              <c:numCache>
                <c:formatCode>General</c:formatCode>
                <c:ptCount val="3"/>
                <c:pt idx="0">
                  <c:v>14</c:v>
                </c:pt>
                <c:pt idx="1">
                  <c:v>19</c:v>
                </c:pt>
                <c:pt idx="2">
                  <c:v>25</c:v>
                </c:pt>
              </c:numCache>
            </c:numRef>
          </c:val>
          <c:extLst>
            <c:ext xmlns:c16="http://schemas.microsoft.com/office/drawing/2014/chart" uri="{C3380CC4-5D6E-409C-BE32-E72D297353CC}">
              <c16:uniqueId val="{00000000-DFC5-4E22-AB59-22340FCDA1DC}"/>
            </c:ext>
          </c:extLst>
        </c:ser>
        <c:ser>
          <c:idx val="0"/>
          <c:order val="1"/>
          <c:tx>
            <c:strRef>
              <c:f>I_tiesas_apgabala_prok!$AG$6:$AG$8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2.7883081275414771E-17"/>
                  <c:y val="0.1009286666391831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C5-4E22-AB59-22340FCDA1DC}"/>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I_tiesas_apgabala_prok!$AI$6:$AI$8</c:f>
              <c:numCache>
                <c:formatCode>General</c:formatCode>
                <c:ptCount val="3"/>
                <c:pt idx="0">
                  <c:v>4</c:v>
                </c:pt>
                <c:pt idx="1">
                  <c:v>9</c:v>
                </c:pt>
                <c:pt idx="2">
                  <c:v>14</c:v>
                </c:pt>
              </c:numCache>
            </c:numRef>
          </c:val>
          <c:extLst>
            <c:ext xmlns:c16="http://schemas.microsoft.com/office/drawing/2014/chart" uri="{C3380CC4-5D6E-409C-BE32-E72D297353CC}">
              <c16:uniqueId val="{00000002-DFC5-4E22-AB59-22340FCDA1DC}"/>
            </c:ext>
          </c:extLst>
        </c:ser>
        <c:dLbls>
          <c:showLegendKey val="0"/>
          <c:showVal val="0"/>
          <c:showCatName val="0"/>
          <c:showSerName val="0"/>
          <c:showPercent val="0"/>
          <c:showBubbleSize val="0"/>
        </c:dLbls>
        <c:gapWidth val="150"/>
        <c:axId val="308870144"/>
        <c:axId val="308871936"/>
      </c:barChart>
      <c:catAx>
        <c:axId val="30887014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308871936"/>
        <c:crosses val="autoZero"/>
        <c:auto val="1"/>
        <c:lblAlgn val="ctr"/>
        <c:lblOffset val="100"/>
        <c:noMultiLvlLbl val="0"/>
      </c:catAx>
      <c:valAx>
        <c:axId val="308871936"/>
        <c:scaling>
          <c:orientation val="minMax"/>
        </c:scaling>
        <c:delete val="1"/>
        <c:axPos val="l"/>
        <c:majorGridlines/>
        <c:numFmt formatCode="General" sourceLinked="1"/>
        <c:majorTickMark val="none"/>
        <c:minorTickMark val="none"/>
        <c:tickLblPos val="nextTo"/>
        <c:crossAx val="30887014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a:pPr>
            <a:r>
              <a:rPr lang="lv-LV" sz="1200" b="1" i="0" baseline="0">
                <a:solidFill>
                  <a:schemeClr val="tx1"/>
                </a:solidFill>
                <a:effectLst/>
                <a:latin typeface="Times New Roman" panose="02020603050405020304" pitchFamily="18" charset="0"/>
                <a:cs typeface="Times New Roman" panose="02020603050405020304" pitchFamily="18" charset="0"/>
              </a:rPr>
              <a:t>Tiesā attaisnoto apsūdzēto skaits</a:t>
            </a:r>
            <a:r>
              <a:rPr lang="lv-LV" sz="1200" b="1" i="0" baseline="0">
                <a:solidFill>
                  <a:schemeClr val="tx2"/>
                </a:solidFill>
                <a:effectLst/>
              </a:rPr>
              <a:t> </a:t>
            </a:r>
            <a:endParaRPr lang="lv-LV" sz="1200">
              <a:solidFill>
                <a:schemeClr val="tx2"/>
              </a:solidFill>
              <a:effectLst/>
            </a:endParaRPr>
          </a:p>
        </c:rich>
      </c:tx>
      <c:layout>
        <c:manualLayout>
          <c:xMode val="edge"/>
          <c:yMode val="edge"/>
          <c:x val="0.21815533858267719"/>
          <c:y val="6.170461353112703E-2"/>
        </c:manualLayout>
      </c:layout>
      <c:overlay val="0"/>
    </c:title>
    <c:autoTitleDeleted val="0"/>
    <c:plotArea>
      <c:layout>
        <c:manualLayout>
          <c:layoutTarget val="inner"/>
          <c:xMode val="edge"/>
          <c:yMode val="edge"/>
          <c:x val="3.0555555555555555E-2"/>
          <c:y val="0.2779246225999808"/>
          <c:w val="0.93888888888888888"/>
          <c:h val="0.50112301536078485"/>
        </c:manualLayout>
      </c:layout>
      <c:lineChart>
        <c:grouping val="standard"/>
        <c:varyColors val="0"/>
        <c:ser>
          <c:idx val="1"/>
          <c:order val="0"/>
          <c:tx>
            <c:strRef>
              <c:f>I_tiesas_apgabala_prok!$AK$6:$AK$8</c:f>
              <c:strCache>
                <c:ptCount val="3"/>
                <c:pt idx="0">
                  <c:v>2018</c:v>
                </c:pt>
                <c:pt idx="1">
                  <c:v>2019</c:v>
                </c:pt>
                <c:pt idx="2">
                  <c:v>2020</c:v>
                </c:pt>
              </c:strCache>
            </c:strRef>
          </c:tx>
          <c:marker>
            <c:symbol val="none"/>
          </c:marker>
          <c:dLbls>
            <c:dLbl>
              <c:idx val="0"/>
              <c:layout>
                <c:manualLayout>
                  <c:x val="-3.3461673083654185E-2"/>
                  <c:y val="0.102827832876433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D6-42D3-8026-01FFB121AE47}"/>
                </c:ext>
              </c:extLst>
            </c:dLbl>
            <c:dLbl>
              <c:idx val="1"/>
              <c:layout>
                <c:manualLayout>
                  <c:x val="-3.3461673083654268E-2"/>
                  <c:y val="-8.56898607303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D6-42D3-8026-01FFB121AE47}"/>
                </c:ext>
              </c:extLst>
            </c:dLbl>
            <c:dLbl>
              <c:idx val="2"/>
              <c:layout>
                <c:manualLayout>
                  <c:x val="-2.6647999066619996E-2"/>
                  <c:y val="-8.568986073036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DD6-42D3-8026-01FFB121AE47}"/>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I_tiesas_apgabala_prok!$AL$6:$AL$8</c:f>
              <c:numCache>
                <c:formatCode>General</c:formatCode>
                <c:ptCount val="3"/>
                <c:pt idx="0">
                  <c:v>1</c:v>
                </c:pt>
                <c:pt idx="1">
                  <c:v>0</c:v>
                </c:pt>
                <c:pt idx="2">
                  <c:v>2</c:v>
                </c:pt>
              </c:numCache>
            </c:numRef>
          </c:val>
          <c:smooth val="0"/>
          <c:extLst>
            <c:ext xmlns:c16="http://schemas.microsoft.com/office/drawing/2014/chart" uri="{C3380CC4-5D6E-409C-BE32-E72D297353CC}">
              <c16:uniqueId val="{00000003-4DD6-42D3-8026-01FFB121AE47}"/>
            </c:ext>
          </c:extLst>
        </c:ser>
        <c:dLbls>
          <c:showLegendKey val="0"/>
          <c:showVal val="0"/>
          <c:showCatName val="0"/>
          <c:showSerName val="0"/>
          <c:showPercent val="0"/>
          <c:showBubbleSize val="0"/>
        </c:dLbls>
        <c:smooth val="0"/>
        <c:axId val="291646464"/>
        <c:axId val="292175232"/>
      </c:lineChart>
      <c:catAx>
        <c:axId val="29164646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2175232"/>
        <c:crosses val="autoZero"/>
        <c:auto val="1"/>
        <c:lblAlgn val="ctr"/>
        <c:lblOffset val="100"/>
        <c:noMultiLvlLbl val="0"/>
      </c:catAx>
      <c:valAx>
        <c:axId val="292175232"/>
        <c:scaling>
          <c:orientation val="minMax"/>
        </c:scaling>
        <c:delete val="1"/>
        <c:axPos val="l"/>
        <c:majorGridlines/>
        <c:numFmt formatCode="General" sourceLinked="1"/>
        <c:majorTickMark val="none"/>
        <c:minorTickMark val="none"/>
        <c:tickLblPos val="nextTo"/>
        <c:crossAx val="2916464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Izlemtas sūdzības, no tām apmierinātas</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0144457904300425"/>
          <c:y val="5.7151999109651928E-2"/>
        </c:manualLayout>
      </c:layout>
      <c:overlay val="0"/>
    </c:title>
    <c:autoTitleDeleted val="0"/>
    <c:plotArea>
      <c:layout>
        <c:manualLayout>
          <c:layoutTarget val="inner"/>
          <c:xMode val="edge"/>
          <c:yMode val="edge"/>
          <c:x val="2.9447852760736196E-2"/>
          <c:y val="0.21886792452830187"/>
          <c:w val="0.94601226993865029"/>
          <c:h val="0.63952805427623438"/>
        </c:manualLayout>
      </c:layout>
      <c:barChart>
        <c:barDir val="col"/>
        <c:grouping val="clustered"/>
        <c:varyColors val="0"/>
        <c:ser>
          <c:idx val="1"/>
          <c:order val="0"/>
          <c:tx>
            <c:strRef>
              <c:f>'[Chart in C  Users Prokurors Documents 2020.gada pārskati un ziņojums Salabotie Zemgales TAP.rtf]I_tiesas_apgabala_prok'!$AN$6:$AN$8</c:f>
              <c:strCache>
                <c:ptCount val="3"/>
                <c:pt idx="0">
                  <c:v>2018</c:v>
                </c:pt>
                <c:pt idx="1">
                  <c:v>2019</c:v>
                </c:pt>
                <c:pt idx="2">
                  <c:v>2020</c:v>
                </c:pt>
              </c:strCache>
            </c:strRef>
          </c:tx>
          <c:spPr>
            <a:solidFill>
              <a:schemeClr val="accent5">
                <a:lumMod val="60000"/>
                <a:lumOff val="40000"/>
              </a:schemeClr>
            </a:solidFill>
          </c:spPr>
          <c:invertIfNegative val="0"/>
          <c:dLbls>
            <c:spPr>
              <a:noFill/>
              <a:ln w="25400">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C  Users Prokurors Documents 2020.gada pārskati un ziņojums Salabotie Zemgales TAP.rtf]I_tiesas_apgabala_prok'!$E$5:$E$7</c:f>
              <c:numCache>
                <c:formatCode>General</c:formatCode>
                <c:ptCount val="3"/>
                <c:pt idx="0">
                  <c:v>2018</c:v>
                </c:pt>
                <c:pt idx="1">
                  <c:v>2019</c:v>
                </c:pt>
                <c:pt idx="2">
                  <c:v>2020</c:v>
                </c:pt>
              </c:numCache>
            </c:numRef>
          </c:cat>
          <c:val>
            <c:numRef>
              <c:f>'[Chart in C  Users Prokurors Documents 2020.gada pārskati un ziņojums Salabotie Zemgales TAP.rtf]I_tiesas_apgabala_prok'!$AO$6:$AO$8</c:f>
              <c:numCache>
                <c:formatCode>General</c:formatCode>
                <c:ptCount val="3"/>
                <c:pt idx="0">
                  <c:v>110</c:v>
                </c:pt>
                <c:pt idx="1">
                  <c:v>118</c:v>
                </c:pt>
                <c:pt idx="2">
                  <c:v>119</c:v>
                </c:pt>
              </c:numCache>
            </c:numRef>
          </c:val>
          <c:extLst>
            <c:ext xmlns:c16="http://schemas.microsoft.com/office/drawing/2014/chart" uri="{C3380CC4-5D6E-409C-BE32-E72D297353CC}">
              <c16:uniqueId val="{00000000-9063-40EE-96C9-FB2EC3C8BA09}"/>
            </c:ext>
          </c:extLst>
        </c:ser>
        <c:ser>
          <c:idx val="0"/>
          <c:order val="1"/>
          <c:tx>
            <c:strRef>
              <c:f>'[Chart in C  Users Prokurors Documents 2020.gada pārskati un ziņojums Salabotie Zemgales TAP.rtf]I_tiesas_apgabala_prok'!$AN$6:$AN$8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0"/>
                  <c:y val="1.42341405437527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63-40EE-96C9-FB2EC3C8BA09}"/>
                </c:ext>
              </c:extLst>
            </c:dLbl>
            <c:dLbl>
              <c:idx val="1"/>
              <c:layout>
                <c:manualLayout>
                  <c:x val="0"/>
                  <c:y val="7.0341392838262712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128205128205128E-2"/>
                      <c:h val="0.22968197879858657"/>
                    </c:manualLayout>
                  </c15:layout>
                </c:ext>
                <c:ext xmlns:c16="http://schemas.microsoft.com/office/drawing/2014/chart" uri="{C3380CC4-5D6E-409C-BE32-E72D297353CC}">
                  <c16:uniqueId val="{00000002-9063-40EE-96C9-FB2EC3C8BA09}"/>
                </c:ext>
              </c:extLst>
            </c:dLbl>
            <c:dLbl>
              <c:idx val="2"/>
              <c:layout>
                <c:manualLayout>
                  <c:x val="-1.1752000992018454E-16"/>
                  <c:y val="1.01032247294175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63-40EE-96C9-FB2EC3C8BA09}"/>
                </c:ext>
              </c:extLst>
            </c:dLbl>
            <c:spPr>
              <a:noFill/>
              <a:ln w="25400">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C  Users Prokurors Documents 2020.gada pārskati un ziņojums Salabotie Zemgales TAP.rtf]I_tiesas_apgabala_prok'!$E$5:$E$7</c:f>
              <c:numCache>
                <c:formatCode>General</c:formatCode>
                <c:ptCount val="3"/>
                <c:pt idx="0">
                  <c:v>2018</c:v>
                </c:pt>
                <c:pt idx="1">
                  <c:v>2019</c:v>
                </c:pt>
                <c:pt idx="2">
                  <c:v>2020</c:v>
                </c:pt>
              </c:numCache>
            </c:numRef>
          </c:cat>
          <c:val>
            <c:numRef>
              <c:f>'[Chart in C  Users Prokurors Documents 2020.gada pārskati un ziņojums Salabotie Zemgales TAP.rtf]I_tiesas_apgabala_prok'!$AP$6:$AP$8</c:f>
              <c:numCache>
                <c:formatCode>General</c:formatCode>
                <c:ptCount val="3"/>
                <c:pt idx="0">
                  <c:v>10</c:v>
                </c:pt>
                <c:pt idx="1">
                  <c:v>13</c:v>
                </c:pt>
                <c:pt idx="2">
                  <c:v>9</c:v>
                </c:pt>
              </c:numCache>
            </c:numRef>
          </c:val>
          <c:extLst>
            <c:ext xmlns:c16="http://schemas.microsoft.com/office/drawing/2014/chart" uri="{C3380CC4-5D6E-409C-BE32-E72D297353CC}">
              <c16:uniqueId val="{00000004-9063-40EE-96C9-FB2EC3C8BA09}"/>
            </c:ext>
          </c:extLst>
        </c:ser>
        <c:dLbls>
          <c:showLegendKey val="0"/>
          <c:showVal val="0"/>
          <c:showCatName val="0"/>
          <c:showSerName val="0"/>
          <c:showPercent val="0"/>
          <c:showBubbleSize val="0"/>
        </c:dLbls>
        <c:gapWidth val="150"/>
        <c:axId val="661957040"/>
        <c:axId val="1"/>
      </c:barChart>
      <c:catAx>
        <c:axId val="661957040"/>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661957040"/>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lv-LV" sz="1200">
                <a:solidFill>
                  <a:schemeClr val="tx1"/>
                </a:solidFill>
              </a:rPr>
              <a:t>Kriminālvajāšanai saņemti kriminālprocesi</a:t>
            </a:r>
          </a:p>
        </c:rich>
      </c:tx>
      <c:overlay val="0"/>
    </c:title>
    <c:autoTitleDeleted val="0"/>
    <c:plotArea>
      <c:layout/>
      <c:barChart>
        <c:barDir val="col"/>
        <c:grouping val="clustered"/>
        <c:varyColors val="0"/>
        <c:ser>
          <c:idx val="0"/>
          <c:order val="0"/>
          <c:tx>
            <c:strRef>
              <c:f>II_Rajona_prok!$C$4</c:f>
              <c:strCache>
                <c:ptCount val="1"/>
                <c:pt idx="0">
                  <c:v>2020</c:v>
                </c:pt>
              </c:strCache>
            </c:strRef>
          </c:tx>
          <c:invertIfNegative val="0"/>
          <c:dLbls>
            <c:spPr>
              <a:noFill/>
              <a:ln>
                <a:noFill/>
              </a:ln>
              <a:effectLst/>
            </c:spPr>
            <c:txPr>
              <a:bodyPr wrap="square" lIns="38100" tIns="19050" rIns="38100" bIns="19050" anchor="ctr">
                <a:spAutoFit/>
              </a:bodyPr>
              <a:lstStyle/>
              <a:p>
                <a:pPr>
                  <a:defRPr b="1" i="0"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II_Rajona_prok!$B$5:$B$10</c:f>
              <c:strCache>
                <c:ptCount val="6"/>
                <c:pt idx="0">
                  <c:v>Dobele raj.</c:v>
                </c:pt>
                <c:pt idx="1">
                  <c:v>Tukuma raj.</c:v>
                </c:pt>
                <c:pt idx="2">
                  <c:v>Bauskas raj.</c:v>
                </c:pt>
                <c:pt idx="3">
                  <c:v>Jēkabpils raj.</c:v>
                </c:pt>
                <c:pt idx="4">
                  <c:v>Aizkraukles raj.</c:v>
                </c:pt>
                <c:pt idx="5">
                  <c:v>Jelgavas p.</c:v>
                </c:pt>
              </c:strCache>
            </c:strRef>
          </c:cat>
          <c:val>
            <c:numRef>
              <c:f>II_Rajona_prok!$C$5:$C$10</c:f>
              <c:numCache>
                <c:formatCode>General</c:formatCode>
                <c:ptCount val="6"/>
                <c:pt idx="0">
                  <c:v>300</c:v>
                </c:pt>
                <c:pt idx="1">
                  <c:v>359</c:v>
                </c:pt>
                <c:pt idx="2">
                  <c:v>287</c:v>
                </c:pt>
                <c:pt idx="3">
                  <c:v>382</c:v>
                </c:pt>
                <c:pt idx="4">
                  <c:v>303</c:v>
                </c:pt>
                <c:pt idx="5">
                  <c:v>438</c:v>
                </c:pt>
              </c:numCache>
            </c:numRef>
          </c:val>
          <c:extLst>
            <c:ext xmlns:c16="http://schemas.microsoft.com/office/drawing/2014/chart" uri="{C3380CC4-5D6E-409C-BE32-E72D297353CC}">
              <c16:uniqueId val="{00000000-2438-4DEC-ADC1-E8C65DE97EBF}"/>
            </c:ext>
          </c:extLst>
        </c:ser>
        <c:ser>
          <c:idx val="1"/>
          <c:order val="1"/>
          <c:tx>
            <c:strRef>
              <c:f>II_Rajona_prok!$D$4</c:f>
              <c:strCache>
                <c:ptCount val="1"/>
                <c:pt idx="0">
                  <c:v>2019</c:v>
                </c:pt>
              </c:strCache>
            </c:strRef>
          </c:tx>
          <c:invertIfNegative val="0"/>
          <c:dLbls>
            <c:spPr>
              <a:noFill/>
              <a:ln>
                <a:noFill/>
              </a:ln>
              <a:effectLst/>
            </c:spPr>
            <c:txPr>
              <a:bodyPr wrap="square" lIns="38100" tIns="19050" rIns="38100" bIns="19050" anchor="ctr">
                <a:spAutoFit/>
              </a:bodyPr>
              <a:lstStyle/>
              <a:p>
                <a:pPr>
                  <a:defRPr b="1" i="0"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II_Rajona_prok!$B$5:$B$10</c:f>
              <c:strCache>
                <c:ptCount val="6"/>
                <c:pt idx="0">
                  <c:v>Dobele raj.</c:v>
                </c:pt>
                <c:pt idx="1">
                  <c:v>Tukuma raj.</c:v>
                </c:pt>
                <c:pt idx="2">
                  <c:v>Bauskas raj.</c:v>
                </c:pt>
                <c:pt idx="3">
                  <c:v>Jēkabpils raj.</c:v>
                </c:pt>
                <c:pt idx="4">
                  <c:v>Aizkraukles raj.</c:v>
                </c:pt>
                <c:pt idx="5">
                  <c:v>Jelgavas p.</c:v>
                </c:pt>
              </c:strCache>
            </c:strRef>
          </c:cat>
          <c:val>
            <c:numRef>
              <c:f>II_Rajona_prok!$D$5:$D$10</c:f>
              <c:numCache>
                <c:formatCode>General</c:formatCode>
                <c:ptCount val="6"/>
                <c:pt idx="0">
                  <c:v>302</c:v>
                </c:pt>
                <c:pt idx="1">
                  <c:v>363</c:v>
                </c:pt>
                <c:pt idx="2">
                  <c:v>291</c:v>
                </c:pt>
                <c:pt idx="3">
                  <c:v>424</c:v>
                </c:pt>
                <c:pt idx="4">
                  <c:v>291</c:v>
                </c:pt>
                <c:pt idx="5">
                  <c:v>488</c:v>
                </c:pt>
              </c:numCache>
            </c:numRef>
          </c:val>
          <c:extLst>
            <c:ext xmlns:c16="http://schemas.microsoft.com/office/drawing/2014/chart" uri="{C3380CC4-5D6E-409C-BE32-E72D297353CC}">
              <c16:uniqueId val="{00000001-2438-4DEC-ADC1-E8C65DE97EBF}"/>
            </c:ext>
          </c:extLst>
        </c:ser>
        <c:dLbls>
          <c:showLegendKey val="0"/>
          <c:showVal val="0"/>
          <c:showCatName val="0"/>
          <c:showSerName val="0"/>
          <c:showPercent val="0"/>
          <c:showBubbleSize val="0"/>
        </c:dLbls>
        <c:gapWidth val="150"/>
        <c:axId val="252554240"/>
        <c:axId val="252556800"/>
      </c:barChart>
      <c:catAx>
        <c:axId val="252554240"/>
        <c:scaling>
          <c:orientation val="minMax"/>
        </c:scaling>
        <c:delete val="0"/>
        <c:axPos val="b"/>
        <c:numFmt formatCode="General" sourceLinked="0"/>
        <c:majorTickMark val="none"/>
        <c:minorTickMark val="none"/>
        <c:tickLblPos val="nextTo"/>
        <c:crossAx val="252556800"/>
        <c:crosses val="autoZero"/>
        <c:auto val="1"/>
        <c:lblAlgn val="ctr"/>
        <c:lblOffset val="100"/>
        <c:noMultiLvlLbl val="0"/>
      </c:catAx>
      <c:valAx>
        <c:axId val="25255680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2554240"/>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a:ln>
      <a:solidFill>
        <a:srgbClr val="7030A0">
          <a:alpha val="79000"/>
        </a:srgbClr>
      </a:solidFill>
    </a:ln>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lv-LV" sz="1200">
                <a:solidFill>
                  <a:schemeClr val="tx1"/>
                </a:solidFill>
              </a:rPr>
              <a:t>Paātrinātā procesa kārtībā kriminālvajāšanā saņemti kriminālprocesi, no tiem šī procesa kārtībā tiesai nodotas krimināllietas</a:t>
            </a:r>
          </a:p>
        </c:rich>
      </c:tx>
      <c:layout>
        <c:manualLayout>
          <c:xMode val="edge"/>
          <c:yMode val="edge"/>
          <c:x val="0.17730987240593726"/>
          <c:y val="4.1227881265562767E-2"/>
        </c:manualLayout>
      </c:layout>
      <c:overlay val="0"/>
    </c:title>
    <c:autoTitleDeleted val="0"/>
    <c:plotArea>
      <c:layout/>
      <c:barChart>
        <c:barDir val="col"/>
        <c:grouping val="clustered"/>
        <c:varyColors val="0"/>
        <c:ser>
          <c:idx val="0"/>
          <c:order val="0"/>
          <c:tx>
            <c:strRef>
              <c:f>II_Rajona_prok!$G$4</c:f>
              <c:strCache>
                <c:ptCount val="1"/>
                <c:pt idx="0">
                  <c:v>2020</c:v>
                </c:pt>
              </c:strCache>
            </c:strRef>
          </c:tx>
          <c:invertIfNegative val="0"/>
          <c:dLbls>
            <c:dLbl>
              <c:idx val="2"/>
              <c:layout>
                <c:manualLayout>
                  <c:x val="0"/>
                  <c:y val="8.27726931478796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11-4752-936D-675CE213F4F2}"/>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Dobeles raj.</c:v>
                </c:pt>
                <c:pt idx="1">
                  <c:v>Tukuma raj.</c:v>
                </c:pt>
                <c:pt idx="2">
                  <c:v>Bauskas raj.</c:v>
                </c:pt>
                <c:pt idx="3">
                  <c:v>Jēkabpils raj.</c:v>
                </c:pt>
                <c:pt idx="4">
                  <c:v>Aizkraukles raj.</c:v>
                </c:pt>
                <c:pt idx="5">
                  <c:v>Jelgavas p.</c:v>
                </c:pt>
              </c:strCache>
            </c:strRef>
          </c:cat>
          <c:val>
            <c:numRef>
              <c:f>II_Rajona_prok!$G$5:$G$10</c:f>
              <c:numCache>
                <c:formatCode>General</c:formatCode>
                <c:ptCount val="6"/>
                <c:pt idx="0">
                  <c:v>72</c:v>
                </c:pt>
                <c:pt idx="1">
                  <c:v>113</c:v>
                </c:pt>
                <c:pt idx="2">
                  <c:v>69</c:v>
                </c:pt>
                <c:pt idx="3">
                  <c:v>153</c:v>
                </c:pt>
                <c:pt idx="4">
                  <c:v>118</c:v>
                </c:pt>
                <c:pt idx="5">
                  <c:v>103</c:v>
                </c:pt>
              </c:numCache>
            </c:numRef>
          </c:val>
          <c:extLst>
            <c:ext xmlns:c16="http://schemas.microsoft.com/office/drawing/2014/chart" uri="{C3380CC4-5D6E-409C-BE32-E72D297353CC}">
              <c16:uniqueId val="{00000001-B611-4752-936D-675CE213F4F2}"/>
            </c:ext>
          </c:extLst>
        </c:ser>
        <c:ser>
          <c:idx val="1"/>
          <c:order val="1"/>
          <c:tx>
            <c:strRef>
              <c:f>II_Rajona_prok!$G$4</c:f>
              <c:strCache>
                <c:ptCount val="1"/>
                <c:pt idx="0">
                  <c:v>2020</c:v>
                </c:pt>
              </c:strCache>
            </c:strRef>
          </c:tx>
          <c:invertIfNegative val="0"/>
          <c:dLbls>
            <c:dLbl>
              <c:idx val="4"/>
              <c:layout>
                <c:manualLayout>
                  <c:x val="-6.4196194933295507E-17"/>
                  <c:y val="-7.8810666372110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11-4752-936D-675CE213F4F2}"/>
                </c:ext>
              </c:extLst>
            </c:dLbl>
            <c:dLbl>
              <c:idx val="7"/>
              <c:layout>
                <c:manualLayout>
                  <c:x val="-1.2839238986659101E-16"/>
                  <c:y val="-1.5762133274421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11-4752-936D-675CE213F4F2}"/>
                </c:ext>
              </c:extLst>
            </c:dLbl>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Dobeles raj.</c:v>
                </c:pt>
                <c:pt idx="1">
                  <c:v>Tukuma raj.</c:v>
                </c:pt>
                <c:pt idx="2">
                  <c:v>Bauskas raj.</c:v>
                </c:pt>
                <c:pt idx="3">
                  <c:v>Jēkabpils raj.</c:v>
                </c:pt>
                <c:pt idx="4">
                  <c:v>Aizkraukles raj.</c:v>
                </c:pt>
                <c:pt idx="5">
                  <c:v>Jelgavas p.</c:v>
                </c:pt>
              </c:strCache>
            </c:strRef>
          </c:cat>
          <c:val>
            <c:numRef>
              <c:f>II_Rajona_prok!$H$5:$H$10</c:f>
              <c:numCache>
                <c:formatCode>General</c:formatCode>
                <c:ptCount val="6"/>
                <c:pt idx="0">
                  <c:v>1</c:v>
                </c:pt>
                <c:pt idx="1">
                  <c:v>29</c:v>
                </c:pt>
                <c:pt idx="2">
                  <c:v>59</c:v>
                </c:pt>
                <c:pt idx="3">
                  <c:v>48</c:v>
                </c:pt>
                <c:pt idx="4">
                  <c:v>49</c:v>
                </c:pt>
                <c:pt idx="5">
                  <c:v>80</c:v>
                </c:pt>
              </c:numCache>
            </c:numRef>
          </c:val>
          <c:extLst>
            <c:ext xmlns:c16="http://schemas.microsoft.com/office/drawing/2014/chart" uri="{C3380CC4-5D6E-409C-BE32-E72D297353CC}">
              <c16:uniqueId val="{00000004-B611-4752-936D-675CE213F4F2}"/>
            </c:ext>
          </c:extLst>
        </c:ser>
        <c:ser>
          <c:idx val="2"/>
          <c:order val="2"/>
          <c:tx>
            <c:strRef>
              <c:f>II_Rajona_prok!$I$4</c:f>
              <c:strCache>
                <c:ptCount val="1"/>
                <c:pt idx="0">
                  <c:v>2019</c:v>
                </c:pt>
              </c:strCache>
            </c:strRef>
          </c:tx>
          <c:invertIfNegative val="0"/>
          <c:dLbls>
            <c:dLbl>
              <c:idx val="3"/>
              <c:layout>
                <c:manualLayout>
                  <c:x val="1.7508255418149574E-3"/>
                  <c:y val="1.18215999558163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11-4752-936D-675CE213F4F2}"/>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Dobeles raj.</c:v>
                </c:pt>
                <c:pt idx="1">
                  <c:v>Tukuma raj.</c:v>
                </c:pt>
                <c:pt idx="2">
                  <c:v>Bauskas raj.</c:v>
                </c:pt>
                <c:pt idx="3">
                  <c:v>Jēkabpils raj.</c:v>
                </c:pt>
                <c:pt idx="4">
                  <c:v>Aizkraukles raj.</c:v>
                </c:pt>
                <c:pt idx="5">
                  <c:v>Jelgavas p.</c:v>
                </c:pt>
              </c:strCache>
            </c:strRef>
          </c:cat>
          <c:val>
            <c:numRef>
              <c:f>II_Rajona_prok!$I$5:$I$10</c:f>
              <c:numCache>
                <c:formatCode>General</c:formatCode>
                <c:ptCount val="6"/>
                <c:pt idx="0">
                  <c:v>100</c:v>
                </c:pt>
                <c:pt idx="1">
                  <c:v>130</c:v>
                </c:pt>
                <c:pt idx="2">
                  <c:v>124</c:v>
                </c:pt>
                <c:pt idx="3">
                  <c:v>163</c:v>
                </c:pt>
                <c:pt idx="4">
                  <c:v>118</c:v>
                </c:pt>
                <c:pt idx="5">
                  <c:v>129</c:v>
                </c:pt>
              </c:numCache>
            </c:numRef>
          </c:val>
          <c:extLst>
            <c:ext xmlns:c16="http://schemas.microsoft.com/office/drawing/2014/chart" uri="{C3380CC4-5D6E-409C-BE32-E72D297353CC}">
              <c16:uniqueId val="{00000006-B611-4752-936D-675CE213F4F2}"/>
            </c:ext>
          </c:extLst>
        </c:ser>
        <c:ser>
          <c:idx val="3"/>
          <c:order val="3"/>
          <c:tx>
            <c:strRef>
              <c:f>II_Rajona_prok!$I$4</c:f>
              <c:strCache>
                <c:ptCount val="1"/>
                <c:pt idx="0">
                  <c:v>2019</c:v>
                </c:pt>
              </c:strCache>
            </c:strRef>
          </c:tx>
          <c:invertIfNegative val="0"/>
          <c:dLbls>
            <c:dLbl>
              <c:idx val="0"/>
              <c:layout>
                <c:manualLayout>
                  <c:x val="-1.6049048733323877E-17"/>
                  <c:y val="4.85088959866739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611-4752-936D-675CE213F4F2}"/>
                </c:ext>
              </c:extLst>
            </c:dLbl>
            <c:dLbl>
              <c:idx val="1"/>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611-4752-936D-675CE213F4F2}"/>
                </c:ext>
              </c:extLst>
            </c:dLbl>
            <c:dLbl>
              <c:idx val="2"/>
              <c:layout>
                <c:manualLayout>
                  <c:x val="0"/>
                  <c:y val="-2.33329216975707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611-4752-936D-675CE213F4F2}"/>
                </c:ext>
              </c:extLst>
            </c:dLbl>
            <c:dLbl>
              <c:idx val="3"/>
              <c:layout>
                <c:manualLayout>
                  <c:x val="1.7508255418150216E-3"/>
                  <c:y val="1.50360822535132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611-4752-936D-675CE213F4F2}"/>
                </c:ext>
              </c:extLst>
            </c:dLbl>
            <c:dLbl>
              <c:idx val="4"/>
              <c:layout>
                <c:manualLayout>
                  <c:x val="1.7508255418150216E-3"/>
                  <c:y val="4.551781400310402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611-4752-936D-675CE213F4F2}"/>
                </c:ext>
              </c:extLst>
            </c:dLbl>
            <c:dLbl>
              <c:idx val="5"/>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611-4752-936D-675CE213F4F2}"/>
                </c:ext>
              </c:extLst>
            </c:dLbl>
            <c:dLbl>
              <c:idx val="7"/>
              <c:layout>
                <c:manualLayout>
                  <c:x val="1.7508255418150216E-3"/>
                  <c:y val="-3.48535517857442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611-4752-936D-675CE213F4F2}"/>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Dobeles raj.</c:v>
                </c:pt>
                <c:pt idx="1">
                  <c:v>Tukuma raj.</c:v>
                </c:pt>
                <c:pt idx="2">
                  <c:v>Bauskas raj.</c:v>
                </c:pt>
                <c:pt idx="3">
                  <c:v>Jēkabpils raj.</c:v>
                </c:pt>
                <c:pt idx="4">
                  <c:v>Aizkraukles raj.</c:v>
                </c:pt>
                <c:pt idx="5">
                  <c:v>Jelgavas p.</c:v>
                </c:pt>
              </c:strCache>
            </c:strRef>
          </c:cat>
          <c:val>
            <c:numRef>
              <c:f>II_Rajona_prok!$J$5:$J$10</c:f>
              <c:numCache>
                <c:formatCode>General</c:formatCode>
                <c:ptCount val="6"/>
                <c:pt idx="0">
                  <c:v>27</c:v>
                </c:pt>
                <c:pt idx="1">
                  <c:v>48</c:v>
                </c:pt>
                <c:pt idx="2">
                  <c:v>106</c:v>
                </c:pt>
                <c:pt idx="3">
                  <c:v>125</c:v>
                </c:pt>
                <c:pt idx="4">
                  <c:v>59</c:v>
                </c:pt>
                <c:pt idx="5">
                  <c:v>93</c:v>
                </c:pt>
              </c:numCache>
            </c:numRef>
          </c:val>
          <c:extLst>
            <c:ext xmlns:c16="http://schemas.microsoft.com/office/drawing/2014/chart" uri="{C3380CC4-5D6E-409C-BE32-E72D297353CC}">
              <c16:uniqueId val="{0000000E-B611-4752-936D-675CE213F4F2}"/>
            </c:ext>
          </c:extLst>
        </c:ser>
        <c:dLbls>
          <c:showLegendKey val="0"/>
          <c:showVal val="0"/>
          <c:showCatName val="0"/>
          <c:showSerName val="0"/>
          <c:showPercent val="0"/>
          <c:showBubbleSize val="0"/>
        </c:dLbls>
        <c:gapWidth val="150"/>
        <c:axId val="175464832"/>
        <c:axId val="175466368"/>
      </c:barChart>
      <c:catAx>
        <c:axId val="175464832"/>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75466368"/>
        <c:crosses val="autoZero"/>
        <c:auto val="1"/>
        <c:lblAlgn val="ctr"/>
        <c:lblOffset val="100"/>
        <c:noMultiLvlLbl val="0"/>
      </c:catAx>
      <c:valAx>
        <c:axId val="175466368"/>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64832"/>
        <c:crosses val="autoZero"/>
        <c:crossBetween val="between"/>
      </c:valAx>
    </c:plotArea>
    <c:legend>
      <c:legendPos val="r"/>
      <c:layout>
        <c:manualLayout>
          <c:xMode val="edge"/>
          <c:yMode val="edge"/>
          <c:x val="0.90160028062142872"/>
          <c:y val="0.32817959013401471"/>
          <c:w val="8.4331724067902999E-2"/>
          <c:h val="0.47303460475489467"/>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baseline="0">
          <a:solidFill>
            <a:schemeClr val="tx2"/>
          </a:solidFill>
          <a:latin typeface="Times New Roman" panose="02020603050405020304" pitchFamily="18" charset="0"/>
        </a:defRPr>
      </a:pPr>
      <a:endParaRPr lang="lv-LV"/>
    </a:p>
  </c:txPr>
  <c:externalData r:id="rId2">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662"/>
            </a:pPr>
            <a:r>
              <a:rPr lang="lv-LV" sz="1200" baseline="0">
                <a:solidFill>
                  <a:schemeClr val="tx1"/>
                </a:solidFill>
              </a:rPr>
              <a:t>Tiesai nodotas krimināllietas, no tām vienošanās procesa kārtībā</a:t>
            </a:r>
          </a:p>
        </c:rich>
      </c:tx>
      <c:overlay val="0"/>
    </c:title>
    <c:autoTitleDeleted val="0"/>
    <c:plotArea>
      <c:layout/>
      <c:barChart>
        <c:barDir val="col"/>
        <c:grouping val="clustered"/>
        <c:varyColors val="0"/>
        <c:ser>
          <c:idx val="0"/>
          <c:order val="0"/>
          <c:tx>
            <c:strRef>
              <c:f>II_Rajona_prok!$M$4</c:f>
              <c:strCache>
                <c:ptCount val="1"/>
                <c:pt idx="0">
                  <c:v>2020</c:v>
                </c:pt>
              </c:strCache>
            </c:strRef>
          </c:tx>
          <c:invertIfNegative val="0"/>
          <c:dLbls>
            <c:spPr>
              <a:noFill/>
              <a:ln w="35179">
                <a:noFill/>
              </a:ln>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Dobeles raj.</c:v>
                </c:pt>
                <c:pt idx="1">
                  <c:v>Tukuma raj.</c:v>
                </c:pt>
                <c:pt idx="2">
                  <c:v>Bauskas raj.</c:v>
                </c:pt>
                <c:pt idx="3">
                  <c:v>Jēkabpils raj.</c:v>
                </c:pt>
                <c:pt idx="4">
                  <c:v>Aizkraukles raj.</c:v>
                </c:pt>
                <c:pt idx="5">
                  <c:v>Jelgavas p.</c:v>
                </c:pt>
              </c:strCache>
            </c:strRef>
          </c:cat>
          <c:val>
            <c:numRef>
              <c:f>II_Rajona_prok!$M$5:$M$10</c:f>
              <c:numCache>
                <c:formatCode>General</c:formatCode>
                <c:ptCount val="6"/>
                <c:pt idx="0">
                  <c:v>191</c:v>
                </c:pt>
                <c:pt idx="1">
                  <c:v>213</c:v>
                </c:pt>
                <c:pt idx="2">
                  <c:v>234</c:v>
                </c:pt>
                <c:pt idx="3">
                  <c:v>333</c:v>
                </c:pt>
                <c:pt idx="4">
                  <c:v>194</c:v>
                </c:pt>
                <c:pt idx="5">
                  <c:v>322</c:v>
                </c:pt>
              </c:numCache>
            </c:numRef>
          </c:val>
          <c:extLst>
            <c:ext xmlns:c16="http://schemas.microsoft.com/office/drawing/2014/chart" uri="{C3380CC4-5D6E-409C-BE32-E72D297353CC}">
              <c16:uniqueId val="{00000000-0EDA-43E2-BF70-92C5040A12F4}"/>
            </c:ext>
          </c:extLst>
        </c:ser>
        <c:ser>
          <c:idx val="1"/>
          <c:order val="1"/>
          <c:tx>
            <c:strRef>
              <c:f>II_Rajona_prok!$M$4</c:f>
              <c:strCache>
                <c:ptCount val="1"/>
                <c:pt idx="0">
                  <c:v>2020</c:v>
                </c:pt>
              </c:strCache>
            </c:strRef>
          </c:tx>
          <c:invertIfNegative val="0"/>
          <c:dLbls>
            <c:spPr>
              <a:noFill/>
              <a:ln w="35179">
                <a:noFill/>
              </a:ln>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Dobeles raj.</c:v>
                </c:pt>
                <c:pt idx="1">
                  <c:v>Tukuma raj.</c:v>
                </c:pt>
                <c:pt idx="2">
                  <c:v>Bauskas raj.</c:v>
                </c:pt>
                <c:pt idx="3">
                  <c:v>Jēkabpils raj.</c:v>
                </c:pt>
                <c:pt idx="4">
                  <c:v>Aizkraukles raj.</c:v>
                </c:pt>
                <c:pt idx="5">
                  <c:v>Jelgavas p.</c:v>
                </c:pt>
              </c:strCache>
            </c:strRef>
          </c:cat>
          <c:val>
            <c:numRef>
              <c:f>II_Rajona_prok!$N$5:$N$10</c:f>
              <c:numCache>
                <c:formatCode>General</c:formatCode>
                <c:ptCount val="6"/>
                <c:pt idx="0">
                  <c:v>72</c:v>
                </c:pt>
                <c:pt idx="1">
                  <c:v>29</c:v>
                </c:pt>
                <c:pt idx="2">
                  <c:v>26</c:v>
                </c:pt>
                <c:pt idx="3">
                  <c:v>154</c:v>
                </c:pt>
                <c:pt idx="4">
                  <c:v>30</c:v>
                </c:pt>
                <c:pt idx="5">
                  <c:v>40</c:v>
                </c:pt>
              </c:numCache>
            </c:numRef>
          </c:val>
          <c:extLst>
            <c:ext xmlns:c16="http://schemas.microsoft.com/office/drawing/2014/chart" uri="{C3380CC4-5D6E-409C-BE32-E72D297353CC}">
              <c16:uniqueId val="{00000001-0EDA-43E2-BF70-92C5040A12F4}"/>
            </c:ext>
          </c:extLst>
        </c:ser>
        <c:ser>
          <c:idx val="2"/>
          <c:order val="2"/>
          <c:tx>
            <c:strRef>
              <c:f>II_Rajona_prok!$O$4</c:f>
              <c:strCache>
                <c:ptCount val="1"/>
                <c:pt idx="0">
                  <c:v>2019</c:v>
                </c:pt>
              </c:strCache>
            </c:strRef>
          </c:tx>
          <c:invertIfNegative val="0"/>
          <c:dLbls>
            <c:spPr>
              <a:noFill/>
              <a:ln w="35179">
                <a:noFill/>
              </a:ln>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Dobeles raj.</c:v>
                </c:pt>
                <c:pt idx="1">
                  <c:v>Tukuma raj.</c:v>
                </c:pt>
                <c:pt idx="2">
                  <c:v>Bauskas raj.</c:v>
                </c:pt>
                <c:pt idx="3">
                  <c:v>Jēkabpils raj.</c:v>
                </c:pt>
                <c:pt idx="4">
                  <c:v>Aizkraukles raj.</c:v>
                </c:pt>
                <c:pt idx="5">
                  <c:v>Jelgavas p.</c:v>
                </c:pt>
              </c:strCache>
            </c:strRef>
          </c:cat>
          <c:val>
            <c:numRef>
              <c:f>II_Rajona_prok!$O$5:$O$10</c:f>
              <c:numCache>
                <c:formatCode>General</c:formatCode>
                <c:ptCount val="6"/>
                <c:pt idx="0">
                  <c:v>224</c:v>
                </c:pt>
                <c:pt idx="1">
                  <c:v>223</c:v>
                </c:pt>
                <c:pt idx="2">
                  <c:v>256</c:v>
                </c:pt>
                <c:pt idx="3">
                  <c:v>345</c:v>
                </c:pt>
                <c:pt idx="4">
                  <c:v>173</c:v>
                </c:pt>
                <c:pt idx="5">
                  <c:v>379</c:v>
                </c:pt>
              </c:numCache>
            </c:numRef>
          </c:val>
          <c:extLst>
            <c:ext xmlns:c16="http://schemas.microsoft.com/office/drawing/2014/chart" uri="{C3380CC4-5D6E-409C-BE32-E72D297353CC}">
              <c16:uniqueId val="{00000002-0EDA-43E2-BF70-92C5040A12F4}"/>
            </c:ext>
          </c:extLst>
        </c:ser>
        <c:ser>
          <c:idx val="3"/>
          <c:order val="3"/>
          <c:tx>
            <c:strRef>
              <c:f>II_Rajona_prok!$O$4</c:f>
              <c:strCache>
                <c:ptCount val="1"/>
                <c:pt idx="0">
                  <c:v>2019</c:v>
                </c:pt>
              </c:strCache>
            </c:strRef>
          </c:tx>
          <c:invertIfNegative val="0"/>
          <c:dLbls>
            <c:spPr>
              <a:noFill/>
              <a:ln w="35179">
                <a:noFill/>
              </a:ln>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Dobeles raj.</c:v>
                </c:pt>
                <c:pt idx="1">
                  <c:v>Tukuma raj.</c:v>
                </c:pt>
                <c:pt idx="2">
                  <c:v>Bauskas raj.</c:v>
                </c:pt>
                <c:pt idx="3">
                  <c:v>Jēkabpils raj.</c:v>
                </c:pt>
                <c:pt idx="4">
                  <c:v>Aizkraukles raj.</c:v>
                </c:pt>
                <c:pt idx="5">
                  <c:v>Jelgavas p.</c:v>
                </c:pt>
              </c:strCache>
            </c:strRef>
          </c:cat>
          <c:val>
            <c:numRef>
              <c:f>II_Rajona_prok!$P$5:$P$10</c:f>
              <c:numCache>
                <c:formatCode>General</c:formatCode>
                <c:ptCount val="6"/>
                <c:pt idx="0">
                  <c:v>29</c:v>
                </c:pt>
                <c:pt idx="1">
                  <c:v>19</c:v>
                </c:pt>
                <c:pt idx="2">
                  <c:v>20</c:v>
                </c:pt>
                <c:pt idx="3">
                  <c:v>55</c:v>
                </c:pt>
                <c:pt idx="4">
                  <c:v>29</c:v>
                </c:pt>
                <c:pt idx="5">
                  <c:v>28</c:v>
                </c:pt>
              </c:numCache>
            </c:numRef>
          </c:val>
          <c:extLst>
            <c:ext xmlns:c16="http://schemas.microsoft.com/office/drawing/2014/chart" uri="{C3380CC4-5D6E-409C-BE32-E72D297353CC}">
              <c16:uniqueId val="{00000003-0EDA-43E2-BF70-92C5040A12F4}"/>
            </c:ext>
          </c:extLst>
        </c:ser>
        <c:dLbls>
          <c:showLegendKey val="0"/>
          <c:showVal val="0"/>
          <c:showCatName val="0"/>
          <c:showSerName val="0"/>
          <c:showPercent val="0"/>
          <c:showBubbleSize val="0"/>
        </c:dLbls>
        <c:gapWidth val="150"/>
        <c:axId val="784682031"/>
        <c:axId val="1"/>
      </c:barChart>
      <c:catAx>
        <c:axId val="784682031"/>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784682031"/>
        <c:crosses val="autoZero"/>
        <c:crossBetween val="between"/>
      </c:valAx>
    </c:plotArea>
    <c:legend>
      <c:legendPos val="r"/>
      <c:layout>
        <c:manualLayout>
          <c:xMode val="edge"/>
          <c:yMode val="edge"/>
          <c:x val="0.88235294117647056"/>
          <c:y val="0.32828282828282829"/>
          <c:w val="0.10845588235294118"/>
          <c:h val="0.58585858585858586"/>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lv-LV" sz="1200"/>
              <a:t>Prokuratūrā pabeigti kriminālprocesi ar prokurora priekšrakstu par sodu</a:t>
            </a:r>
          </a:p>
        </c:rich>
      </c:tx>
      <c:overlay val="0"/>
    </c:title>
    <c:autoTitleDeleted val="0"/>
    <c:plotArea>
      <c:layout/>
      <c:barChart>
        <c:barDir val="col"/>
        <c:grouping val="clustered"/>
        <c:varyColors val="0"/>
        <c:ser>
          <c:idx val="0"/>
          <c:order val="0"/>
          <c:tx>
            <c:strRef>
              <c:f>II_Rajona_prok!$S$4</c:f>
              <c:strCache>
                <c:ptCount val="1"/>
                <c:pt idx="0">
                  <c:v>2020</c:v>
                </c:pt>
              </c:strCache>
            </c:strRef>
          </c:tx>
          <c:invertIfNegative val="0"/>
          <c:dLbls>
            <c:spPr>
              <a:noFill/>
              <a:ln w="35179">
                <a:noFill/>
              </a:ln>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II_Rajona_prok!$R$5:$R$10</c:f>
              <c:strCache>
                <c:ptCount val="6"/>
                <c:pt idx="0">
                  <c:v>Dobeles raj.</c:v>
                </c:pt>
                <c:pt idx="1">
                  <c:v>Tukuma raj.</c:v>
                </c:pt>
                <c:pt idx="2">
                  <c:v>Bauskas raj.</c:v>
                </c:pt>
                <c:pt idx="3">
                  <c:v>Jēkabpils raj.</c:v>
                </c:pt>
                <c:pt idx="4">
                  <c:v>Aizkraukles raj.</c:v>
                </c:pt>
                <c:pt idx="5">
                  <c:v>Jelgavas p.</c:v>
                </c:pt>
              </c:strCache>
            </c:strRef>
          </c:cat>
          <c:val>
            <c:numRef>
              <c:f>II_Rajona_prok!$S$5:$S$10</c:f>
              <c:numCache>
                <c:formatCode>General</c:formatCode>
                <c:ptCount val="6"/>
                <c:pt idx="0">
                  <c:v>78</c:v>
                </c:pt>
                <c:pt idx="1">
                  <c:v>83</c:v>
                </c:pt>
                <c:pt idx="2">
                  <c:v>39</c:v>
                </c:pt>
                <c:pt idx="3">
                  <c:v>36</c:v>
                </c:pt>
                <c:pt idx="4">
                  <c:v>76</c:v>
                </c:pt>
                <c:pt idx="5">
                  <c:v>56</c:v>
                </c:pt>
              </c:numCache>
            </c:numRef>
          </c:val>
          <c:extLst>
            <c:ext xmlns:c16="http://schemas.microsoft.com/office/drawing/2014/chart" uri="{C3380CC4-5D6E-409C-BE32-E72D297353CC}">
              <c16:uniqueId val="{00000000-827E-48DF-A9F0-6680AC3311AE}"/>
            </c:ext>
          </c:extLst>
        </c:ser>
        <c:ser>
          <c:idx val="1"/>
          <c:order val="1"/>
          <c:tx>
            <c:strRef>
              <c:f>II_Rajona_prok!$T$4</c:f>
              <c:strCache>
                <c:ptCount val="1"/>
                <c:pt idx="0">
                  <c:v>2019</c:v>
                </c:pt>
              </c:strCache>
            </c:strRef>
          </c:tx>
          <c:invertIfNegative val="0"/>
          <c:dLbls>
            <c:spPr>
              <a:noFill/>
              <a:ln w="35179">
                <a:noFill/>
              </a:ln>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II_Rajona_prok!$R$5:$R$10</c:f>
              <c:strCache>
                <c:ptCount val="6"/>
                <c:pt idx="0">
                  <c:v>Dobeles raj.</c:v>
                </c:pt>
                <c:pt idx="1">
                  <c:v>Tukuma raj.</c:v>
                </c:pt>
                <c:pt idx="2">
                  <c:v>Bauskas raj.</c:v>
                </c:pt>
                <c:pt idx="3">
                  <c:v>Jēkabpils raj.</c:v>
                </c:pt>
                <c:pt idx="4">
                  <c:v>Aizkraukles raj.</c:v>
                </c:pt>
                <c:pt idx="5">
                  <c:v>Jelgavas p.</c:v>
                </c:pt>
              </c:strCache>
            </c:strRef>
          </c:cat>
          <c:val>
            <c:numRef>
              <c:f>II_Rajona_prok!$T$5:$T$10</c:f>
              <c:numCache>
                <c:formatCode>General</c:formatCode>
                <c:ptCount val="6"/>
                <c:pt idx="0">
                  <c:v>35</c:v>
                </c:pt>
                <c:pt idx="1">
                  <c:v>73</c:v>
                </c:pt>
                <c:pt idx="2">
                  <c:v>23</c:v>
                </c:pt>
                <c:pt idx="3">
                  <c:v>47</c:v>
                </c:pt>
                <c:pt idx="4">
                  <c:v>81</c:v>
                </c:pt>
                <c:pt idx="5">
                  <c:v>47</c:v>
                </c:pt>
              </c:numCache>
            </c:numRef>
          </c:val>
          <c:extLst>
            <c:ext xmlns:c16="http://schemas.microsoft.com/office/drawing/2014/chart" uri="{C3380CC4-5D6E-409C-BE32-E72D297353CC}">
              <c16:uniqueId val="{00000001-827E-48DF-A9F0-6680AC3311AE}"/>
            </c:ext>
          </c:extLst>
        </c:ser>
        <c:dLbls>
          <c:showLegendKey val="0"/>
          <c:showVal val="0"/>
          <c:showCatName val="0"/>
          <c:showSerName val="0"/>
          <c:showPercent val="0"/>
          <c:showBubbleSize val="0"/>
        </c:dLbls>
        <c:gapWidth val="150"/>
        <c:axId val="784681631"/>
        <c:axId val="1"/>
      </c:barChart>
      <c:catAx>
        <c:axId val="784681631"/>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0" i="0" baseline="0"/>
            </a:pPr>
            <a:endParaRPr lang="lv-LV"/>
          </a:p>
        </c:txPr>
        <c:crossAx val="784681631"/>
        <c:crosses val="autoZero"/>
        <c:crossBetween val="between"/>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i="0" baseline="0">
          <a:solidFill>
            <a:schemeClr val="tx1"/>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662"/>
            </a:pPr>
            <a:r>
              <a:rPr lang="lv-LV" sz="1200" baseline="0">
                <a:solidFill>
                  <a:schemeClr val="tx1"/>
                </a:solidFill>
              </a:rPr>
              <a:t>Pēc Krimināllikuma 180.panta pabeigto kriminālprocesu procentuālā attiecība pret kopā pabeigto kriminālprocesu skaitu</a:t>
            </a:r>
          </a:p>
        </c:rich>
      </c:tx>
      <c:overlay val="0"/>
    </c:title>
    <c:autoTitleDeleted val="0"/>
    <c:plotArea>
      <c:layout/>
      <c:barChart>
        <c:barDir val="col"/>
        <c:grouping val="clustered"/>
        <c:varyColors val="0"/>
        <c:ser>
          <c:idx val="0"/>
          <c:order val="0"/>
          <c:tx>
            <c:strRef>
              <c:f>II_Rajona_prok!$W$4</c:f>
              <c:strCache>
                <c:ptCount val="1"/>
                <c:pt idx="0">
                  <c:v>2020</c:v>
                </c:pt>
              </c:strCache>
            </c:strRef>
          </c:tx>
          <c:invertIfNegative val="0"/>
          <c:dLbls>
            <c:spPr>
              <a:noFill/>
              <a:ln w="35179">
                <a:noFill/>
              </a:ln>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II_Rajona_prok!$V$5:$V$10</c:f>
              <c:strCache>
                <c:ptCount val="6"/>
                <c:pt idx="0">
                  <c:v>Dobeles raj.</c:v>
                </c:pt>
                <c:pt idx="1">
                  <c:v>Tukuma raj.</c:v>
                </c:pt>
                <c:pt idx="2">
                  <c:v>Bauskas raj.</c:v>
                </c:pt>
                <c:pt idx="3">
                  <c:v>Jēkabpils raj.</c:v>
                </c:pt>
                <c:pt idx="4">
                  <c:v>Aizkraukles raj.</c:v>
                </c:pt>
                <c:pt idx="5">
                  <c:v>Jelgavas p.</c:v>
                </c:pt>
              </c:strCache>
            </c:strRef>
          </c:cat>
          <c:val>
            <c:numRef>
              <c:f>II_Rajona_prok!$W$5:$W$10</c:f>
              <c:numCache>
                <c:formatCode>0.00%</c:formatCode>
                <c:ptCount val="6"/>
                <c:pt idx="0">
                  <c:v>0.33450000000000002</c:v>
                </c:pt>
                <c:pt idx="1">
                  <c:v>0.29870000000000002</c:v>
                </c:pt>
                <c:pt idx="2">
                  <c:v>0.20069999999999999</c:v>
                </c:pt>
                <c:pt idx="3">
                  <c:v>0.20319999999999999</c:v>
                </c:pt>
                <c:pt idx="4">
                  <c:v>0.1178</c:v>
                </c:pt>
                <c:pt idx="5">
                  <c:v>0.23069999999999999</c:v>
                </c:pt>
              </c:numCache>
            </c:numRef>
          </c:val>
          <c:extLst>
            <c:ext xmlns:c16="http://schemas.microsoft.com/office/drawing/2014/chart" uri="{C3380CC4-5D6E-409C-BE32-E72D297353CC}">
              <c16:uniqueId val="{00000000-5CEF-4089-A39F-A37A51A7D54C}"/>
            </c:ext>
          </c:extLst>
        </c:ser>
        <c:ser>
          <c:idx val="1"/>
          <c:order val="1"/>
          <c:tx>
            <c:strRef>
              <c:f>II_Rajona_prok!$X$4</c:f>
              <c:strCache>
                <c:ptCount val="1"/>
                <c:pt idx="0">
                  <c:v>2019</c:v>
                </c:pt>
              </c:strCache>
            </c:strRef>
          </c:tx>
          <c:invertIfNegative val="0"/>
          <c:dLbls>
            <c:spPr>
              <a:noFill/>
              <a:ln w="35179">
                <a:noFill/>
              </a:ln>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II_Rajona_prok!$V$5:$V$10</c:f>
              <c:strCache>
                <c:ptCount val="6"/>
                <c:pt idx="0">
                  <c:v>Dobeles raj.</c:v>
                </c:pt>
                <c:pt idx="1">
                  <c:v>Tukuma raj.</c:v>
                </c:pt>
                <c:pt idx="2">
                  <c:v>Bauskas raj.</c:v>
                </c:pt>
                <c:pt idx="3">
                  <c:v>Jēkabpils raj.</c:v>
                </c:pt>
                <c:pt idx="4">
                  <c:v>Aizkraukles raj.</c:v>
                </c:pt>
                <c:pt idx="5">
                  <c:v>Jelgavas p.</c:v>
                </c:pt>
              </c:strCache>
            </c:strRef>
          </c:cat>
          <c:val>
            <c:numRef>
              <c:f>II_Rajona_prok!$X$5:$X$10</c:f>
              <c:numCache>
                <c:formatCode>0.00%</c:formatCode>
                <c:ptCount val="6"/>
                <c:pt idx="0">
                  <c:v>0.35439999999999999</c:v>
                </c:pt>
                <c:pt idx="1">
                  <c:v>0.27550000000000002</c:v>
                </c:pt>
                <c:pt idx="2">
                  <c:v>0.19639999999999999</c:v>
                </c:pt>
                <c:pt idx="3">
                  <c:v>0.29509999999999997</c:v>
                </c:pt>
                <c:pt idx="4">
                  <c:v>0.17749999999999999</c:v>
                </c:pt>
                <c:pt idx="5">
                  <c:v>0.23680000000000001</c:v>
                </c:pt>
              </c:numCache>
            </c:numRef>
          </c:val>
          <c:extLst>
            <c:ext xmlns:c16="http://schemas.microsoft.com/office/drawing/2014/chart" uri="{C3380CC4-5D6E-409C-BE32-E72D297353CC}">
              <c16:uniqueId val="{00000001-5CEF-4089-A39F-A37A51A7D54C}"/>
            </c:ext>
          </c:extLst>
        </c:ser>
        <c:dLbls>
          <c:showLegendKey val="0"/>
          <c:showVal val="0"/>
          <c:showCatName val="0"/>
          <c:showSerName val="0"/>
          <c:showPercent val="0"/>
          <c:showBubbleSize val="0"/>
        </c:dLbls>
        <c:gapWidth val="150"/>
        <c:axId val="784681631"/>
        <c:axId val="1"/>
      </c:barChart>
      <c:catAx>
        <c:axId val="784681631"/>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0%" sourceLinked="0"/>
        <c:majorTickMark val="none"/>
        <c:minorTickMark val="none"/>
        <c:tickLblPos val="nextTo"/>
        <c:txPr>
          <a:bodyPr/>
          <a:lstStyle/>
          <a:p>
            <a:pPr>
              <a:defRPr baseline="0">
                <a:solidFill>
                  <a:schemeClr val="tx1"/>
                </a:solidFill>
              </a:defRPr>
            </a:pPr>
            <a:endParaRPr lang="lv-LV"/>
          </a:p>
        </c:txPr>
        <c:crossAx val="784681631"/>
        <c:crosses val="autoZero"/>
        <c:crossBetween val="between"/>
        <c:minorUnit val="2.0000000000000004E-2"/>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658"/>
            </a:pPr>
            <a:r>
              <a:rPr lang="lv-LV" sz="1200">
                <a:solidFill>
                  <a:schemeClr val="tx1"/>
                </a:solidFill>
              </a:rPr>
              <a:t>Prokuroru</a:t>
            </a:r>
            <a:r>
              <a:rPr lang="lv-LV" sz="1200" baseline="0">
                <a:solidFill>
                  <a:schemeClr val="tx1"/>
                </a:solidFill>
              </a:rPr>
              <a:t> u</a:t>
            </a:r>
            <a:r>
              <a:rPr lang="lv-LV" sz="1200">
                <a:solidFill>
                  <a:schemeClr val="tx1"/>
                </a:solidFill>
              </a:rPr>
              <a:t>zraudzībā pieņemti kriminālprocesi</a:t>
            </a:r>
          </a:p>
        </c:rich>
      </c:tx>
      <c:overlay val="0"/>
    </c:title>
    <c:autoTitleDeleted val="0"/>
    <c:plotArea>
      <c:layout/>
      <c:barChart>
        <c:barDir val="col"/>
        <c:grouping val="clustered"/>
        <c:varyColors val="0"/>
        <c:ser>
          <c:idx val="0"/>
          <c:order val="0"/>
          <c:tx>
            <c:strRef>
              <c:f>II_Rajona_prok!$AA$4</c:f>
              <c:strCache>
                <c:ptCount val="1"/>
                <c:pt idx="0">
                  <c:v>2020</c:v>
                </c:pt>
              </c:strCache>
            </c:strRef>
          </c:tx>
          <c:invertIfNegative val="0"/>
          <c:dLbls>
            <c:spPr>
              <a:noFill/>
              <a:ln w="35095">
                <a:noFill/>
              </a:ln>
            </c:spPr>
            <c:txPr>
              <a:bodyPr rot="-5400000" vert="horz"/>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II_Rajona_prok!$Z$5:$Z$10</c:f>
              <c:strCache>
                <c:ptCount val="6"/>
                <c:pt idx="0">
                  <c:v>Dobeles raj.</c:v>
                </c:pt>
                <c:pt idx="1">
                  <c:v>Tukuma raj.</c:v>
                </c:pt>
                <c:pt idx="2">
                  <c:v>Bauskas raj.</c:v>
                </c:pt>
                <c:pt idx="3">
                  <c:v>Jēkabpils raj.</c:v>
                </c:pt>
                <c:pt idx="4">
                  <c:v>Aizkraukles raj.</c:v>
                </c:pt>
                <c:pt idx="5">
                  <c:v>Jelgavas p.</c:v>
                </c:pt>
              </c:strCache>
            </c:strRef>
          </c:cat>
          <c:val>
            <c:numRef>
              <c:f>II_Rajona_prok!$AA$5:$AA$10</c:f>
              <c:numCache>
                <c:formatCode>General</c:formatCode>
                <c:ptCount val="6"/>
                <c:pt idx="0">
                  <c:v>519</c:v>
                </c:pt>
                <c:pt idx="1">
                  <c:v>791</c:v>
                </c:pt>
                <c:pt idx="2">
                  <c:v>730</c:v>
                </c:pt>
                <c:pt idx="3">
                  <c:v>837</c:v>
                </c:pt>
                <c:pt idx="4">
                  <c:v>714</c:v>
                </c:pt>
                <c:pt idx="5">
                  <c:v>1303</c:v>
                </c:pt>
              </c:numCache>
            </c:numRef>
          </c:val>
          <c:extLst>
            <c:ext xmlns:c16="http://schemas.microsoft.com/office/drawing/2014/chart" uri="{C3380CC4-5D6E-409C-BE32-E72D297353CC}">
              <c16:uniqueId val="{00000000-FAA3-4826-8242-978E72771F59}"/>
            </c:ext>
          </c:extLst>
        </c:ser>
        <c:ser>
          <c:idx val="1"/>
          <c:order val="1"/>
          <c:tx>
            <c:strRef>
              <c:f>II_Rajona_prok!$AB$4</c:f>
              <c:strCache>
                <c:ptCount val="1"/>
                <c:pt idx="0">
                  <c:v>2019</c:v>
                </c:pt>
              </c:strCache>
            </c:strRef>
          </c:tx>
          <c:invertIfNegative val="0"/>
          <c:dLbls>
            <c:spPr>
              <a:noFill/>
              <a:ln w="35095">
                <a:noFill/>
              </a:ln>
            </c:spPr>
            <c:txPr>
              <a:bodyPr rot="-5400000" vert="horz"/>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II_Rajona_prok!$Z$5:$Z$10</c:f>
              <c:strCache>
                <c:ptCount val="6"/>
                <c:pt idx="0">
                  <c:v>Dobeles raj.</c:v>
                </c:pt>
                <c:pt idx="1">
                  <c:v>Tukuma raj.</c:v>
                </c:pt>
                <c:pt idx="2">
                  <c:v>Bauskas raj.</c:v>
                </c:pt>
                <c:pt idx="3">
                  <c:v>Jēkabpils raj.</c:v>
                </c:pt>
                <c:pt idx="4">
                  <c:v>Aizkraukles raj.</c:v>
                </c:pt>
                <c:pt idx="5">
                  <c:v>Jelgavas p.</c:v>
                </c:pt>
              </c:strCache>
            </c:strRef>
          </c:cat>
          <c:val>
            <c:numRef>
              <c:f>II_Rajona_prok!$AB$5:$AB$10</c:f>
              <c:numCache>
                <c:formatCode>General</c:formatCode>
                <c:ptCount val="6"/>
                <c:pt idx="0">
                  <c:v>639</c:v>
                </c:pt>
                <c:pt idx="1">
                  <c:v>830</c:v>
                </c:pt>
                <c:pt idx="2">
                  <c:v>896</c:v>
                </c:pt>
                <c:pt idx="3">
                  <c:v>1060</c:v>
                </c:pt>
                <c:pt idx="4">
                  <c:v>734</c:v>
                </c:pt>
                <c:pt idx="5">
                  <c:v>1372</c:v>
                </c:pt>
              </c:numCache>
            </c:numRef>
          </c:val>
          <c:extLst>
            <c:ext xmlns:c16="http://schemas.microsoft.com/office/drawing/2014/chart" uri="{C3380CC4-5D6E-409C-BE32-E72D297353CC}">
              <c16:uniqueId val="{00000001-FAA3-4826-8242-978E72771F59}"/>
            </c:ext>
          </c:extLst>
        </c:ser>
        <c:dLbls>
          <c:showLegendKey val="0"/>
          <c:showVal val="0"/>
          <c:showCatName val="0"/>
          <c:showSerName val="0"/>
          <c:showPercent val="0"/>
          <c:showBubbleSize val="0"/>
        </c:dLbls>
        <c:gapWidth val="150"/>
        <c:axId val="785989407"/>
        <c:axId val="1"/>
      </c:barChart>
      <c:catAx>
        <c:axId val="785989407"/>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785989407"/>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1" baseline="0">
                <a:solidFill>
                  <a:schemeClr val="tx1"/>
                </a:solidFill>
              </a:rPr>
              <a:t>Nodotas krimināllietas tiesām</a:t>
            </a:r>
          </a:p>
          <a:p>
            <a:pPr algn="ctr">
              <a:defRPr sz="1400"/>
            </a:pPr>
            <a:r>
              <a:rPr lang="lv-LV" sz="1200" b="1" baseline="0">
                <a:solidFill>
                  <a:schemeClr val="tx1"/>
                </a:solidFill>
              </a:rPr>
              <a:t>2020. gadā</a:t>
            </a:r>
          </a:p>
        </c:rich>
      </c:tx>
      <c:layout>
        <c:manualLayout>
          <c:xMode val="edge"/>
          <c:yMode val="edge"/>
          <c:x val="0.13080982104930547"/>
          <c:y val="2.145539066690506E-2"/>
        </c:manualLayout>
      </c:layout>
      <c:overlay val="0"/>
      <c:spPr>
        <a:noFill/>
        <a:ln>
          <a:noFill/>
        </a:ln>
        <a:effectLst/>
      </c:spPr>
      <c:txPr>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doughnutChart>
        <c:varyColors val="1"/>
        <c:ser>
          <c:idx val="0"/>
          <c:order val="0"/>
          <c:dPt>
            <c:idx val="0"/>
            <c:bubble3D val="0"/>
            <c:spPr>
              <a:solidFill>
                <a:schemeClr val="accent1"/>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AD49-4A49-8759-4026D972944A}"/>
              </c:ext>
            </c:extLst>
          </c:dPt>
          <c:dPt>
            <c:idx val="1"/>
            <c:bubble3D val="0"/>
            <c:spPr>
              <a:solidFill>
                <a:schemeClr val="accent2"/>
              </a:solidFill>
              <a:ln w="6350" cap="flat" cmpd="sng" algn="ctr">
                <a:solidFill>
                  <a:schemeClr val="accent2">
                    <a:shade val="50000"/>
                  </a:schemeClr>
                </a:solidFill>
                <a:prstDash val="solid"/>
                <a:round/>
              </a:ln>
              <a:effectLst/>
            </c:spPr>
            <c:extLst>
              <c:ext xmlns:c16="http://schemas.microsoft.com/office/drawing/2014/chart" uri="{C3380CC4-5D6E-409C-BE32-E72D297353CC}">
                <c16:uniqueId val="{00000003-AD49-4A49-8759-4026D972944A}"/>
              </c:ext>
            </c:extLst>
          </c:dPt>
          <c:dPt>
            <c:idx val="2"/>
            <c:bubble3D val="0"/>
            <c:spPr>
              <a:solidFill>
                <a:schemeClr val="accent3"/>
              </a:solidFill>
              <a:ln w="6350" cap="flat" cmpd="sng" algn="ctr">
                <a:solidFill>
                  <a:schemeClr val="accent3">
                    <a:shade val="50000"/>
                  </a:schemeClr>
                </a:solidFill>
                <a:prstDash val="solid"/>
                <a:round/>
              </a:ln>
              <a:effectLst/>
            </c:spPr>
            <c:extLst>
              <c:ext xmlns:c16="http://schemas.microsoft.com/office/drawing/2014/chart" uri="{C3380CC4-5D6E-409C-BE32-E72D297353CC}">
                <c16:uniqueId val="{00000005-AD49-4A49-8759-4026D972944A}"/>
              </c:ext>
            </c:extLst>
          </c:dPt>
          <c:dPt>
            <c:idx val="3"/>
            <c:bubble3D val="0"/>
            <c:spPr>
              <a:solidFill>
                <a:schemeClr val="accent4"/>
              </a:solidFill>
              <a:ln w="6350" cap="flat" cmpd="sng" algn="ctr">
                <a:solidFill>
                  <a:schemeClr val="accent4">
                    <a:shade val="50000"/>
                  </a:schemeClr>
                </a:solidFill>
                <a:prstDash val="solid"/>
                <a:round/>
              </a:ln>
              <a:effectLst/>
            </c:spPr>
            <c:extLst>
              <c:ext xmlns:c16="http://schemas.microsoft.com/office/drawing/2014/chart" uri="{C3380CC4-5D6E-409C-BE32-E72D297353CC}">
                <c16:uniqueId val="{00000007-AD49-4A49-8759-4026D972944A}"/>
              </c:ext>
            </c:extLst>
          </c:dPt>
          <c:dPt>
            <c:idx val="4"/>
            <c:bubble3D val="0"/>
            <c:spPr>
              <a:solidFill>
                <a:schemeClr val="accent5"/>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9-AD49-4A49-8759-4026D972944A}"/>
              </c:ext>
            </c:extLst>
          </c:dPt>
          <c:dLbls>
            <c:dLbl>
              <c:idx val="2"/>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5496815286624205"/>
                      <c:h val="0.18831877729257643"/>
                    </c:manualLayout>
                  </c15:layout>
                </c:ext>
                <c:ext xmlns:c16="http://schemas.microsoft.com/office/drawing/2014/chart" uri="{C3380CC4-5D6E-409C-BE32-E72D297353CC}">
                  <c16:uniqueId val="{00000005-AD49-4A49-8759-4026D972944A}"/>
                </c:ext>
              </c:extLst>
            </c:dLbl>
            <c:dLbl>
              <c:idx val="3"/>
              <c:layout>
                <c:manualLayout>
                  <c:x val="0"/>
                  <c:y val="-9.84251968503930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D49-4A49-8759-4026D972944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6350" cap="flat" cmpd="sng" algn="ctr">
                  <a:solidFill>
                    <a:schemeClr val="dk1"/>
                  </a:solidFill>
                  <a:prstDash val="solid"/>
                  <a:round/>
                </a:ln>
                <a:effectLst/>
              </c:spPr>
            </c:leaderLines>
            <c:extLst>
              <c:ext xmlns:c15="http://schemas.microsoft.com/office/drawing/2012/chart" uri="{CE6537A1-D6FC-4f65-9D91-7224C49458BB}"/>
            </c:extLst>
          </c:dLbls>
          <c:cat>
            <c:strRef>
              <c:f>I_tiesas_apgabala_prok!$AR$6:$AR$10</c:f>
              <c:strCache>
                <c:ptCount val="4"/>
                <c:pt idx="0">
                  <c:v>Vispārējā kārtībā</c:v>
                </c:pt>
                <c:pt idx="1">
                  <c:v>Paātrinātā kārtībā</c:v>
                </c:pt>
                <c:pt idx="2">
                  <c:v>Slēdzot vienošanos</c:v>
                </c:pt>
                <c:pt idx="3">
                  <c:v>Medicīniska rakstura piespiedu līdzekļa piemērošana</c:v>
                </c:pt>
              </c:strCache>
            </c:strRef>
          </c:cat>
          <c:val>
            <c:numRef>
              <c:f>I_tiesas_apgabala_prok!$AS$6:$AS$10</c:f>
              <c:numCache>
                <c:formatCode>General</c:formatCode>
                <c:ptCount val="5"/>
                <c:pt idx="0">
                  <c:v>5446</c:v>
                </c:pt>
                <c:pt idx="1">
                  <c:v>932</c:v>
                </c:pt>
                <c:pt idx="2">
                  <c:v>1630</c:v>
                </c:pt>
                <c:pt idx="3">
                  <c:v>80</c:v>
                </c:pt>
              </c:numCache>
            </c:numRef>
          </c:val>
          <c:extLst>
            <c:ext xmlns:c16="http://schemas.microsoft.com/office/drawing/2014/chart" uri="{C3380CC4-5D6E-409C-BE32-E72D297353CC}">
              <c16:uniqueId val="{0000000A-AD49-4A49-8759-4026D972944A}"/>
            </c:ext>
          </c:extLst>
        </c:ser>
        <c:dLbls>
          <c:showLegendKey val="0"/>
          <c:showVal val="0"/>
          <c:showCatName val="0"/>
          <c:showSerName val="0"/>
          <c:showPercent val="1"/>
          <c:showBubbleSize val="0"/>
          <c:showLeaderLines val="1"/>
        </c:dLbls>
        <c:firstSliceAng val="0"/>
        <c:holeSize val="52"/>
      </c:doughnutChart>
      <c:spPr>
        <a:noFill/>
        <a:ln>
          <a:noFill/>
        </a:ln>
        <a:effectLst/>
      </c:spPr>
    </c:plotArea>
    <c:legend>
      <c:legendPos val="r"/>
      <c:legendEntry>
        <c:idx val="4"/>
        <c:delete val="1"/>
      </c:legendEntry>
      <c:layout>
        <c:manualLayout>
          <c:xMode val="edge"/>
          <c:yMode val="edge"/>
          <c:x val="0.64142982707207996"/>
          <c:y val="0.19739322357432595"/>
          <c:w val="0.34273485535885745"/>
          <c:h val="0.707606501110438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662"/>
            </a:pPr>
            <a:r>
              <a:rPr lang="lv-LV" sz="1200" baseline="0">
                <a:solidFill>
                  <a:schemeClr val="tx1"/>
                </a:solidFill>
              </a:rPr>
              <a:t>Ar prokurora piekrišanu atteikts uzsākt kriminālprocesu par maznozīmīgu noziedzīgu nodarījumu</a:t>
            </a:r>
          </a:p>
        </c:rich>
      </c:tx>
      <c:overlay val="0"/>
    </c:title>
    <c:autoTitleDeleted val="0"/>
    <c:plotArea>
      <c:layout/>
      <c:barChart>
        <c:barDir val="col"/>
        <c:grouping val="clustered"/>
        <c:varyColors val="0"/>
        <c:ser>
          <c:idx val="0"/>
          <c:order val="0"/>
          <c:tx>
            <c:strRef>
              <c:f>II_Rajona_prok!$AE$4</c:f>
              <c:strCache>
                <c:ptCount val="1"/>
                <c:pt idx="0">
                  <c:v>2020</c:v>
                </c:pt>
              </c:strCache>
            </c:strRef>
          </c:tx>
          <c:invertIfNegative val="0"/>
          <c:cat>
            <c:strRef>
              <c:f>II_Rajona_prok!$AD$5:$AD$10</c:f>
              <c:strCache>
                <c:ptCount val="6"/>
                <c:pt idx="0">
                  <c:v>Dobeles raj.</c:v>
                </c:pt>
                <c:pt idx="1">
                  <c:v>Tukuma raj.</c:v>
                </c:pt>
                <c:pt idx="2">
                  <c:v>Bauskas raj.</c:v>
                </c:pt>
                <c:pt idx="3">
                  <c:v>Jēkabpils raj.</c:v>
                </c:pt>
                <c:pt idx="4">
                  <c:v>Aizkraukles raj.</c:v>
                </c:pt>
                <c:pt idx="5">
                  <c:v>Jelgavas p.</c:v>
                </c:pt>
              </c:strCache>
            </c:strRef>
          </c:cat>
          <c:val>
            <c:numRef>
              <c:f>II_Rajona_prok!$AE$5:$AE$10</c:f>
              <c:numCache>
                <c:formatCode>General</c:formatCode>
                <c:ptCount val="6"/>
                <c:pt idx="0">
                  <c:v>7</c:v>
                </c:pt>
                <c:pt idx="1">
                  <c:v>40</c:v>
                </c:pt>
                <c:pt idx="2">
                  <c:v>6</c:v>
                </c:pt>
                <c:pt idx="3">
                  <c:v>100</c:v>
                </c:pt>
                <c:pt idx="4">
                  <c:v>21</c:v>
                </c:pt>
                <c:pt idx="5">
                  <c:v>26</c:v>
                </c:pt>
              </c:numCache>
            </c:numRef>
          </c:val>
          <c:extLst>
            <c:ext xmlns:c16="http://schemas.microsoft.com/office/drawing/2014/chart" uri="{C3380CC4-5D6E-409C-BE32-E72D297353CC}">
              <c16:uniqueId val="{00000000-DF8E-4E85-B5AD-49EDF85393DB}"/>
            </c:ext>
          </c:extLst>
        </c:ser>
        <c:ser>
          <c:idx val="1"/>
          <c:order val="1"/>
          <c:tx>
            <c:strRef>
              <c:f>II_Rajona_prok!$AF$4</c:f>
              <c:strCache>
                <c:ptCount val="1"/>
                <c:pt idx="0">
                  <c:v>2019</c:v>
                </c:pt>
              </c:strCache>
            </c:strRef>
          </c:tx>
          <c:invertIfNegative val="0"/>
          <c:cat>
            <c:strRef>
              <c:f>II_Rajona_prok!$AD$5:$AD$10</c:f>
              <c:strCache>
                <c:ptCount val="6"/>
                <c:pt idx="0">
                  <c:v>Dobeles raj.</c:v>
                </c:pt>
                <c:pt idx="1">
                  <c:v>Tukuma raj.</c:v>
                </c:pt>
                <c:pt idx="2">
                  <c:v>Bauskas raj.</c:v>
                </c:pt>
                <c:pt idx="3">
                  <c:v>Jēkabpils raj.</c:v>
                </c:pt>
                <c:pt idx="4">
                  <c:v>Aizkraukles raj.</c:v>
                </c:pt>
                <c:pt idx="5">
                  <c:v>Jelgavas p.</c:v>
                </c:pt>
              </c:strCache>
            </c:strRef>
          </c:cat>
          <c:val>
            <c:numRef>
              <c:f>II_Rajona_prok!$AF$5:$AF$10</c:f>
              <c:numCache>
                <c:formatCode>General</c:formatCode>
                <c:ptCount val="6"/>
                <c:pt idx="0">
                  <c:v>5</c:v>
                </c:pt>
                <c:pt idx="1">
                  <c:v>29</c:v>
                </c:pt>
                <c:pt idx="2">
                  <c:v>12</c:v>
                </c:pt>
                <c:pt idx="3">
                  <c:v>21</c:v>
                </c:pt>
                <c:pt idx="4">
                  <c:v>16</c:v>
                </c:pt>
                <c:pt idx="5">
                  <c:v>41</c:v>
                </c:pt>
              </c:numCache>
            </c:numRef>
          </c:val>
          <c:extLst>
            <c:ext xmlns:c16="http://schemas.microsoft.com/office/drawing/2014/chart" uri="{C3380CC4-5D6E-409C-BE32-E72D297353CC}">
              <c16:uniqueId val="{00000001-DF8E-4E85-B5AD-49EDF85393DB}"/>
            </c:ext>
          </c:extLst>
        </c:ser>
        <c:dLbls>
          <c:showLegendKey val="0"/>
          <c:showVal val="0"/>
          <c:showCatName val="0"/>
          <c:showSerName val="0"/>
          <c:showPercent val="0"/>
          <c:showBubbleSize val="0"/>
        </c:dLbls>
        <c:gapWidth val="150"/>
        <c:axId val="783545983"/>
        <c:axId val="1"/>
      </c:barChart>
      <c:catAx>
        <c:axId val="783545983"/>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783545983"/>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662"/>
            </a:pPr>
            <a:r>
              <a:rPr lang="lv-LV" sz="1200" baseline="0">
                <a:solidFill>
                  <a:schemeClr val="tx1"/>
                </a:solidFill>
              </a:rPr>
              <a:t>Dota piekrišana kriminālprocesa apturēšanai izmeklēšanā</a:t>
            </a:r>
          </a:p>
        </c:rich>
      </c:tx>
      <c:overlay val="0"/>
    </c:title>
    <c:autoTitleDeleted val="0"/>
    <c:plotArea>
      <c:layout/>
      <c:barChart>
        <c:barDir val="col"/>
        <c:grouping val="clustered"/>
        <c:varyColors val="0"/>
        <c:ser>
          <c:idx val="0"/>
          <c:order val="0"/>
          <c:tx>
            <c:strRef>
              <c:f>II_Rajona_prok!$AI$4</c:f>
              <c:strCache>
                <c:ptCount val="1"/>
                <c:pt idx="0">
                  <c:v>2020</c:v>
                </c:pt>
              </c:strCache>
            </c:strRef>
          </c:tx>
          <c:invertIfNegative val="0"/>
          <c:dLbls>
            <c:spPr>
              <a:noFill/>
              <a:ln w="35179">
                <a:noFill/>
              </a:ln>
            </c:spPr>
            <c:txPr>
              <a:bodyPr rot="-5400000" vert="horz"/>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II_Rajona_prok!$AH$5:$AH$10</c:f>
              <c:strCache>
                <c:ptCount val="6"/>
                <c:pt idx="0">
                  <c:v>Dobeles raj.</c:v>
                </c:pt>
                <c:pt idx="1">
                  <c:v>Tukuma raj.</c:v>
                </c:pt>
                <c:pt idx="2">
                  <c:v>Bauskas raj.</c:v>
                </c:pt>
                <c:pt idx="3">
                  <c:v>Jēkabpils raj.</c:v>
                </c:pt>
                <c:pt idx="4">
                  <c:v>Aizkraukles raj.</c:v>
                </c:pt>
                <c:pt idx="5">
                  <c:v>Jelgavas p.</c:v>
                </c:pt>
              </c:strCache>
            </c:strRef>
          </c:cat>
          <c:val>
            <c:numRef>
              <c:f>II_Rajona_prok!$AI$5:$AI$10</c:f>
              <c:numCache>
                <c:formatCode>General</c:formatCode>
                <c:ptCount val="6"/>
                <c:pt idx="0">
                  <c:v>461</c:v>
                </c:pt>
                <c:pt idx="1">
                  <c:v>184</c:v>
                </c:pt>
                <c:pt idx="2">
                  <c:v>404</c:v>
                </c:pt>
                <c:pt idx="3">
                  <c:v>343</c:v>
                </c:pt>
                <c:pt idx="4">
                  <c:v>179</c:v>
                </c:pt>
                <c:pt idx="5">
                  <c:v>326</c:v>
                </c:pt>
              </c:numCache>
            </c:numRef>
          </c:val>
          <c:extLst>
            <c:ext xmlns:c16="http://schemas.microsoft.com/office/drawing/2014/chart" uri="{C3380CC4-5D6E-409C-BE32-E72D297353CC}">
              <c16:uniqueId val="{00000000-9F58-4F35-AE99-A59453458F8D}"/>
            </c:ext>
          </c:extLst>
        </c:ser>
        <c:ser>
          <c:idx val="1"/>
          <c:order val="1"/>
          <c:tx>
            <c:strRef>
              <c:f>II_Rajona_prok!$AJ$4</c:f>
              <c:strCache>
                <c:ptCount val="1"/>
                <c:pt idx="0">
                  <c:v>2019</c:v>
                </c:pt>
              </c:strCache>
            </c:strRef>
          </c:tx>
          <c:invertIfNegative val="0"/>
          <c:dLbls>
            <c:spPr>
              <a:noFill/>
              <a:ln w="35179">
                <a:noFill/>
              </a:ln>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II_Rajona_prok!$AH$5:$AH$10</c:f>
              <c:strCache>
                <c:ptCount val="6"/>
                <c:pt idx="0">
                  <c:v>Dobeles raj.</c:v>
                </c:pt>
                <c:pt idx="1">
                  <c:v>Tukuma raj.</c:v>
                </c:pt>
                <c:pt idx="2">
                  <c:v>Bauskas raj.</c:v>
                </c:pt>
                <c:pt idx="3">
                  <c:v>Jēkabpils raj.</c:v>
                </c:pt>
                <c:pt idx="4">
                  <c:v>Aizkraukles raj.</c:v>
                </c:pt>
                <c:pt idx="5">
                  <c:v>Jelgavas p.</c:v>
                </c:pt>
              </c:strCache>
            </c:strRef>
          </c:cat>
          <c:val>
            <c:numRef>
              <c:f>II_Rajona_prok!$AJ$5:$AJ$10</c:f>
              <c:numCache>
                <c:formatCode>General</c:formatCode>
                <c:ptCount val="6"/>
                <c:pt idx="0">
                  <c:v>246</c:v>
                </c:pt>
                <c:pt idx="1">
                  <c:v>253</c:v>
                </c:pt>
                <c:pt idx="2">
                  <c:v>382</c:v>
                </c:pt>
                <c:pt idx="3">
                  <c:v>315</c:v>
                </c:pt>
                <c:pt idx="4">
                  <c:v>204</c:v>
                </c:pt>
                <c:pt idx="5">
                  <c:v>502</c:v>
                </c:pt>
              </c:numCache>
            </c:numRef>
          </c:val>
          <c:extLst>
            <c:ext xmlns:c16="http://schemas.microsoft.com/office/drawing/2014/chart" uri="{C3380CC4-5D6E-409C-BE32-E72D297353CC}">
              <c16:uniqueId val="{00000001-9F58-4F35-AE99-A59453458F8D}"/>
            </c:ext>
          </c:extLst>
        </c:ser>
        <c:dLbls>
          <c:showLegendKey val="0"/>
          <c:showVal val="0"/>
          <c:showCatName val="0"/>
          <c:showSerName val="0"/>
          <c:showPercent val="0"/>
          <c:showBubbleSize val="0"/>
        </c:dLbls>
        <c:gapWidth val="150"/>
        <c:axId val="636264543"/>
        <c:axId val="1"/>
      </c:barChart>
      <c:catAx>
        <c:axId val="636264543"/>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636264543"/>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lv-LV" sz="1200">
                <a:solidFill>
                  <a:schemeClr val="tx1"/>
                </a:solidFill>
              </a:rPr>
              <a:t>Prokuroru dotie norādījumi</a:t>
            </a:r>
          </a:p>
        </c:rich>
      </c:tx>
      <c:overlay val="0"/>
    </c:title>
    <c:autoTitleDeleted val="0"/>
    <c:plotArea>
      <c:layout/>
      <c:barChart>
        <c:barDir val="col"/>
        <c:grouping val="clustered"/>
        <c:varyColors val="0"/>
        <c:ser>
          <c:idx val="0"/>
          <c:order val="0"/>
          <c:tx>
            <c:strRef>
              <c:f>II_Rajona_prok!$AM$4</c:f>
              <c:strCache>
                <c:ptCount val="1"/>
                <c:pt idx="0">
                  <c:v>2020</c:v>
                </c:pt>
              </c:strCache>
            </c:strRef>
          </c:tx>
          <c:invertIfNegative val="0"/>
          <c:cat>
            <c:strRef>
              <c:f>II_Rajona_prok!$AL$5:$AL$10</c:f>
              <c:strCache>
                <c:ptCount val="6"/>
                <c:pt idx="0">
                  <c:v>Dobeles raj.</c:v>
                </c:pt>
                <c:pt idx="1">
                  <c:v>Tukuma raj.</c:v>
                </c:pt>
                <c:pt idx="2">
                  <c:v>Bauskas raj.</c:v>
                </c:pt>
                <c:pt idx="3">
                  <c:v>Jēkabpils raj.</c:v>
                </c:pt>
                <c:pt idx="4">
                  <c:v>Aizkraukles raj.</c:v>
                </c:pt>
                <c:pt idx="5">
                  <c:v>Jelgavas p.</c:v>
                </c:pt>
              </c:strCache>
            </c:strRef>
          </c:cat>
          <c:val>
            <c:numRef>
              <c:f>II_Rajona_prok!$AM$5:$AM$10</c:f>
              <c:numCache>
                <c:formatCode>General</c:formatCode>
                <c:ptCount val="6"/>
                <c:pt idx="0">
                  <c:v>528</c:v>
                </c:pt>
                <c:pt idx="1">
                  <c:v>68</c:v>
                </c:pt>
                <c:pt idx="2">
                  <c:v>530</c:v>
                </c:pt>
                <c:pt idx="3">
                  <c:v>199</c:v>
                </c:pt>
                <c:pt idx="4">
                  <c:v>159</c:v>
                </c:pt>
                <c:pt idx="5">
                  <c:v>690</c:v>
                </c:pt>
              </c:numCache>
            </c:numRef>
          </c:val>
          <c:extLst>
            <c:ext xmlns:c16="http://schemas.microsoft.com/office/drawing/2014/chart" uri="{C3380CC4-5D6E-409C-BE32-E72D297353CC}">
              <c16:uniqueId val="{00000000-9362-42DA-AE77-8254AC13B767}"/>
            </c:ext>
          </c:extLst>
        </c:ser>
        <c:ser>
          <c:idx val="1"/>
          <c:order val="1"/>
          <c:tx>
            <c:strRef>
              <c:f>II_Rajona_prok!$AN$4</c:f>
              <c:strCache>
                <c:ptCount val="1"/>
                <c:pt idx="0">
                  <c:v>2019</c:v>
                </c:pt>
              </c:strCache>
            </c:strRef>
          </c:tx>
          <c:invertIfNegative val="0"/>
          <c:cat>
            <c:strRef>
              <c:f>II_Rajona_prok!$AL$5:$AL$10</c:f>
              <c:strCache>
                <c:ptCount val="6"/>
                <c:pt idx="0">
                  <c:v>Dobeles raj.</c:v>
                </c:pt>
                <c:pt idx="1">
                  <c:v>Tukuma raj.</c:v>
                </c:pt>
                <c:pt idx="2">
                  <c:v>Bauskas raj.</c:v>
                </c:pt>
                <c:pt idx="3">
                  <c:v>Jēkabpils raj.</c:v>
                </c:pt>
                <c:pt idx="4">
                  <c:v>Aizkraukles raj.</c:v>
                </c:pt>
                <c:pt idx="5">
                  <c:v>Jelgavas p.</c:v>
                </c:pt>
              </c:strCache>
            </c:strRef>
          </c:cat>
          <c:val>
            <c:numRef>
              <c:f>II_Rajona_prok!$AN$5:$AN$10</c:f>
              <c:numCache>
                <c:formatCode>General</c:formatCode>
                <c:ptCount val="6"/>
                <c:pt idx="0">
                  <c:v>546</c:v>
                </c:pt>
                <c:pt idx="1">
                  <c:v>76</c:v>
                </c:pt>
                <c:pt idx="2">
                  <c:v>763</c:v>
                </c:pt>
                <c:pt idx="3">
                  <c:v>391</c:v>
                </c:pt>
                <c:pt idx="4">
                  <c:v>172</c:v>
                </c:pt>
                <c:pt idx="5">
                  <c:v>829</c:v>
                </c:pt>
              </c:numCache>
            </c:numRef>
          </c:val>
          <c:extLst>
            <c:ext xmlns:c16="http://schemas.microsoft.com/office/drawing/2014/chart" uri="{C3380CC4-5D6E-409C-BE32-E72D297353CC}">
              <c16:uniqueId val="{00000001-9362-42DA-AE77-8254AC13B767}"/>
            </c:ext>
          </c:extLst>
        </c:ser>
        <c:dLbls>
          <c:showLegendKey val="0"/>
          <c:showVal val="0"/>
          <c:showCatName val="0"/>
          <c:showSerName val="0"/>
          <c:showPercent val="0"/>
          <c:showBubbleSize val="0"/>
        </c:dLbls>
        <c:gapWidth val="150"/>
        <c:axId val="692920831"/>
        <c:axId val="1"/>
      </c:barChart>
      <c:catAx>
        <c:axId val="692920831"/>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692920831"/>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662"/>
            </a:pPr>
            <a:r>
              <a:rPr lang="lv-LV" sz="1200" baseline="0">
                <a:solidFill>
                  <a:schemeClr val="tx1"/>
                </a:solidFill>
              </a:rPr>
              <a:t>Valsts apsūdzības uzturēšana pirmās instances tiesā (izskatītas krimināllietas), no tām bez pierādījumu pārbaudes</a:t>
            </a:r>
          </a:p>
        </c:rich>
      </c:tx>
      <c:overlay val="0"/>
    </c:title>
    <c:autoTitleDeleted val="0"/>
    <c:plotArea>
      <c:layout/>
      <c:barChart>
        <c:barDir val="col"/>
        <c:grouping val="clustered"/>
        <c:varyColors val="0"/>
        <c:ser>
          <c:idx val="0"/>
          <c:order val="0"/>
          <c:tx>
            <c:strRef>
              <c:f>II_Rajona_prok!$AQ$4</c:f>
              <c:strCache>
                <c:ptCount val="1"/>
                <c:pt idx="0">
                  <c:v>2020</c:v>
                </c:pt>
              </c:strCache>
            </c:strRef>
          </c:tx>
          <c:invertIfNegative val="0"/>
          <c:dLbls>
            <c:spPr>
              <a:noFill/>
              <a:ln w="35173">
                <a:noFill/>
              </a:ln>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Dobeles raj.</c:v>
                </c:pt>
                <c:pt idx="1">
                  <c:v>Tukuma raj.</c:v>
                </c:pt>
                <c:pt idx="2">
                  <c:v>Bauskas raj.</c:v>
                </c:pt>
                <c:pt idx="3">
                  <c:v>Jēkabpils raj.</c:v>
                </c:pt>
                <c:pt idx="4">
                  <c:v>Aizkraukles raj.</c:v>
                </c:pt>
                <c:pt idx="5">
                  <c:v>Jelgavas p.</c:v>
                </c:pt>
              </c:strCache>
            </c:strRef>
          </c:cat>
          <c:val>
            <c:numRef>
              <c:f>II_Rajona_prok!$AQ$5:$AQ$10</c:f>
              <c:numCache>
                <c:formatCode>General</c:formatCode>
                <c:ptCount val="6"/>
                <c:pt idx="0">
                  <c:v>197</c:v>
                </c:pt>
                <c:pt idx="1">
                  <c:v>225</c:v>
                </c:pt>
                <c:pt idx="2">
                  <c:v>225</c:v>
                </c:pt>
                <c:pt idx="3">
                  <c:v>322</c:v>
                </c:pt>
                <c:pt idx="4">
                  <c:v>186</c:v>
                </c:pt>
                <c:pt idx="5">
                  <c:v>338</c:v>
                </c:pt>
              </c:numCache>
            </c:numRef>
          </c:val>
          <c:extLst>
            <c:ext xmlns:c16="http://schemas.microsoft.com/office/drawing/2014/chart" uri="{C3380CC4-5D6E-409C-BE32-E72D297353CC}">
              <c16:uniqueId val="{00000000-169A-4D66-A69B-8D09722CFA93}"/>
            </c:ext>
          </c:extLst>
        </c:ser>
        <c:ser>
          <c:idx val="1"/>
          <c:order val="1"/>
          <c:tx>
            <c:strRef>
              <c:f>II_Rajona_prok!$AQ$4</c:f>
              <c:strCache>
                <c:ptCount val="1"/>
                <c:pt idx="0">
                  <c:v>2020</c:v>
                </c:pt>
              </c:strCache>
            </c:strRef>
          </c:tx>
          <c:invertIfNegative val="0"/>
          <c:dLbls>
            <c:spPr>
              <a:noFill/>
              <a:ln w="35173">
                <a:noFill/>
              </a:ln>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Dobeles raj.</c:v>
                </c:pt>
                <c:pt idx="1">
                  <c:v>Tukuma raj.</c:v>
                </c:pt>
                <c:pt idx="2">
                  <c:v>Bauskas raj.</c:v>
                </c:pt>
                <c:pt idx="3">
                  <c:v>Jēkabpils raj.</c:v>
                </c:pt>
                <c:pt idx="4">
                  <c:v>Aizkraukles raj.</c:v>
                </c:pt>
                <c:pt idx="5">
                  <c:v>Jelgavas p.</c:v>
                </c:pt>
              </c:strCache>
            </c:strRef>
          </c:cat>
          <c:val>
            <c:numRef>
              <c:f>II_Rajona_prok!$AR$5:$AR$10</c:f>
              <c:numCache>
                <c:formatCode>General</c:formatCode>
                <c:ptCount val="6"/>
                <c:pt idx="0">
                  <c:v>123</c:v>
                </c:pt>
                <c:pt idx="1">
                  <c:v>159</c:v>
                </c:pt>
                <c:pt idx="2">
                  <c:v>168</c:v>
                </c:pt>
                <c:pt idx="3">
                  <c:v>199</c:v>
                </c:pt>
                <c:pt idx="4">
                  <c:v>127</c:v>
                </c:pt>
                <c:pt idx="5">
                  <c:v>251</c:v>
                </c:pt>
              </c:numCache>
            </c:numRef>
          </c:val>
          <c:extLst>
            <c:ext xmlns:c16="http://schemas.microsoft.com/office/drawing/2014/chart" uri="{C3380CC4-5D6E-409C-BE32-E72D297353CC}">
              <c16:uniqueId val="{00000001-169A-4D66-A69B-8D09722CFA93}"/>
            </c:ext>
          </c:extLst>
        </c:ser>
        <c:ser>
          <c:idx val="2"/>
          <c:order val="2"/>
          <c:tx>
            <c:strRef>
              <c:f>II_Rajona_prok!$AS$4</c:f>
              <c:strCache>
                <c:ptCount val="1"/>
                <c:pt idx="0">
                  <c:v>2019</c:v>
                </c:pt>
              </c:strCache>
            </c:strRef>
          </c:tx>
          <c:invertIfNegative val="0"/>
          <c:dLbls>
            <c:spPr>
              <a:noFill/>
              <a:ln w="35173">
                <a:noFill/>
              </a:ln>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Dobeles raj.</c:v>
                </c:pt>
                <c:pt idx="1">
                  <c:v>Tukuma raj.</c:v>
                </c:pt>
                <c:pt idx="2">
                  <c:v>Bauskas raj.</c:v>
                </c:pt>
                <c:pt idx="3">
                  <c:v>Jēkabpils raj.</c:v>
                </c:pt>
                <c:pt idx="4">
                  <c:v>Aizkraukles raj.</c:v>
                </c:pt>
                <c:pt idx="5">
                  <c:v>Jelgavas p.</c:v>
                </c:pt>
              </c:strCache>
            </c:strRef>
          </c:cat>
          <c:val>
            <c:numRef>
              <c:f>II_Rajona_prok!$AS$5:$AS$10</c:f>
              <c:numCache>
                <c:formatCode>General</c:formatCode>
                <c:ptCount val="6"/>
                <c:pt idx="0">
                  <c:v>172</c:v>
                </c:pt>
                <c:pt idx="1">
                  <c:v>233</c:v>
                </c:pt>
                <c:pt idx="2">
                  <c:v>275</c:v>
                </c:pt>
                <c:pt idx="3">
                  <c:v>298</c:v>
                </c:pt>
                <c:pt idx="4">
                  <c:v>187</c:v>
                </c:pt>
                <c:pt idx="5">
                  <c:v>387</c:v>
                </c:pt>
              </c:numCache>
            </c:numRef>
          </c:val>
          <c:extLst>
            <c:ext xmlns:c16="http://schemas.microsoft.com/office/drawing/2014/chart" uri="{C3380CC4-5D6E-409C-BE32-E72D297353CC}">
              <c16:uniqueId val="{00000002-169A-4D66-A69B-8D09722CFA93}"/>
            </c:ext>
          </c:extLst>
        </c:ser>
        <c:ser>
          <c:idx val="3"/>
          <c:order val="3"/>
          <c:tx>
            <c:strRef>
              <c:f>II_Rajona_prok!$AS$4</c:f>
              <c:strCache>
                <c:ptCount val="1"/>
                <c:pt idx="0">
                  <c:v>2019</c:v>
                </c:pt>
              </c:strCache>
            </c:strRef>
          </c:tx>
          <c:invertIfNegative val="0"/>
          <c:dLbls>
            <c:spPr>
              <a:noFill/>
              <a:ln w="35173">
                <a:noFill/>
              </a:ln>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Dobeles raj.</c:v>
                </c:pt>
                <c:pt idx="1">
                  <c:v>Tukuma raj.</c:v>
                </c:pt>
                <c:pt idx="2">
                  <c:v>Bauskas raj.</c:v>
                </c:pt>
                <c:pt idx="3">
                  <c:v>Jēkabpils raj.</c:v>
                </c:pt>
                <c:pt idx="4">
                  <c:v>Aizkraukles raj.</c:v>
                </c:pt>
                <c:pt idx="5">
                  <c:v>Jelgavas p.</c:v>
                </c:pt>
              </c:strCache>
            </c:strRef>
          </c:cat>
          <c:val>
            <c:numRef>
              <c:f>II_Rajona_prok!$AT$5:$AT$10</c:f>
              <c:numCache>
                <c:formatCode>General</c:formatCode>
                <c:ptCount val="6"/>
                <c:pt idx="0">
                  <c:v>131</c:v>
                </c:pt>
                <c:pt idx="1">
                  <c:v>159</c:v>
                </c:pt>
                <c:pt idx="2">
                  <c:v>202</c:v>
                </c:pt>
                <c:pt idx="3">
                  <c:v>202</c:v>
                </c:pt>
                <c:pt idx="4">
                  <c:v>100</c:v>
                </c:pt>
                <c:pt idx="5">
                  <c:v>268</c:v>
                </c:pt>
              </c:numCache>
            </c:numRef>
          </c:val>
          <c:extLst>
            <c:ext xmlns:c16="http://schemas.microsoft.com/office/drawing/2014/chart" uri="{C3380CC4-5D6E-409C-BE32-E72D297353CC}">
              <c16:uniqueId val="{00000003-169A-4D66-A69B-8D09722CFA93}"/>
            </c:ext>
          </c:extLst>
        </c:ser>
        <c:dLbls>
          <c:showLegendKey val="0"/>
          <c:showVal val="0"/>
          <c:showCatName val="0"/>
          <c:showSerName val="0"/>
          <c:showPercent val="0"/>
          <c:showBubbleSize val="0"/>
        </c:dLbls>
        <c:gapWidth val="150"/>
        <c:axId val="692917231"/>
        <c:axId val="1"/>
      </c:barChart>
      <c:catAx>
        <c:axId val="692917231"/>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692917231"/>
        <c:crosses val="autoZero"/>
        <c:crossBetween val="between"/>
      </c:valAx>
    </c:plotArea>
    <c:legend>
      <c:legendPos val="r"/>
      <c:layout>
        <c:manualLayout>
          <c:xMode val="edge"/>
          <c:yMode val="edge"/>
          <c:x val="0.88235294117647056"/>
          <c:y val="0.42909090909090908"/>
          <c:w val="0.10845588235294118"/>
          <c:h val="0.42181818181818181"/>
        </c:manualLayout>
      </c:layout>
      <c:overlay val="0"/>
      <c:txPr>
        <a:bodyPr/>
        <a:lstStyle/>
        <a:p>
          <a:pPr>
            <a:defRPr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662"/>
            </a:pPr>
            <a:r>
              <a:rPr lang="lv-LV" sz="1200" baseline="0">
                <a:solidFill>
                  <a:schemeClr val="tx1"/>
                </a:solidFill>
              </a:rPr>
              <a:t>Iesniegti protesti, no tiem apmierināti</a:t>
            </a:r>
          </a:p>
        </c:rich>
      </c:tx>
      <c:overlay val="0"/>
    </c:title>
    <c:autoTitleDeleted val="0"/>
    <c:plotArea>
      <c:layout>
        <c:manualLayout>
          <c:layoutTarget val="inner"/>
          <c:xMode val="edge"/>
          <c:yMode val="edge"/>
          <c:x val="5.3779527559055115E-2"/>
          <c:y val="0.14050991501416429"/>
          <c:w val="0.8323119126238252"/>
          <c:h val="0.66110414668421391"/>
        </c:manualLayout>
      </c:layout>
      <c:barChart>
        <c:barDir val="col"/>
        <c:grouping val="clustered"/>
        <c:varyColors val="0"/>
        <c:ser>
          <c:idx val="0"/>
          <c:order val="0"/>
          <c:tx>
            <c:strRef>
              <c:f>II_Rajona_prok!$AW$4</c:f>
              <c:strCache>
                <c:ptCount val="1"/>
                <c:pt idx="0">
                  <c:v>2020</c:v>
                </c:pt>
              </c:strCache>
            </c:strRef>
          </c:tx>
          <c:invertIfNegative val="0"/>
          <c:dLbls>
            <c:dLbl>
              <c:idx val="5"/>
              <c:tx>
                <c:rich>
                  <a:bodyPr/>
                  <a:lstStyle/>
                  <a:p>
                    <a:fld id="{CC7AC89D-36F2-4FF0-A8D0-E81CDD02A8EF}" type="VALUE">
                      <a:rPr lang="en-US">
                        <a:solidFill>
                          <a:sysClr val="windowText" lastClr="000000"/>
                        </a:solidFill>
                      </a:rPr>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E5B7-4E40-9980-F371E1840FEA}"/>
                </c:ext>
              </c:extLst>
            </c:dLbl>
            <c:spPr>
              <a:noFill/>
              <a:ln w="35179">
                <a:noFill/>
              </a:ln>
            </c:spPr>
            <c:txPr>
              <a:bodyPr/>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Dobeles raj.</c:v>
                </c:pt>
                <c:pt idx="1">
                  <c:v>Tukuma raj.</c:v>
                </c:pt>
                <c:pt idx="2">
                  <c:v>Bauskas raj.</c:v>
                </c:pt>
                <c:pt idx="3">
                  <c:v>Jēkabpils raj.</c:v>
                </c:pt>
                <c:pt idx="4">
                  <c:v>Aizkraukles raj.</c:v>
                </c:pt>
                <c:pt idx="5">
                  <c:v>Jelgavas p.</c:v>
                </c:pt>
              </c:strCache>
            </c:strRef>
          </c:cat>
          <c:val>
            <c:numRef>
              <c:f>II_Rajona_prok!$AW$5:$AW$10</c:f>
              <c:numCache>
                <c:formatCode>General</c:formatCode>
                <c:ptCount val="6"/>
                <c:pt idx="0">
                  <c:v>1</c:v>
                </c:pt>
                <c:pt idx="1">
                  <c:v>5</c:v>
                </c:pt>
                <c:pt idx="2">
                  <c:v>7</c:v>
                </c:pt>
                <c:pt idx="3">
                  <c:v>22</c:v>
                </c:pt>
                <c:pt idx="4">
                  <c:v>4</c:v>
                </c:pt>
                <c:pt idx="5">
                  <c:v>16</c:v>
                </c:pt>
              </c:numCache>
            </c:numRef>
          </c:val>
          <c:extLst>
            <c:ext xmlns:c16="http://schemas.microsoft.com/office/drawing/2014/chart" uri="{C3380CC4-5D6E-409C-BE32-E72D297353CC}">
              <c16:uniqueId val="{00000000-868F-4B31-80EB-67BA10560AAE}"/>
            </c:ext>
          </c:extLst>
        </c:ser>
        <c:ser>
          <c:idx val="1"/>
          <c:order val="1"/>
          <c:tx>
            <c:strRef>
              <c:f>II_Rajona_prok!$AW$4</c:f>
              <c:strCache>
                <c:ptCount val="1"/>
                <c:pt idx="0">
                  <c:v>2020</c:v>
                </c:pt>
              </c:strCache>
            </c:strRef>
          </c:tx>
          <c:invertIfNegative val="0"/>
          <c:dLbls>
            <c:spPr>
              <a:noFill/>
              <a:ln w="35179">
                <a:noFill/>
              </a:ln>
            </c:spPr>
            <c:txPr>
              <a:bodyPr/>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Dobeles raj.</c:v>
                </c:pt>
                <c:pt idx="1">
                  <c:v>Tukuma raj.</c:v>
                </c:pt>
                <c:pt idx="2">
                  <c:v>Bauskas raj.</c:v>
                </c:pt>
                <c:pt idx="3">
                  <c:v>Jēkabpils raj.</c:v>
                </c:pt>
                <c:pt idx="4">
                  <c:v>Aizkraukles raj.</c:v>
                </c:pt>
                <c:pt idx="5">
                  <c:v>Jelgavas p.</c:v>
                </c:pt>
              </c:strCache>
            </c:strRef>
          </c:cat>
          <c:val>
            <c:numRef>
              <c:f>II_Rajona_prok!$AX$5:$AX$10</c:f>
              <c:numCache>
                <c:formatCode>General</c:formatCode>
                <c:ptCount val="6"/>
                <c:pt idx="0">
                  <c:v>3</c:v>
                </c:pt>
                <c:pt idx="1">
                  <c:v>7</c:v>
                </c:pt>
                <c:pt idx="2">
                  <c:v>0</c:v>
                </c:pt>
                <c:pt idx="3">
                  <c:v>6</c:v>
                </c:pt>
                <c:pt idx="4">
                  <c:v>0</c:v>
                </c:pt>
                <c:pt idx="5">
                  <c:v>1</c:v>
                </c:pt>
              </c:numCache>
            </c:numRef>
          </c:val>
          <c:extLst>
            <c:ext xmlns:c16="http://schemas.microsoft.com/office/drawing/2014/chart" uri="{C3380CC4-5D6E-409C-BE32-E72D297353CC}">
              <c16:uniqueId val="{00000001-868F-4B31-80EB-67BA10560AAE}"/>
            </c:ext>
          </c:extLst>
        </c:ser>
        <c:ser>
          <c:idx val="2"/>
          <c:order val="2"/>
          <c:tx>
            <c:strRef>
              <c:f>II_Rajona_prok!$AY$4</c:f>
              <c:strCache>
                <c:ptCount val="1"/>
                <c:pt idx="0">
                  <c:v>2019</c:v>
                </c:pt>
              </c:strCache>
            </c:strRef>
          </c:tx>
          <c:invertIfNegative val="0"/>
          <c:dLbls>
            <c:spPr>
              <a:noFill/>
              <a:ln w="35179">
                <a:noFill/>
              </a:ln>
            </c:spPr>
            <c:txPr>
              <a:bodyPr/>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Dobeles raj.</c:v>
                </c:pt>
                <c:pt idx="1">
                  <c:v>Tukuma raj.</c:v>
                </c:pt>
                <c:pt idx="2">
                  <c:v>Bauskas raj.</c:v>
                </c:pt>
                <c:pt idx="3">
                  <c:v>Jēkabpils raj.</c:v>
                </c:pt>
                <c:pt idx="4">
                  <c:v>Aizkraukles raj.</c:v>
                </c:pt>
                <c:pt idx="5">
                  <c:v>Jelgavas p.</c:v>
                </c:pt>
              </c:strCache>
            </c:strRef>
          </c:cat>
          <c:val>
            <c:numRef>
              <c:f>II_Rajona_prok!$AY$5:$AY$10</c:f>
              <c:numCache>
                <c:formatCode>General</c:formatCode>
                <c:ptCount val="6"/>
                <c:pt idx="0">
                  <c:v>3</c:v>
                </c:pt>
                <c:pt idx="1">
                  <c:v>9</c:v>
                </c:pt>
                <c:pt idx="2">
                  <c:v>5</c:v>
                </c:pt>
                <c:pt idx="3">
                  <c:v>9</c:v>
                </c:pt>
                <c:pt idx="4">
                  <c:v>7</c:v>
                </c:pt>
                <c:pt idx="5">
                  <c:v>5</c:v>
                </c:pt>
              </c:numCache>
            </c:numRef>
          </c:val>
          <c:extLst>
            <c:ext xmlns:c16="http://schemas.microsoft.com/office/drawing/2014/chart" uri="{C3380CC4-5D6E-409C-BE32-E72D297353CC}">
              <c16:uniqueId val="{00000002-868F-4B31-80EB-67BA10560AAE}"/>
            </c:ext>
          </c:extLst>
        </c:ser>
        <c:ser>
          <c:idx val="3"/>
          <c:order val="3"/>
          <c:tx>
            <c:strRef>
              <c:f>II_Rajona_prok!$AY$4</c:f>
              <c:strCache>
                <c:ptCount val="1"/>
                <c:pt idx="0">
                  <c:v>2019</c:v>
                </c:pt>
              </c:strCache>
            </c:strRef>
          </c:tx>
          <c:invertIfNegative val="0"/>
          <c:dLbls>
            <c:spPr>
              <a:noFill/>
              <a:ln w="35179">
                <a:noFill/>
              </a:ln>
            </c:spPr>
            <c:txPr>
              <a:bodyPr/>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Dobeles raj.</c:v>
                </c:pt>
                <c:pt idx="1">
                  <c:v>Tukuma raj.</c:v>
                </c:pt>
                <c:pt idx="2">
                  <c:v>Bauskas raj.</c:v>
                </c:pt>
                <c:pt idx="3">
                  <c:v>Jēkabpils raj.</c:v>
                </c:pt>
                <c:pt idx="4">
                  <c:v>Aizkraukles raj.</c:v>
                </c:pt>
                <c:pt idx="5">
                  <c:v>Jelgavas p.</c:v>
                </c:pt>
              </c:strCache>
            </c:strRef>
          </c:cat>
          <c:val>
            <c:numRef>
              <c:f>II_Rajona_prok!$AZ$5:$AZ$10</c:f>
              <c:numCache>
                <c:formatCode>General</c:formatCode>
                <c:ptCount val="6"/>
                <c:pt idx="0">
                  <c:v>0</c:v>
                </c:pt>
                <c:pt idx="1">
                  <c:v>6</c:v>
                </c:pt>
                <c:pt idx="2">
                  <c:v>0</c:v>
                </c:pt>
                <c:pt idx="3">
                  <c:v>3</c:v>
                </c:pt>
                <c:pt idx="4">
                  <c:v>1</c:v>
                </c:pt>
                <c:pt idx="5">
                  <c:v>3</c:v>
                </c:pt>
              </c:numCache>
            </c:numRef>
          </c:val>
          <c:extLst>
            <c:ext xmlns:c16="http://schemas.microsoft.com/office/drawing/2014/chart" uri="{C3380CC4-5D6E-409C-BE32-E72D297353CC}">
              <c16:uniqueId val="{00000003-868F-4B31-80EB-67BA10560AAE}"/>
            </c:ext>
          </c:extLst>
        </c:ser>
        <c:dLbls>
          <c:showLegendKey val="0"/>
          <c:showVal val="0"/>
          <c:showCatName val="0"/>
          <c:showSerName val="0"/>
          <c:showPercent val="0"/>
          <c:showBubbleSize val="0"/>
        </c:dLbls>
        <c:gapWidth val="150"/>
        <c:axId val="692920831"/>
        <c:axId val="1"/>
      </c:barChart>
      <c:catAx>
        <c:axId val="692920831"/>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692920831"/>
        <c:crosses val="autoZero"/>
        <c:crossBetween val="between"/>
      </c:valAx>
    </c:plotArea>
    <c:legend>
      <c:legendPos val="r"/>
      <c:layout>
        <c:manualLayout>
          <c:xMode val="edge"/>
          <c:yMode val="edge"/>
          <c:x val="0.88235294117647056"/>
          <c:y val="0.34222222222222221"/>
          <c:w val="0.10845588235294118"/>
          <c:h val="0.51555555555555554"/>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662"/>
            </a:pPr>
            <a:r>
              <a:rPr lang="lv-LV" sz="1200">
                <a:solidFill>
                  <a:schemeClr val="tx1"/>
                </a:solidFill>
              </a:rPr>
              <a:t>Izlemtas sūdzības, no tām apmierinātas</a:t>
            </a:r>
          </a:p>
        </c:rich>
      </c:tx>
      <c:overlay val="0"/>
    </c:title>
    <c:autoTitleDeleted val="0"/>
    <c:plotArea>
      <c:layout/>
      <c:barChart>
        <c:barDir val="col"/>
        <c:grouping val="clustered"/>
        <c:varyColors val="0"/>
        <c:ser>
          <c:idx val="0"/>
          <c:order val="0"/>
          <c:tx>
            <c:strRef>
              <c:f>II_Rajona_prok!$BC$4</c:f>
              <c:strCache>
                <c:ptCount val="1"/>
                <c:pt idx="0">
                  <c:v>2020</c:v>
                </c:pt>
              </c:strCache>
            </c:strRef>
          </c:tx>
          <c:invertIfNegative val="0"/>
          <c:dLbls>
            <c:spPr>
              <a:noFill/>
              <a:ln w="35179">
                <a:noFill/>
              </a:ln>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Dobeles raj.</c:v>
                </c:pt>
                <c:pt idx="1">
                  <c:v>Tukuma raj.</c:v>
                </c:pt>
                <c:pt idx="2">
                  <c:v>Bauskas raj.</c:v>
                </c:pt>
                <c:pt idx="3">
                  <c:v>Jēkabpils raj.</c:v>
                </c:pt>
                <c:pt idx="4">
                  <c:v>Aizkraukles raj.</c:v>
                </c:pt>
                <c:pt idx="5">
                  <c:v>Jelgavas p.</c:v>
                </c:pt>
              </c:strCache>
            </c:strRef>
          </c:cat>
          <c:val>
            <c:numRef>
              <c:f>II_Rajona_prok!$BC$5:$BC$10</c:f>
              <c:numCache>
                <c:formatCode>General</c:formatCode>
                <c:ptCount val="6"/>
                <c:pt idx="0">
                  <c:v>67</c:v>
                </c:pt>
                <c:pt idx="1">
                  <c:v>88</c:v>
                </c:pt>
                <c:pt idx="2">
                  <c:v>65</c:v>
                </c:pt>
                <c:pt idx="3">
                  <c:v>94</c:v>
                </c:pt>
                <c:pt idx="4">
                  <c:v>84</c:v>
                </c:pt>
                <c:pt idx="5">
                  <c:v>162</c:v>
                </c:pt>
              </c:numCache>
            </c:numRef>
          </c:val>
          <c:extLst>
            <c:ext xmlns:c16="http://schemas.microsoft.com/office/drawing/2014/chart" uri="{C3380CC4-5D6E-409C-BE32-E72D297353CC}">
              <c16:uniqueId val="{00000000-4A60-4618-A2F4-902C3CEF4721}"/>
            </c:ext>
          </c:extLst>
        </c:ser>
        <c:ser>
          <c:idx val="1"/>
          <c:order val="1"/>
          <c:tx>
            <c:strRef>
              <c:f>II_Rajona_prok!$BC$4</c:f>
              <c:strCache>
                <c:ptCount val="1"/>
                <c:pt idx="0">
                  <c:v>2020</c:v>
                </c:pt>
              </c:strCache>
            </c:strRef>
          </c:tx>
          <c:invertIfNegative val="0"/>
          <c:dLbls>
            <c:spPr>
              <a:noFill/>
              <a:ln w="35179">
                <a:noFill/>
              </a:ln>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Dobeles raj.</c:v>
                </c:pt>
                <c:pt idx="1">
                  <c:v>Tukuma raj.</c:v>
                </c:pt>
                <c:pt idx="2">
                  <c:v>Bauskas raj.</c:v>
                </c:pt>
                <c:pt idx="3">
                  <c:v>Jēkabpils raj.</c:v>
                </c:pt>
                <c:pt idx="4">
                  <c:v>Aizkraukles raj.</c:v>
                </c:pt>
                <c:pt idx="5">
                  <c:v>Jelgavas p.</c:v>
                </c:pt>
              </c:strCache>
            </c:strRef>
          </c:cat>
          <c:val>
            <c:numRef>
              <c:f>II_Rajona_prok!$BD$5:$BD$10</c:f>
              <c:numCache>
                <c:formatCode>General</c:formatCode>
                <c:ptCount val="6"/>
                <c:pt idx="0">
                  <c:v>12</c:v>
                </c:pt>
                <c:pt idx="1">
                  <c:v>25</c:v>
                </c:pt>
                <c:pt idx="2">
                  <c:v>24</c:v>
                </c:pt>
                <c:pt idx="3">
                  <c:v>8</c:v>
                </c:pt>
                <c:pt idx="4">
                  <c:v>27</c:v>
                </c:pt>
                <c:pt idx="5">
                  <c:v>45</c:v>
                </c:pt>
              </c:numCache>
            </c:numRef>
          </c:val>
          <c:extLst>
            <c:ext xmlns:c16="http://schemas.microsoft.com/office/drawing/2014/chart" uri="{C3380CC4-5D6E-409C-BE32-E72D297353CC}">
              <c16:uniqueId val="{00000001-4A60-4618-A2F4-902C3CEF4721}"/>
            </c:ext>
          </c:extLst>
        </c:ser>
        <c:ser>
          <c:idx val="2"/>
          <c:order val="2"/>
          <c:tx>
            <c:strRef>
              <c:f>II_Rajona_prok!$BE$4</c:f>
              <c:strCache>
                <c:ptCount val="1"/>
                <c:pt idx="0">
                  <c:v>2019</c:v>
                </c:pt>
              </c:strCache>
            </c:strRef>
          </c:tx>
          <c:invertIfNegative val="0"/>
          <c:dLbls>
            <c:spPr>
              <a:noFill/>
              <a:ln w="35179">
                <a:noFill/>
              </a:ln>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Dobeles raj.</c:v>
                </c:pt>
                <c:pt idx="1">
                  <c:v>Tukuma raj.</c:v>
                </c:pt>
                <c:pt idx="2">
                  <c:v>Bauskas raj.</c:v>
                </c:pt>
                <c:pt idx="3">
                  <c:v>Jēkabpils raj.</c:v>
                </c:pt>
                <c:pt idx="4">
                  <c:v>Aizkraukles raj.</c:v>
                </c:pt>
                <c:pt idx="5">
                  <c:v>Jelgavas p.</c:v>
                </c:pt>
              </c:strCache>
            </c:strRef>
          </c:cat>
          <c:val>
            <c:numRef>
              <c:f>II_Rajona_prok!$BE$5:$BE$10</c:f>
              <c:numCache>
                <c:formatCode>General</c:formatCode>
                <c:ptCount val="6"/>
                <c:pt idx="0">
                  <c:v>60</c:v>
                </c:pt>
                <c:pt idx="1">
                  <c:v>112</c:v>
                </c:pt>
                <c:pt idx="2">
                  <c:v>69</c:v>
                </c:pt>
                <c:pt idx="3">
                  <c:v>93</c:v>
                </c:pt>
                <c:pt idx="4">
                  <c:v>85</c:v>
                </c:pt>
                <c:pt idx="5">
                  <c:v>240</c:v>
                </c:pt>
              </c:numCache>
            </c:numRef>
          </c:val>
          <c:extLst>
            <c:ext xmlns:c16="http://schemas.microsoft.com/office/drawing/2014/chart" uri="{C3380CC4-5D6E-409C-BE32-E72D297353CC}">
              <c16:uniqueId val="{00000002-4A60-4618-A2F4-902C3CEF4721}"/>
            </c:ext>
          </c:extLst>
        </c:ser>
        <c:ser>
          <c:idx val="3"/>
          <c:order val="3"/>
          <c:tx>
            <c:strRef>
              <c:f>II_Rajona_prok!$BE$4</c:f>
              <c:strCache>
                <c:ptCount val="1"/>
                <c:pt idx="0">
                  <c:v>2019</c:v>
                </c:pt>
              </c:strCache>
            </c:strRef>
          </c:tx>
          <c:invertIfNegative val="0"/>
          <c:dLbls>
            <c:spPr>
              <a:noFill/>
              <a:ln w="35179">
                <a:noFill/>
              </a:ln>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Dobeles raj.</c:v>
                </c:pt>
                <c:pt idx="1">
                  <c:v>Tukuma raj.</c:v>
                </c:pt>
                <c:pt idx="2">
                  <c:v>Bauskas raj.</c:v>
                </c:pt>
                <c:pt idx="3">
                  <c:v>Jēkabpils raj.</c:v>
                </c:pt>
                <c:pt idx="4">
                  <c:v>Aizkraukles raj.</c:v>
                </c:pt>
                <c:pt idx="5">
                  <c:v>Jelgavas p.</c:v>
                </c:pt>
              </c:strCache>
            </c:strRef>
          </c:cat>
          <c:val>
            <c:numRef>
              <c:f>II_Rajona_prok!$BF$5:$BF$10</c:f>
              <c:numCache>
                <c:formatCode>General</c:formatCode>
                <c:ptCount val="6"/>
                <c:pt idx="0">
                  <c:v>14</c:v>
                </c:pt>
                <c:pt idx="1">
                  <c:v>27</c:v>
                </c:pt>
                <c:pt idx="2">
                  <c:v>24</c:v>
                </c:pt>
                <c:pt idx="3">
                  <c:v>20</c:v>
                </c:pt>
                <c:pt idx="4">
                  <c:v>19</c:v>
                </c:pt>
                <c:pt idx="5">
                  <c:v>58</c:v>
                </c:pt>
              </c:numCache>
            </c:numRef>
          </c:val>
          <c:extLst>
            <c:ext xmlns:c16="http://schemas.microsoft.com/office/drawing/2014/chart" uri="{C3380CC4-5D6E-409C-BE32-E72D297353CC}">
              <c16:uniqueId val="{00000003-4A60-4618-A2F4-902C3CEF4721}"/>
            </c:ext>
          </c:extLst>
        </c:ser>
        <c:dLbls>
          <c:showLegendKey val="0"/>
          <c:showVal val="0"/>
          <c:showCatName val="0"/>
          <c:showSerName val="0"/>
          <c:showPercent val="0"/>
          <c:showBubbleSize val="0"/>
        </c:dLbls>
        <c:gapWidth val="150"/>
        <c:axId val="695648767"/>
        <c:axId val="1"/>
      </c:barChart>
      <c:catAx>
        <c:axId val="695648767"/>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695648767"/>
        <c:crosses val="autoZero"/>
        <c:crossBetween val="between"/>
      </c:valAx>
    </c:plotArea>
    <c:legend>
      <c:legendPos val="r"/>
      <c:layout>
        <c:manualLayout>
          <c:xMode val="edge"/>
          <c:yMode val="edge"/>
          <c:x val="0.88235294117647056"/>
          <c:y val="0.30522088353413657"/>
          <c:w val="0.10845588235294118"/>
          <c:h val="0.46586345381526106"/>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400"/>
            </a:pPr>
            <a:r>
              <a:rPr lang="lv-LV" sz="1200">
                <a:solidFill>
                  <a:schemeClr val="tx1"/>
                </a:solidFill>
              </a:rPr>
              <a:t>Prokuroru personālsastāvs</a:t>
            </a:r>
          </a:p>
        </c:rich>
      </c:tx>
      <c:layout>
        <c:manualLayout>
          <c:xMode val="edge"/>
          <c:yMode val="edge"/>
          <c:x val="0.25454372150849564"/>
          <c:y val="1.4925373134328358E-2"/>
        </c:manualLayout>
      </c:layout>
      <c:overlay val="0"/>
    </c:title>
    <c:autoTitleDeleted val="0"/>
    <c:plotArea>
      <c:layout>
        <c:manualLayout>
          <c:layoutTarget val="inner"/>
          <c:xMode val="edge"/>
          <c:yMode val="edge"/>
          <c:x val="0.15962962034204323"/>
          <c:y val="0.1858881393407486"/>
          <c:w val="0.43861477506394503"/>
          <c:h val="0.78925523994314462"/>
        </c:manualLayout>
      </c:layout>
      <c:doughnutChart>
        <c:varyColors val="1"/>
        <c:ser>
          <c:idx val="0"/>
          <c:order val="0"/>
          <c:dLbls>
            <c:dLbl>
              <c:idx val="0"/>
              <c:layout>
                <c:manualLayout>
                  <c:x val="9.5541401273885346E-3"/>
                  <c:y val="-4.0114613180515762E-2"/>
                </c:manualLayout>
              </c:layout>
              <c:tx>
                <c:rich>
                  <a:bodyPr/>
                  <a:lstStyle/>
                  <a:p>
                    <a:r>
                      <a:rPr lang="en-US"/>
                      <a:t>72</a:t>
                    </a:r>
                  </a:p>
                </c:rich>
              </c:tx>
              <c:showLegendKey val="0"/>
              <c:showVal val="1"/>
              <c:showCatName val="0"/>
              <c:showSerName val="0"/>
              <c:showPercent val="1"/>
              <c:showBubbleSize val="0"/>
              <c:extLst>
                <c:ext xmlns:c15="http://schemas.microsoft.com/office/drawing/2012/chart" uri="{CE6537A1-D6FC-4f65-9D91-7224C49458BB}">
                  <c15:layout>
                    <c:manualLayout>
                      <c:w val="7.6433121019108277E-2"/>
                      <c:h val="0.15931232091690545"/>
                    </c:manualLayout>
                  </c15:layout>
                  <c15:showDataLabelsRange val="0"/>
                </c:ext>
                <c:ext xmlns:c16="http://schemas.microsoft.com/office/drawing/2014/chart" uri="{C3380CC4-5D6E-409C-BE32-E72D297353CC}">
                  <c16:uniqueId val="{00000000-9D94-4CE5-A574-D8B80C47370C}"/>
                </c:ext>
              </c:extLst>
            </c:dLbl>
            <c:dLbl>
              <c:idx val="1"/>
              <c:tx>
                <c:rich>
                  <a:bodyPr/>
                  <a:lstStyle/>
                  <a:p>
                    <a:r>
                      <a:rPr lang="en-US"/>
                      <a:t>7</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D94-4CE5-A574-D8B80C47370C}"/>
                </c:ext>
              </c:extLst>
            </c:dLbl>
            <c:dLbl>
              <c:idx val="2"/>
              <c:tx>
                <c:rich>
                  <a:bodyPr/>
                  <a:lstStyle/>
                  <a:p>
                    <a:r>
                      <a:rPr lang="en-US"/>
                      <a:t>2</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9D94-4CE5-A574-D8B80C47370C}"/>
                </c:ext>
              </c:extLst>
            </c:dLbl>
            <c:dLbl>
              <c:idx val="3"/>
              <c:layout>
                <c:manualLayout>
                  <c:x val="0"/>
                  <c:y val="-9.8425196850393092E-3"/>
                </c:manualLayout>
              </c:layout>
              <c:tx>
                <c:rich>
                  <a:bodyPr/>
                  <a:lstStyle/>
                  <a:p>
                    <a:r>
                      <a:rPr lang="en-US"/>
                      <a:t>1</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D94-4CE5-A574-D8B80C47370C}"/>
                </c:ext>
              </c:extLst>
            </c:dLbl>
            <c:spPr>
              <a:noFill/>
              <a:ln>
                <a:noFill/>
              </a:ln>
              <a:effectLst/>
            </c:spPr>
            <c:txPr>
              <a:bodyPr/>
              <a:lstStyle/>
              <a:p>
                <a:pPr>
                  <a:defRPr sz="1000" b="1" baseline="0">
                    <a:solidFill>
                      <a:schemeClr val="tx1"/>
                    </a:solidFill>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I_tiesas_apgabala_prok!$AR$6:$AR$9</c:f>
              <c:strCache>
                <c:ptCount val="4"/>
                <c:pt idx="0">
                  <c:v>Aizpildītas štata vietas</c:v>
                </c:pt>
                <c:pt idx="1">
                  <c:v>Brīvas štata vietas</c:v>
                </c:pt>
                <c:pt idx="2">
                  <c:v>Ilgstošā prombūtnē</c:v>
                </c:pt>
                <c:pt idx="3">
                  <c:v>Štažējas citā struktūrvienībā</c:v>
                </c:pt>
              </c:strCache>
            </c:strRef>
          </c:cat>
          <c:val>
            <c:numRef>
              <c:f>I_tiesas_apgabala_prok!$AS$6:$AS$9</c:f>
              <c:numCache>
                <c:formatCode>General</c:formatCode>
                <c:ptCount val="4"/>
                <c:pt idx="0">
                  <c:v>72</c:v>
                </c:pt>
                <c:pt idx="1">
                  <c:v>7</c:v>
                </c:pt>
                <c:pt idx="2">
                  <c:v>2</c:v>
                </c:pt>
                <c:pt idx="3">
                  <c:v>1</c:v>
                </c:pt>
              </c:numCache>
            </c:numRef>
          </c:val>
          <c:extLst>
            <c:ext xmlns:c16="http://schemas.microsoft.com/office/drawing/2014/chart" uri="{C3380CC4-5D6E-409C-BE32-E72D297353CC}">
              <c16:uniqueId val="{00000004-9D94-4CE5-A574-D8B80C47370C}"/>
            </c:ext>
          </c:extLst>
        </c:ser>
        <c:dLbls>
          <c:showLegendKey val="0"/>
          <c:showVal val="0"/>
          <c:showCatName val="0"/>
          <c:showSerName val="0"/>
          <c:showPercent val="1"/>
          <c:showBubbleSize val="0"/>
          <c:showLeaderLines val="1"/>
        </c:dLbls>
        <c:firstSliceAng val="0"/>
        <c:holeSize val="50"/>
      </c:doughnutChart>
      <c:spPr>
        <a:noFill/>
        <a:ln w="25400">
          <a:noFill/>
        </a:ln>
      </c:spPr>
    </c:plotArea>
    <c:legend>
      <c:legendPos val="r"/>
      <c:layout>
        <c:manualLayout>
          <c:xMode val="edge"/>
          <c:yMode val="edge"/>
          <c:x val="0.67664551883243895"/>
          <c:y val="0.17941297449759075"/>
          <c:w val="0.30591131253555282"/>
          <c:h val="0.7451398519214949"/>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9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userShapes r:id="rId2"/>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Kriminālvājāšanai saņemti kriminālprocesi</a:t>
            </a:r>
          </a:p>
        </c:rich>
      </c:tx>
      <c:layout>
        <c:manualLayout>
          <c:xMode val="edge"/>
          <c:yMode val="edge"/>
          <c:x val="0.15582550844246074"/>
          <c:y val="3.703703703703703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1"/>
          <c:order val="0"/>
          <c:tx>
            <c:strRef>
              <c:f>ONCNSP!$B$5:$B$7</c:f>
              <c:strCache>
                <c:ptCount val="3"/>
                <c:pt idx="0">
                  <c:v>2018</c:v>
                </c:pt>
                <c:pt idx="1">
                  <c:v>2019</c:v>
                </c:pt>
                <c:pt idx="2">
                  <c:v>2020</c:v>
                </c:pt>
              </c:strCache>
            </c:strRef>
          </c:tx>
          <c:spPr>
            <a:solidFill>
              <a:schemeClr val="accent5">
                <a:shade val="76000"/>
              </a:schemeClr>
            </a:solidFill>
            <a:ln w="6350" cap="flat" cmpd="sng" algn="ctr">
              <a:solidFill>
                <a:schemeClr val="accent5">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ONCNSP!$B$5:$B$7</c:f>
              <c:numCache>
                <c:formatCode>General</c:formatCode>
                <c:ptCount val="3"/>
                <c:pt idx="0">
                  <c:v>2018</c:v>
                </c:pt>
                <c:pt idx="1">
                  <c:v>2019</c:v>
                </c:pt>
                <c:pt idx="2">
                  <c:v>2020</c:v>
                </c:pt>
              </c:numCache>
            </c:numRef>
          </c:cat>
          <c:val>
            <c:numRef>
              <c:f>ONCNSP!$C$5:$C$7</c:f>
              <c:numCache>
                <c:formatCode>General</c:formatCode>
                <c:ptCount val="3"/>
                <c:pt idx="0">
                  <c:v>60</c:v>
                </c:pt>
                <c:pt idx="1">
                  <c:v>54</c:v>
                </c:pt>
                <c:pt idx="2">
                  <c:v>63</c:v>
                </c:pt>
              </c:numCache>
            </c:numRef>
          </c:val>
          <c:extLst>
            <c:ext xmlns:c16="http://schemas.microsoft.com/office/drawing/2014/chart" uri="{C3380CC4-5D6E-409C-BE32-E72D297353CC}">
              <c16:uniqueId val="{00000000-EC0B-4A6A-BCDB-BC2E5D4EFD91}"/>
            </c:ext>
          </c:extLst>
        </c:ser>
        <c:dLbls>
          <c:showLegendKey val="0"/>
          <c:showVal val="0"/>
          <c:showCatName val="0"/>
          <c:showSerName val="0"/>
          <c:showPercent val="0"/>
          <c:showBubbleSize val="0"/>
        </c:dLbls>
        <c:gapWidth val="150"/>
        <c:axId val="211601664"/>
        <c:axId val="237375488"/>
      </c:barChart>
      <c:catAx>
        <c:axId val="211601664"/>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37375488"/>
        <c:crosses val="autoZero"/>
        <c:auto val="1"/>
        <c:lblAlgn val="ctr"/>
        <c:lblOffset val="100"/>
        <c:noMultiLvlLbl val="0"/>
      </c:catAx>
      <c:valAx>
        <c:axId val="237375488"/>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211601664"/>
        <c:crosses val="autoZero"/>
        <c:crossBetween val="between"/>
      </c:valAx>
      <c:spPr>
        <a:solidFill>
          <a:schemeClr val="accent5">
            <a:tint val="20000"/>
          </a:schemeClr>
        </a:solidFill>
        <a:ln>
          <a:noFill/>
        </a:ln>
        <a:effectLst/>
      </c:spPr>
    </c:plotArea>
    <c:plotVisOnly val="1"/>
    <c:dispBlanksAs val="gap"/>
    <c:showDLblsOverMax val="0"/>
  </c:chart>
  <c:spPr>
    <a:solidFill>
      <a:schemeClr val="lt1"/>
    </a:solidFill>
    <a:ln w="6350" cap="flat" cmpd="sng" algn="ctr">
      <a:solidFill>
        <a:schemeClr val="tx2"/>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Tiesai nodotas kimināllietas, no tām vienošanās procesa kārtībā</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1"/>
          <c:order val="0"/>
          <c:tx>
            <c:strRef>
              <c:f>ONCNSP!$E$5:$E$7</c:f>
              <c:strCache>
                <c:ptCount val="3"/>
                <c:pt idx="0">
                  <c:v>2018</c:v>
                </c:pt>
                <c:pt idx="1">
                  <c:v>2019</c:v>
                </c:pt>
                <c:pt idx="2">
                  <c:v>2020</c:v>
                </c:pt>
              </c:strCache>
            </c:strRef>
          </c:tx>
          <c:spPr>
            <a:solidFill>
              <a:schemeClr val="accent5"/>
            </a:solidFill>
            <a:ln w="6350" cap="flat" cmpd="sng" algn="ctr">
              <a:solidFill>
                <a:schemeClr val="accent6">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ONCNSP!$F$5:$F$7</c:f>
              <c:numCache>
                <c:formatCode>General</c:formatCode>
                <c:ptCount val="3"/>
                <c:pt idx="0">
                  <c:v>47</c:v>
                </c:pt>
                <c:pt idx="1">
                  <c:v>55</c:v>
                </c:pt>
                <c:pt idx="2">
                  <c:v>36</c:v>
                </c:pt>
              </c:numCache>
            </c:numRef>
          </c:val>
          <c:extLst>
            <c:ext xmlns:c16="http://schemas.microsoft.com/office/drawing/2014/chart" uri="{C3380CC4-5D6E-409C-BE32-E72D297353CC}">
              <c16:uniqueId val="{00000000-E7CA-4900-9F53-FB6C3DCB517B}"/>
            </c:ext>
          </c:extLst>
        </c:ser>
        <c:ser>
          <c:idx val="0"/>
          <c:order val="1"/>
          <c:tx>
            <c:strRef>
              <c:f>ONCNSP!$E$5:$E$7</c:f>
              <c:strCache>
                <c:ptCount val="3"/>
                <c:pt idx="0">
                  <c:v>2018</c:v>
                </c:pt>
                <c:pt idx="1">
                  <c:v>2019</c:v>
                </c:pt>
                <c:pt idx="2">
                  <c:v>2020</c:v>
                </c:pt>
              </c:strCache>
            </c:strRef>
          </c:tx>
          <c:spPr>
            <a:solidFill>
              <a:schemeClr val="accent6"/>
            </a:solidFill>
            <a:ln w="6350" cap="flat" cmpd="sng" algn="ctr">
              <a:solidFill>
                <a:schemeClr val="accent6">
                  <a:shade val="50000"/>
                </a:schemeClr>
              </a:solidFill>
              <a:prstDash val="solid"/>
              <a:round/>
            </a:ln>
            <a:effectLst/>
          </c:spPr>
          <c:invertIfNegative val="0"/>
          <c:dLbls>
            <c:dLbl>
              <c:idx val="2"/>
              <c:layout>
                <c:manualLayout>
                  <c:x val="-1.8640692981747626E-16"/>
                  <c:y val="9.11057816166792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CA-4900-9F53-FB6C3DCB517B}"/>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ONCNSP!$G$5:$G$7</c:f>
              <c:numCache>
                <c:formatCode>General</c:formatCode>
                <c:ptCount val="3"/>
                <c:pt idx="0">
                  <c:v>10</c:v>
                </c:pt>
                <c:pt idx="1">
                  <c:v>12</c:v>
                </c:pt>
                <c:pt idx="2">
                  <c:v>7</c:v>
                </c:pt>
              </c:numCache>
            </c:numRef>
          </c:val>
          <c:extLst>
            <c:ext xmlns:c16="http://schemas.microsoft.com/office/drawing/2014/chart" uri="{C3380CC4-5D6E-409C-BE32-E72D297353CC}">
              <c16:uniqueId val="{00000001-E7CA-4900-9F53-FB6C3DCB517B}"/>
            </c:ext>
          </c:extLst>
        </c:ser>
        <c:dLbls>
          <c:showLegendKey val="0"/>
          <c:showVal val="0"/>
          <c:showCatName val="0"/>
          <c:showSerName val="0"/>
          <c:showPercent val="0"/>
          <c:showBubbleSize val="0"/>
        </c:dLbls>
        <c:gapWidth val="150"/>
        <c:axId val="51186688"/>
        <c:axId val="139997952"/>
      </c:barChart>
      <c:catAx>
        <c:axId val="51186688"/>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39997952"/>
        <c:crosses val="autoZero"/>
        <c:auto val="1"/>
        <c:lblAlgn val="ctr"/>
        <c:lblOffset val="100"/>
        <c:noMultiLvlLbl val="0"/>
      </c:catAx>
      <c:valAx>
        <c:axId val="139997952"/>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51186688"/>
        <c:crosses val="autoZero"/>
        <c:crossBetween val="between"/>
      </c:valAx>
      <c:spPr>
        <a:solidFill>
          <a:schemeClr val="accent6">
            <a:tint val="20000"/>
          </a:schemeClr>
        </a:solidFill>
        <a:ln>
          <a:noFill/>
        </a:ln>
        <a:effectLst/>
      </c:spPr>
    </c:plotArea>
    <c:plotVisOnly val="1"/>
    <c:dispBlanksAs val="gap"/>
    <c:showDLblsOverMax val="0"/>
  </c:chart>
  <c:spPr>
    <a:solidFill>
      <a:schemeClr val="lt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200" baseline="0">
                <a:solidFill>
                  <a:schemeClr val="tx1"/>
                </a:solidFill>
                <a:latin typeface="Times New Roman" panose="02020603050405020304" pitchFamily="18" charset="0"/>
              </a:defRPr>
            </a:pPr>
            <a:r>
              <a:rPr lang="lv-LV" sz="1200" b="1" i="0" baseline="0">
                <a:solidFill>
                  <a:schemeClr val="tx1"/>
                </a:solidFill>
                <a:effectLst/>
                <a:latin typeface="Times New Roman" panose="02020603050405020304" pitchFamily="18" charset="0"/>
              </a:rPr>
              <a:t>Prokuratūrā pabeigti kriminālprocesi, nenododot krimināllietu tiesai</a:t>
            </a:r>
            <a:endParaRPr lang="lv-LV" sz="1200" baseline="0">
              <a:solidFill>
                <a:schemeClr val="tx1"/>
              </a:solidFill>
              <a:effectLst/>
              <a:latin typeface="Times New Roman" panose="02020603050405020304" pitchFamily="18" charset="0"/>
            </a:endParaRPr>
          </a:p>
        </c:rich>
      </c:tx>
      <c:overlay val="0"/>
    </c:title>
    <c:autoTitleDeleted val="0"/>
    <c:plotArea>
      <c:layout/>
      <c:barChart>
        <c:barDir val="col"/>
        <c:grouping val="clustered"/>
        <c:varyColors val="1"/>
        <c:ser>
          <c:idx val="1"/>
          <c:order val="0"/>
          <c:tx>
            <c:strRef>
              <c:f>ONCNSP!$I$5:$I$7</c:f>
              <c:strCache>
                <c:ptCount val="3"/>
                <c:pt idx="0">
                  <c:v>2018</c:v>
                </c:pt>
                <c:pt idx="1">
                  <c:v>2019</c:v>
                </c:pt>
                <c:pt idx="2">
                  <c:v>2020</c:v>
                </c:pt>
              </c:strCache>
            </c:strRef>
          </c:tx>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ONCNSP!$B$5:$B$7</c:f>
              <c:numCache>
                <c:formatCode>General</c:formatCode>
                <c:ptCount val="3"/>
                <c:pt idx="0">
                  <c:v>2018</c:v>
                </c:pt>
                <c:pt idx="1">
                  <c:v>2019</c:v>
                </c:pt>
                <c:pt idx="2">
                  <c:v>2020</c:v>
                </c:pt>
              </c:numCache>
            </c:numRef>
          </c:cat>
          <c:val>
            <c:numRef>
              <c:f>ONCNSP!$J$5:$J$7</c:f>
              <c:numCache>
                <c:formatCode>General</c:formatCode>
                <c:ptCount val="3"/>
                <c:pt idx="0">
                  <c:v>19</c:v>
                </c:pt>
                <c:pt idx="1">
                  <c:v>8</c:v>
                </c:pt>
                <c:pt idx="2">
                  <c:v>14</c:v>
                </c:pt>
              </c:numCache>
            </c:numRef>
          </c:val>
          <c:extLst>
            <c:ext xmlns:c16="http://schemas.microsoft.com/office/drawing/2014/chart" uri="{C3380CC4-5D6E-409C-BE32-E72D297353CC}">
              <c16:uniqueId val="{00000000-7EBE-4722-B385-B2DFA1008E55}"/>
            </c:ext>
          </c:extLst>
        </c:ser>
        <c:dLbls>
          <c:showLegendKey val="0"/>
          <c:showVal val="0"/>
          <c:showCatName val="0"/>
          <c:showSerName val="0"/>
          <c:showPercent val="0"/>
          <c:showBubbleSize val="0"/>
        </c:dLbls>
        <c:gapWidth val="150"/>
        <c:axId val="166366592"/>
        <c:axId val="166438400"/>
      </c:barChart>
      <c:catAx>
        <c:axId val="1663665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66438400"/>
        <c:crosses val="autoZero"/>
        <c:auto val="1"/>
        <c:lblAlgn val="ctr"/>
        <c:lblOffset val="100"/>
        <c:noMultiLvlLbl val="0"/>
      </c:catAx>
      <c:valAx>
        <c:axId val="166438400"/>
        <c:scaling>
          <c:orientation val="minMax"/>
        </c:scaling>
        <c:delete val="1"/>
        <c:axPos val="l"/>
        <c:majorGridlines/>
        <c:numFmt formatCode="General" sourceLinked="1"/>
        <c:majorTickMark val="none"/>
        <c:minorTickMark val="none"/>
        <c:tickLblPos val="nextTo"/>
        <c:crossAx val="1663665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mn-cs"/>
              </a:defRPr>
            </a:pPr>
            <a:r>
              <a:rPr lang="lv-LV" sz="1200" b="1" i="0" baseline="0">
                <a:solidFill>
                  <a:schemeClr val="tx1"/>
                </a:solidFill>
              </a:rPr>
              <a:t>Izskatītas krimināllietas bez pierādījumu pārbaudes pirmās instances tiesās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mn-cs"/>
            </a:defRPr>
          </a:pPr>
          <a:endParaRPr lang="lv-LV"/>
        </a:p>
      </c:txPr>
    </c:title>
    <c:autoTitleDeleted val="0"/>
    <c:plotArea>
      <c:layout/>
      <c:barChart>
        <c:barDir val="col"/>
        <c:grouping val="stacked"/>
        <c:varyColors val="0"/>
        <c:ser>
          <c:idx val="0"/>
          <c:order val="0"/>
          <c:tx>
            <c:strRef>
              <c:f>Sheet1!$B$1</c:f>
              <c:strCache>
                <c:ptCount val="1"/>
                <c:pt idx="0">
                  <c:v>Column2</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5327</c:v>
                </c:pt>
                <c:pt idx="1">
                  <c:v>4705</c:v>
                </c:pt>
                <c:pt idx="2">
                  <c:v>4061</c:v>
                </c:pt>
              </c:numCache>
            </c:numRef>
          </c:val>
          <c:extLst>
            <c:ext xmlns:c16="http://schemas.microsoft.com/office/drawing/2014/chart" uri="{C3380CC4-5D6E-409C-BE32-E72D297353CC}">
              <c16:uniqueId val="{00000000-4F69-4316-91CA-BB882B549E48}"/>
            </c:ext>
          </c:extLst>
        </c:ser>
        <c:ser>
          <c:idx val="1"/>
          <c:order val="1"/>
          <c:tx>
            <c:strRef>
              <c:f>Sheet1!$C$1</c:f>
              <c:strCache>
                <c:ptCount val="1"/>
              </c:strCache>
            </c:strRef>
          </c:tx>
          <c:spPr>
            <a:solidFill>
              <a:schemeClr val="accent5"/>
            </a:solidFill>
            <a:ln>
              <a:noFill/>
            </a:ln>
            <a:effectLst/>
          </c:spPr>
          <c:invertIfNegative val="0"/>
          <c:cat>
            <c:numRef>
              <c:f>Sheet1!$A$2:$A$4</c:f>
              <c:numCache>
                <c:formatCode>General</c:formatCode>
                <c:ptCount val="3"/>
                <c:pt idx="0">
                  <c:v>2018</c:v>
                </c:pt>
                <c:pt idx="1">
                  <c:v>2019</c:v>
                </c:pt>
                <c:pt idx="2">
                  <c:v>2020</c:v>
                </c:pt>
              </c:numCache>
            </c:numRef>
          </c:cat>
          <c:val>
            <c:numRef>
              <c:f>Sheet1!$C$2:$C$4</c:f>
              <c:numCache>
                <c:formatCode>General</c:formatCode>
                <c:ptCount val="3"/>
              </c:numCache>
            </c:numRef>
          </c:val>
          <c:extLst>
            <c:ext xmlns:c16="http://schemas.microsoft.com/office/drawing/2014/chart" uri="{C3380CC4-5D6E-409C-BE32-E72D297353CC}">
              <c16:uniqueId val="{00000001-4F69-4316-91CA-BB882B549E48}"/>
            </c:ext>
          </c:extLst>
        </c:ser>
        <c:dLbls>
          <c:showLegendKey val="0"/>
          <c:showVal val="0"/>
          <c:showCatName val="0"/>
          <c:showSerName val="0"/>
          <c:showPercent val="0"/>
          <c:showBubbleSize val="0"/>
        </c:dLbls>
        <c:gapWidth val="150"/>
        <c:overlap val="100"/>
        <c:axId val="340953632"/>
        <c:axId val="340957240"/>
      </c:barChart>
      <c:catAx>
        <c:axId val="34095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340957240"/>
        <c:crosses val="autoZero"/>
        <c:auto val="1"/>
        <c:lblAlgn val="ctr"/>
        <c:lblOffset val="100"/>
        <c:noMultiLvlLbl val="0"/>
      </c:catAx>
      <c:valAx>
        <c:axId val="34095724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40953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baseline="0">
          <a:latin typeface="Times New Roman" panose="02020603050405020304" pitchFamily="18" charset="0"/>
        </a:defRPr>
      </a:pPr>
      <a:endParaRPr lang="lv-LV"/>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200" baseline="0">
                <a:solidFill>
                  <a:schemeClr val="tx1"/>
                </a:solidFill>
              </a:defRPr>
            </a:pPr>
            <a:r>
              <a:rPr lang="lv-LV" sz="1200" baseline="0">
                <a:solidFill>
                  <a:schemeClr val="tx1"/>
                </a:solidFill>
              </a:rPr>
              <a:t>Pabeigti kriminālprocesi par atsevišķiem noziedzīgiem nodarījumiem (īpaši aktuāli)</a:t>
            </a:r>
          </a:p>
        </c:rich>
      </c:tx>
      <c:layout>
        <c:manualLayout>
          <c:xMode val="edge"/>
          <c:yMode val="edge"/>
          <c:x val="0.13784212923797748"/>
          <c:y val="2.1141649048625793E-2"/>
        </c:manualLayout>
      </c:layout>
      <c:overlay val="0"/>
    </c:title>
    <c:autoTitleDeleted val="0"/>
    <c:plotArea>
      <c:layout>
        <c:manualLayout>
          <c:layoutTarget val="inner"/>
          <c:xMode val="edge"/>
          <c:yMode val="edge"/>
          <c:x val="1.8459351858725919E-2"/>
          <c:y val="0.18355750537116031"/>
          <c:w val="0.66544990728955444"/>
          <c:h val="0.74106664287592416"/>
        </c:manualLayout>
      </c:layout>
      <c:barChart>
        <c:barDir val="col"/>
        <c:grouping val="clustered"/>
        <c:varyColors val="0"/>
        <c:ser>
          <c:idx val="0"/>
          <c:order val="0"/>
          <c:tx>
            <c:strRef>
              <c:f>ONCNSP!$M$4</c:f>
              <c:strCache>
                <c:ptCount val="1"/>
                <c:pt idx="0">
                  <c:v>Noziedzīgi iegūtu līdzekļu legalizēšana</c:v>
                </c:pt>
              </c:strCache>
            </c:strRef>
          </c:tx>
          <c:spPr>
            <a:solidFill>
              <a:srgbClr val="C00000"/>
            </a:solidFill>
          </c:spPr>
          <c:invertIfNegative val="0"/>
          <c:dLbls>
            <c:spPr>
              <a:noFill/>
              <a:ln>
                <a:noFill/>
              </a:ln>
              <a:effectLst/>
            </c:spPr>
            <c:txPr>
              <a:bodyPr/>
              <a:lstStyle/>
              <a:p>
                <a:pPr>
                  <a:defRPr sz="1000"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ONCNSP!$L$5:$L$7</c:f>
              <c:numCache>
                <c:formatCode>General</c:formatCode>
                <c:ptCount val="3"/>
                <c:pt idx="0">
                  <c:v>2018</c:v>
                </c:pt>
                <c:pt idx="1">
                  <c:v>2019</c:v>
                </c:pt>
                <c:pt idx="2">
                  <c:v>2020</c:v>
                </c:pt>
              </c:numCache>
            </c:numRef>
          </c:cat>
          <c:val>
            <c:numRef>
              <c:f>ONCNSP!$M$5:$M$7</c:f>
              <c:numCache>
                <c:formatCode>General</c:formatCode>
                <c:ptCount val="3"/>
                <c:pt idx="0">
                  <c:v>11</c:v>
                </c:pt>
                <c:pt idx="1">
                  <c:v>12</c:v>
                </c:pt>
                <c:pt idx="2">
                  <c:v>4</c:v>
                </c:pt>
              </c:numCache>
            </c:numRef>
          </c:val>
          <c:extLst>
            <c:ext xmlns:c16="http://schemas.microsoft.com/office/drawing/2014/chart" uri="{C3380CC4-5D6E-409C-BE32-E72D297353CC}">
              <c16:uniqueId val="{00000000-3D61-4C38-931A-A495018FC7D2}"/>
            </c:ext>
          </c:extLst>
        </c:ser>
        <c:ser>
          <c:idx val="1"/>
          <c:order val="1"/>
          <c:tx>
            <c:strRef>
              <c:f>ONCNSP!$N$4</c:f>
              <c:strCache>
                <c:ptCount val="1"/>
                <c:pt idx="0">
                  <c:v>Izvairīšanās no nodokļu nomaksas 
          </c:v>
                </c:pt>
              </c:strCache>
            </c:strRef>
          </c:tx>
          <c:spPr>
            <a:solidFill>
              <a:schemeClr val="accent1"/>
            </a:solidFill>
          </c:spPr>
          <c:invertIfNegative val="0"/>
          <c:dLbls>
            <c:spPr>
              <a:noFill/>
              <a:ln>
                <a:noFill/>
              </a:ln>
              <a:effectLst/>
            </c:spPr>
            <c:txPr>
              <a:bodyPr/>
              <a:lstStyle/>
              <a:p>
                <a:pPr>
                  <a:defRPr sz="1000"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ONCNSP!$L$5:$L$7</c:f>
              <c:numCache>
                <c:formatCode>General</c:formatCode>
                <c:ptCount val="3"/>
                <c:pt idx="0">
                  <c:v>2018</c:v>
                </c:pt>
                <c:pt idx="1">
                  <c:v>2019</c:v>
                </c:pt>
                <c:pt idx="2">
                  <c:v>2020</c:v>
                </c:pt>
              </c:numCache>
            </c:numRef>
          </c:cat>
          <c:val>
            <c:numRef>
              <c:f>ONCNSP!$N$5:$N$7</c:f>
              <c:numCache>
                <c:formatCode>General</c:formatCode>
                <c:ptCount val="3"/>
                <c:pt idx="0">
                  <c:v>3</c:v>
                </c:pt>
                <c:pt idx="1">
                  <c:v>2</c:v>
                </c:pt>
                <c:pt idx="2">
                  <c:v>2</c:v>
                </c:pt>
              </c:numCache>
            </c:numRef>
          </c:val>
          <c:extLst>
            <c:ext xmlns:c16="http://schemas.microsoft.com/office/drawing/2014/chart" uri="{C3380CC4-5D6E-409C-BE32-E72D297353CC}">
              <c16:uniqueId val="{00000001-3D61-4C38-931A-A495018FC7D2}"/>
            </c:ext>
          </c:extLst>
        </c:ser>
        <c:ser>
          <c:idx val="2"/>
          <c:order val="2"/>
          <c:tx>
            <c:strRef>
              <c:f>ONCNSP!$O$4</c:f>
              <c:strCache>
                <c:ptCount val="1"/>
                <c:pt idx="0">
                  <c:v>Cilvēktirdzniecība</c:v>
                </c:pt>
              </c:strCache>
            </c:strRef>
          </c:tx>
          <c:invertIfNegative val="0"/>
          <c:dLbls>
            <c:spPr>
              <a:noFill/>
              <a:ln>
                <a:noFill/>
              </a:ln>
              <a:effectLst/>
            </c:spPr>
            <c:txPr>
              <a:bodyPr/>
              <a:lstStyle/>
              <a:p>
                <a:pPr>
                  <a:defRPr sz="1000"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ONCNSP!$L$5:$L$7</c:f>
              <c:numCache>
                <c:formatCode>General</c:formatCode>
                <c:ptCount val="3"/>
                <c:pt idx="0">
                  <c:v>2018</c:v>
                </c:pt>
                <c:pt idx="1">
                  <c:v>2019</c:v>
                </c:pt>
                <c:pt idx="2">
                  <c:v>2020</c:v>
                </c:pt>
              </c:numCache>
            </c:numRef>
          </c:cat>
          <c:val>
            <c:numRef>
              <c:f>ONCNSP!$O$5:$O$7</c:f>
              <c:numCache>
                <c:formatCode>General</c:formatCode>
                <c:ptCount val="3"/>
                <c:pt idx="0">
                  <c:v>1</c:v>
                </c:pt>
                <c:pt idx="1">
                  <c:v>2</c:v>
                </c:pt>
                <c:pt idx="2">
                  <c:v>1</c:v>
                </c:pt>
              </c:numCache>
            </c:numRef>
          </c:val>
          <c:extLst>
            <c:ext xmlns:c16="http://schemas.microsoft.com/office/drawing/2014/chart" uri="{C3380CC4-5D6E-409C-BE32-E72D297353CC}">
              <c16:uniqueId val="{00000002-3D61-4C38-931A-A495018FC7D2}"/>
            </c:ext>
          </c:extLst>
        </c:ser>
        <c:ser>
          <c:idx val="3"/>
          <c:order val="3"/>
          <c:tx>
            <c:strRef>
              <c:f>ONCNSP!$P$4</c:f>
              <c:strCache>
                <c:ptCount val="1"/>
                <c:pt idx="0">
                  <c:v>Sutenerisms</c:v>
                </c:pt>
              </c:strCache>
            </c:strRef>
          </c:tx>
          <c:invertIfNegative val="0"/>
          <c:dLbls>
            <c:spPr>
              <a:noFill/>
              <a:ln>
                <a:noFill/>
              </a:ln>
              <a:effectLst/>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ONCNSP!$L$5:$L$7</c:f>
              <c:numCache>
                <c:formatCode>General</c:formatCode>
                <c:ptCount val="3"/>
                <c:pt idx="0">
                  <c:v>2018</c:v>
                </c:pt>
                <c:pt idx="1">
                  <c:v>2019</c:v>
                </c:pt>
                <c:pt idx="2">
                  <c:v>2020</c:v>
                </c:pt>
              </c:numCache>
            </c:numRef>
          </c:cat>
          <c:val>
            <c:numRef>
              <c:f>ONCNSP!$P$5:$P$7</c:f>
              <c:numCache>
                <c:formatCode>General</c:formatCode>
                <c:ptCount val="3"/>
                <c:pt idx="0">
                  <c:v>1</c:v>
                </c:pt>
                <c:pt idx="1">
                  <c:v>3</c:v>
                </c:pt>
                <c:pt idx="2">
                  <c:v>3</c:v>
                </c:pt>
              </c:numCache>
            </c:numRef>
          </c:val>
          <c:extLst>
            <c:ext xmlns:c16="http://schemas.microsoft.com/office/drawing/2014/chart" uri="{C3380CC4-5D6E-409C-BE32-E72D297353CC}">
              <c16:uniqueId val="{00000003-3D61-4C38-931A-A495018FC7D2}"/>
            </c:ext>
          </c:extLst>
        </c:ser>
        <c:ser>
          <c:idx val="4"/>
          <c:order val="4"/>
          <c:tx>
            <c:strRef>
              <c:f>ONCNSP!$Q$4</c:f>
              <c:strCache>
                <c:ptCount val="1"/>
                <c:pt idx="0">
                  <c:v>Nodarījumi narkotiku nelikumīgas aprites jomā</c:v>
                </c:pt>
              </c:strCache>
            </c:strRef>
          </c:tx>
          <c:spPr>
            <a:solidFill>
              <a:schemeClr val="accent6"/>
            </a:solidFill>
          </c:spPr>
          <c:invertIfNegative val="0"/>
          <c:dLbls>
            <c:spPr>
              <a:noFill/>
              <a:ln>
                <a:noFill/>
              </a:ln>
              <a:effectLst/>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ONCNSP!$L$5:$L$7</c:f>
              <c:numCache>
                <c:formatCode>General</c:formatCode>
                <c:ptCount val="3"/>
                <c:pt idx="0">
                  <c:v>2018</c:v>
                </c:pt>
                <c:pt idx="1">
                  <c:v>2019</c:v>
                </c:pt>
                <c:pt idx="2">
                  <c:v>2020</c:v>
                </c:pt>
              </c:numCache>
            </c:numRef>
          </c:cat>
          <c:val>
            <c:numRef>
              <c:f>ONCNSP!$Q$5:$Q$7</c:f>
              <c:numCache>
                <c:formatCode>General</c:formatCode>
                <c:ptCount val="3"/>
                <c:pt idx="0">
                  <c:v>13</c:v>
                </c:pt>
                <c:pt idx="1">
                  <c:v>12</c:v>
                </c:pt>
                <c:pt idx="2">
                  <c:v>8</c:v>
                </c:pt>
              </c:numCache>
            </c:numRef>
          </c:val>
          <c:extLst>
            <c:ext xmlns:c16="http://schemas.microsoft.com/office/drawing/2014/chart" uri="{C3380CC4-5D6E-409C-BE32-E72D297353CC}">
              <c16:uniqueId val="{00000004-3D61-4C38-931A-A495018FC7D2}"/>
            </c:ext>
          </c:extLst>
        </c:ser>
        <c:dLbls>
          <c:showLegendKey val="0"/>
          <c:showVal val="0"/>
          <c:showCatName val="0"/>
          <c:showSerName val="0"/>
          <c:showPercent val="0"/>
          <c:showBubbleSize val="0"/>
        </c:dLbls>
        <c:gapWidth val="150"/>
        <c:axId val="145967360"/>
        <c:axId val="147392000"/>
      </c:barChart>
      <c:catAx>
        <c:axId val="145967360"/>
        <c:scaling>
          <c:orientation val="minMax"/>
        </c:scaling>
        <c:delete val="0"/>
        <c:axPos val="b"/>
        <c:numFmt formatCode="General" sourceLinked="1"/>
        <c:majorTickMark val="none"/>
        <c:minorTickMark val="none"/>
        <c:tickLblPos val="nextTo"/>
        <c:txPr>
          <a:bodyPr/>
          <a:lstStyle/>
          <a:p>
            <a:pPr>
              <a:defRPr sz="1000" b="1" baseline="0">
                <a:solidFill>
                  <a:schemeClr val="tx1"/>
                </a:solidFill>
              </a:defRPr>
            </a:pPr>
            <a:endParaRPr lang="lv-LV"/>
          </a:p>
        </c:txPr>
        <c:crossAx val="147392000"/>
        <c:crosses val="autoZero"/>
        <c:auto val="1"/>
        <c:lblAlgn val="ctr"/>
        <c:lblOffset val="100"/>
        <c:noMultiLvlLbl val="0"/>
      </c:catAx>
      <c:valAx>
        <c:axId val="147392000"/>
        <c:scaling>
          <c:orientation val="minMax"/>
        </c:scaling>
        <c:delete val="1"/>
        <c:axPos val="l"/>
        <c:majorGridlines/>
        <c:numFmt formatCode="General" sourceLinked="1"/>
        <c:majorTickMark val="none"/>
        <c:minorTickMark val="none"/>
        <c:tickLblPos val="nextTo"/>
        <c:crossAx val="145967360"/>
        <c:crosses val="autoZero"/>
        <c:crossBetween val="between"/>
      </c:valAx>
    </c:plotArea>
    <c:legend>
      <c:legendPos val="r"/>
      <c:layout>
        <c:manualLayout>
          <c:xMode val="edge"/>
          <c:yMode val="edge"/>
          <c:x val="0.67623313872508017"/>
          <c:y val="0.17307335384582453"/>
          <c:w val="0.32075226555082947"/>
          <c:h val="0.76287177471320178"/>
        </c:manualLayout>
      </c:layout>
      <c:overlay val="0"/>
      <c:txPr>
        <a:bodyPr/>
        <a:lstStyle/>
        <a:p>
          <a:pPr>
            <a:defRPr sz="1000" b="1" i="0" baseline="0">
              <a:solidFill>
                <a:schemeClr val="tx1"/>
              </a:solidFill>
            </a:defRPr>
          </a:pPr>
          <a:endParaRPr lang="lv-LV"/>
        </a:p>
      </c:txPr>
    </c:legend>
    <c:plotVisOnly val="1"/>
    <c:dispBlanksAs val="gap"/>
    <c:showDLblsOverMax val="0"/>
  </c:chart>
  <c:spPr>
    <a:solidFill>
      <a:schemeClr val="accent2">
        <a:lumMod val="20000"/>
        <a:lumOff val="80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Prokuroru uzraudzībā pieņemti  kriminālprocesi      </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436711026137707"/>
          <c:y val="6.2058886608045587E-2"/>
        </c:manualLayout>
      </c:layout>
      <c:overlay val="0"/>
    </c:title>
    <c:autoTitleDeleted val="0"/>
    <c:plotArea>
      <c:layout/>
      <c:lineChart>
        <c:grouping val="standard"/>
        <c:varyColors val="0"/>
        <c:ser>
          <c:idx val="1"/>
          <c:order val="0"/>
          <c:tx>
            <c:strRef>
              <c:f>ONCNSP!$S$5:$S$7</c:f>
              <c:strCache>
                <c:ptCount val="3"/>
                <c:pt idx="0">
                  <c:v>2018</c:v>
                </c:pt>
                <c:pt idx="1">
                  <c:v>2019</c:v>
                </c:pt>
                <c:pt idx="2">
                  <c:v>2020</c:v>
                </c:pt>
              </c:strCache>
            </c:strRef>
          </c:tx>
          <c:marker>
            <c:symbol val="none"/>
          </c:marker>
          <c:dLbls>
            <c:dLbl>
              <c:idx val="0"/>
              <c:layout>
                <c:manualLayout>
                  <c:x val="-6.7092651757188496E-2"/>
                  <c:y val="-8.56031128404669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B8B-43C5-9F36-1E8EEA11F4B6}"/>
                </c:ext>
              </c:extLst>
            </c:dLbl>
            <c:dLbl>
              <c:idx val="1"/>
              <c:layout>
                <c:manualLayout>
                  <c:x val="-5.1118210862619806E-2"/>
                  <c:y val="-4.66926070038910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8B-43C5-9F36-1E8EEA11F4B6}"/>
                </c:ext>
              </c:extLst>
            </c:dLbl>
            <c:dLbl>
              <c:idx val="2"/>
              <c:layout>
                <c:manualLayout>
                  <c:x val="-1.9169329073482427E-2"/>
                  <c:y val="3.0638193572106988E-7"/>
                </c:manualLayout>
              </c:layout>
              <c:dLblPos val="r"/>
              <c:showLegendKey val="0"/>
              <c:showVal val="1"/>
              <c:showCatName val="0"/>
              <c:showSerName val="0"/>
              <c:showPercent val="0"/>
              <c:showBubbleSize val="0"/>
              <c:extLst>
                <c:ext xmlns:c15="http://schemas.microsoft.com/office/drawing/2012/chart" uri="{CE6537A1-D6FC-4f65-9D91-7224C49458BB}">
                  <c15:layout>
                    <c:manualLayout>
                      <c:w val="6.7092651757188496E-2"/>
                      <c:h val="0.15953307392996108"/>
                    </c:manualLayout>
                  </c15:layout>
                </c:ext>
                <c:ext xmlns:c16="http://schemas.microsoft.com/office/drawing/2014/chart" uri="{C3380CC4-5D6E-409C-BE32-E72D297353CC}">
                  <c16:uniqueId val="{00000001-0B8B-43C5-9F36-1E8EEA11F4B6}"/>
                </c:ext>
              </c:extLst>
            </c:dLbl>
            <c:spPr>
              <a:noFill/>
              <a:ln>
                <a:noFill/>
              </a:ln>
              <a:effectLst/>
            </c:spPr>
            <c:txPr>
              <a:bodyPr/>
              <a:lstStyle/>
              <a:p>
                <a:pPr>
                  <a:defRPr sz="1000" b="1" baseline="0">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ONCNSP!$S$5:$S$7</c:f>
              <c:numCache>
                <c:formatCode>General</c:formatCode>
                <c:ptCount val="3"/>
                <c:pt idx="0">
                  <c:v>2018</c:v>
                </c:pt>
                <c:pt idx="1">
                  <c:v>2019</c:v>
                </c:pt>
                <c:pt idx="2">
                  <c:v>2020</c:v>
                </c:pt>
              </c:numCache>
            </c:numRef>
          </c:cat>
          <c:val>
            <c:numRef>
              <c:f>ONCNSP!$T$5:$T$7</c:f>
              <c:numCache>
                <c:formatCode>General</c:formatCode>
                <c:ptCount val="3"/>
                <c:pt idx="0">
                  <c:v>207</c:v>
                </c:pt>
                <c:pt idx="1">
                  <c:v>206</c:v>
                </c:pt>
                <c:pt idx="2">
                  <c:v>166</c:v>
                </c:pt>
              </c:numCache>
            </c:numRef>
          </c:val>
          <c:smooth val="0"/>
          <c:extLst>
            <c:ext xmlns:c16="http://schemas.microsoft.com/office/drawing/2014/chart" uri="{C3380CC4-5D6E-409C-BE32-E72D297353CC}">
              <c16:uniqueId val="{00000000-BFCD-40A6-9F78-58ED34787D2C}"/>
            </c:ext>
          </c:extLst>
        </c:ser>
        <c:dLbls>
          <c:showLegendKey val="0"/>
          <c:showVal val="0"/>
          <c:showCatName val="0"/>
          <c:showSerName val="0"/>
          <c:showPercent val="0"/>
          <c:showBubbleSize val="0"/>
        </c:dLbls>
        <c:smooth val="0"/>
        <c:axId val="290766208"/>
        <c:axId val="291205888"/>
      </c:lineChart>
      <c:catAx>
        <c:axId val="29076620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1205888"/>
        <c:crosses val="autoZero"/>
        <c:auto val="1"/>
        <c:lblAlgn val="ctr"/>
        <c:lblOffset val="100"/>
        <c:noMultiLvlLbl val="0"/>
      </c:catAx>
      <c:valAx>
        <c:axId val="291205888"/>
        <c:scaling>
          <c:orientation val="minMax"/>
        </c:scaling>
        <c:delete val="1"/>
        <c:axPos val="l"/>
        <c:majorGridlines/>
        <c:numFmt formatCode="General" sourceLinked="1"/>
        <c:majorTickMark val="none"/>
        <c:minorTickMark val="none"/>
        <c:tickLblPos val="nextTo"/>
        <c:crossAx val="29076620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rPr>
              <a:t>Prokuroru dotie norādījumi</a:t>
            </a:r>
            <a:endParaRPr lang="lv-LV" sz="1200" baseline="0">
              <a:solidFill>
                <a:schemeClr val="tx1"/>
              </a:solidFill>
              <a:effectLst/>
              <a:latin typeface="Times New Roman" panose="02020603050405020304" pitchFamily="18" charset="0"/>
            </a:endParaRPr>
          </a:p>
        </c:rich>
      </c:tx>
      <c:layout>
        <c:manualLayout>
          <c:xMode val="edge"/>
          <c:yMode val="edge"/>
          <c:x val="0.18040966754155729"/>
          <c:y val="4.1666666666666664E-2"/>
        </c:manualLayout>
      </c:layout>
      <c:overlay val="0"/>
    </c:title>
    <c:autoTitleDeleted val="0"/>
    <c:plotArea>
      <c:layout>
        <c:manualLayout>
          <c:layoutTarget val="inner"/>
          <c:xMode val="edge"/>
          <c:yMode val="edge"/>
          <c:x val="0"/>
          <c:y val="0.22730739893211288"/>
          <c:w val="0.99061993655287484"/>
          <c:h val="0.5856976401977213"/>
        </c:manualLayout>
      </c:layout>
      <c:lineChart>
        <c:grouping val="standard"/>
        <c:varyColors val="0"/>
        <c:ser>
          <c:idx val="1"/>
          <c:order val="0"/>
          <c:tx>
            <c:strRef>
              <c:f>ONCNSP!$V$6:$V$8</c:f>
              <c:strCache>
                <c:ptCount val="3"/>
                <c:pt idx="0">
                  <c:v>2018</c:v>
                </c:pt>
                <c:pt idx="1">
                  <c:v>2019</c:v>
                </c:pt>
                <c:pt idx="2">
                  <c:v>2020</c:v>
                </c:pt>
              </c:strCache>
            </c:strRef>
          </c:tx>
          <c:marker>
            <c:symbol val="none"/>
          </c:marker>
          <c:dLbls>
            <c:dLbl>
              <c:idx val="0"/>
              <c:layout>
                <c:manualLayout>
                  <c:x val="-4.5714285714285735E-2"/>
                  <c:y val="-7.6277650648360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11-4AB6-9EF5-548FFBF84EF5}"/>
                </c:ext>
              </c:extLst>
            </c:dLbl>
            <c:dLbl>
              <c:idx val="1"/>
              <c:layout>
                <c:manualLayout>
                  <c:x val="-4.1295020706681326E-2"/>
                  <c:y val="-5.3394386743189658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8.8646250679339234E-2"/>
                      <c:h val="0.18688009807157338"/>
                    </c:manualLayout>
                  </c15:layout>
                </c:ext>
                <c:ext xmlns:c16="http://schemas.microsoft.com/office/drawing/2014/chart" uri="{C3380CC4-5D6E-409C-BE32-E72D297353CC}">
                  <c16:uniqueId val="{00000000-F311-4AB6-9EF5-548FFBF84EF5}"/>
                </c:ext>
              </c:extLst>
            </c:dLbl>
            <c:dLbl>
              <c:idx val="2"/>
              <c:layout>
                <c:manualLayout>
                  <c:x val="-2.0438695163104613E-2"/>
                  <c:y val="2.2108538827856098E-3"/>
                </c:manualLayout>
              </c:layout>
              <c:dLblPos val="r"/>
              <c:showLegendKey val="0"/>
              <c:showVal val="1"/>
              <c:showCatName val="0"/>
              <c:showSerName val="0"/>
              <c:showPercent val="0"/>
              <c:showBubbleSize val="0"/>
              <c:extLst>
                <c:ext xmlns:c15="http://schemas.microsoft.com/office/drawing/2012/chart" uri="{CE6537A1-D6FC-4f65-9D91-7224C49458BB}">
                  <c15:layout>
                    <c:manualLayout>
                      <c:w val="9.506679642572767E-2"/>
                      <c:h val="0.18688009807157338"/>
                    </c:manualLayout>
                  </c15:layout>
                </c:ext>
                <c:ext xmlns:c16="http://schemas.microsoft.com/office/drawing/2014/chart" uri="{C3380CC4-5D6E-409C-BE32-E72D297353CC}">
                  <c16:uniqueId val="{00000001-F311-4AB6-9EF5-548FFBF84EF5}"/>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ONCNSP!$S$5:$S$7</c:f>
              <c:numCache>
                <c:formatCode>General</c:formatCode>
                <c:ptCount val="3"/>
                <c:pt idx="0">
                  <c:v>2018</c:v>
                </c:pt>
                <c:pt idx="1">
                  <c:v>2019</c:v>
                </c:pt>
                <c:pt idx="2">
                  <c:v>2020</c:v>
                </c:pt>
              </c:numCache>
            </c:numRef>
          </c:cat>
          <c:val>
            <c:numRef>
              <c:f>ONCNSP!$W$6:$W$8</c:f>
              <c:numCache>
                <c:formatCode>General</c:formatCode>
                <c:ptCount val="3"/>
                <c:pt idx="0">
                  <c:v>382</c:v>
                </c:pt>
                <c:pt idx="1">
                  <c:v>509</c:v>
                </c:pt>
                <c:pt idx="2">
                  <c:v>683</c:v>
                </c:pt>
              </c:numCache>
            </c:numRef>
          </c:val>
          <c:smooth val="0"/>
          <c:extLst>
            <c:ext xmlns:c16="http://schemas.microsoft.com/office/drawing/2014/chart" uri="{C3380CC4-5D6E-409C-BE32-E72D297353CC}">
              <c16:uniqueId val="{00000000-FC2D-488C-A483-A30137A657A9}"/>
            </c:ext>
          </c:extLst>
        </c:ser>
        <c:dLbls>
          <c:showLegendKey val="0"/>
          <c:showVal val="0"/>
          <c:showCatName val="0"/>
          <c:showSerName val="0"/>
          <c:showPercent val="0"/>
          <c:showBubbleSize val="0"/>
        </c:dLbls>
        <c:smooth val="0"/>
        <c:axId val="291300864"/>
        <c:axId val="291444608"/>
      </c:lineChart>
      <c:catAx>
        <c:axId val="29130086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1444608"/>
        <c:crosses val="autoZero"/>
        <c:auto val="1"/>
        <c:lblAlgn val="ctr"/>
        <c:lblOffset val="100"/>
        <c:noMultiLvlLbl val="0"/>
      </c:catAx>
      <c:valAx>
        <c:axId val="291444608"/>
        <c:scaling>
          <c:orientation val="minMax"/>
        </c:scaling>
        <c:delete val="1"/>
        <c:axPos val="l"/>
        <c:majorGridlines/>
        <c:numFmt formatCode="General" sourceLinked="1"/>
        <c:majorTickMark val="none"/>
        <c:minorTickMark val="none"/>
        <c:tickLblPos val="nextTo"/>
        <c:crossAx val="2913008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600"/>
            </a:pPr>
            <a:r>
              <a:rPr lang="lv-LV" sz="1200" b="1" i="0" baseline="0">
                <a:solidFill>
                  <a:schemeClr val="tx1"/>
                </a:solidFill>
                <a:effectLst/>
                <a:latin typeface="Times New Roman" panose="02020603050405020304" pitchFamily="18" charset="0"/>
              </a:rPr>
              <a:t>Valsts apsūdzības uzturēšana pirmās instances tiesā (izskatītas krimināllietas), no tām ar pierādījumu pārbaudi</a:t>
            </a:r>
            <a:endParaRPr lang="lv-LV" sz="1200" baseline="0">
              <a:solidFill>
                <a:schemeClr val="tx1"/>
              </a:solidFill>
              <a:effectLst/>
              <a:latin typeface="Times New Roman" panose="02020603050405020304" pitchFamily="18" charset="0"/>
            </a:endParaRPr>
          </a:p>
        </c:rich>
      </c:tx>
      <c:layout>
        <c:manualLayout>
          <c:xMode val="edge"/>
          <c:yMode val="edge"/>
          <c:x val="0.13458292913385828"/>
          <c:y val="5.5542299636787817E-3"/>
        </c:manualLayout>
      </c:layout>
      <c:overlay val="0"/>
    </c:title>
    <c:autoTitleDeleted val="0"/>
    <c:plotArea>
      <c:layout>
        <c:manualLayout>
          <c:layoutTarget val="inner"/>
          <c:xMode val="edge"/>
          <c:yMode val="edge"/>
          <c:x val="4.754091338582677E-2"/>
          <c:y val="0.29460802248203821"/>
          <c:w val="0.94366916535433076"/>
          <c:h val="0.5807115777194517"/>
        </c:manualLayout>
      </c:layout>
      <c:barChart>
        <c:barDir val="col"/>
        <c:grouping val="clustered"/>
        <c:varyColors val="0"/>
        <c:ser>
          <c:idx val="1"/>
          <c:order val="0"/>
          <c:tx>
            <c:strRef>
              <c:f>ONCNSP!$Y$6:$Y$8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ONCNSP!$Z$6:$Z$8</c:f>
              <c:numCache>
                <c:formatCode>General</c:formatCode>
                <c:ptCount val="3"/>
                <c:pt idx="0">
                  <c:v>38</c:v>
                </c:pt>
                <c:pt idx="1">
                  <c:v>47</c:v>
                </c:pt>
                <c:pt idx="2">
                  <c:v>21</c:v>
                </c:pt>
              </c:numCache>
            </c:numRef>
          </c:val>
          <c:extLst>
            <c:ext xmlns:c16="http://schemas.microsoft.com/office/drawing/2014/chart" uri="{C3380CC4-5D6E-409C-BE32-E72D297353CC}">
              <c16:uniqueId val="{00000000-36F1-4227-B5BD-EEC9426A6130}"/>
            </c:ext>
          </c:extLst>
        </c:ser>
        <c:ser>
          <c:idx val="0"/>
          <c:order val="1"/>
          <c:tx>
            <c:strRef>
              <c:f>ONCNSP!$Y$6:$Y$8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ONCNSP!$AA$6:$AA$8</c:f>
              <c:numCache>
                <c:formatCode>General</c:formatCode>
                <c:ptCount val="3"/>
                <c:pt idx="0">
                  <c:v>28</c:v>
                </c:pt>
                <c:pt idx="1">
                  <c:v>25</c:v>
                </c:pt>
                <c:pt idx="2">
                  <c:v>11</c:v>
                </c:pt>
              </c:numCache>
            </c:numRef>
          </c:val>
          <c:extLst>
            <c:ext xmlns:c16="http://schemas.microsoft.com/office/drawing/2014/chart" uri="{C3380CC4-5D6E-409C-BE32-E72D297353CC}">
              <c16:uniqueId val="{00000001-36F1-4227-B5BD-EEC9426A6130}"/>
            </c:ext>
          </c:extLst>
        </c:ser>
        <c:dLbls>
          <c:showLegendKey val="0"/>
          <c:showVal val="0"/>
          <c:showCatName val="0"/>
          <c:showSerName val="0"/>
          <c:showPercent val="0"/>
          <c:showBubbleSize val="0"/>
        </c:dLbls>
        <c:gapWidth val="150"/>
        <c:axId val="293905536"/>
        <c:axId val="294287616"/>
      </c:barChart>
      <c:catAx>
        <c:axId val="293905536"/>
        <c:scaling>
          <c:orientation val="minMax"/>
        </c:scaling>
        <c:delete val="0"/>
        <c:axPos val="b"/>
        <c:numFmt formatCode="General" sourceLinked="1"/>
        <c:majorTickMark val="none"/>
        <c:minorTickMark val="none"/>
        <c:tickLblPos val="nextTo"/>
        <c:txPr>
          <a:bodyPr/>
          <a:lstStyle/>
          <a:p>
            <a:pPr>
              <a:defRPr sz="1000" b="1" baseline="0">
                <a:solidFill>
                  <a:schemeClr val="tx2"/>
                </a:solidFill>
                <a:latin typeface="Times New Roman" panose="02020603050405020304" pitchFamily="18" charset="0"/>
              </a:defRPr>
            </a:pPr>
            <a:endParaRPr lang="lv-LV"/>
          </a:p>
        </c:txPr>
        <c:crossAx val="294287616"/>
        <c:crosses val="autoZero"/>
        <c:auto val="1"/>
        <c:lblAlgn val="ctr"/>
        <c:lblOffset val="100"/>
        <c:noMultiLvlLbl val="0"/>
      </c:catAx>
      <c:valAx>
        <c:axId val="294287616"/>
        <c:scaling>
          <c:orientation val="minMax"/>
        </c:scaling>
        <c:delete val="1"/>
        <c:axPos val="l"/>
        <c:majorGridlines/>
        <c:numFmt formatCode="General" sourceLinked="1"/>
        <c:majorTickMark val="none"/>
        <c:minorTickMark val="none"/>
        <c:tickLblPos val="nextTo"/>
        <c:crossAx val="293905536"/>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400"/>
            </a:pPr>
            <a:r>
              <a:rPr lang="lv-LV" sz="1200" b="1" i="0" baseline="0">
                <a:solidFill>
                  <a:schemeClr val="tx1"/>
                </a:solidFill>
                <a:effectLst/>
                <a:latin typeface="Times New Roman" panose="02020603050405020304" pitchFamily="18" charset="0"/>
                <a:cs typeface="Times New Roman" panose="02020603050405020304" pitchFamily="18" charset="0"/>
              </a:rPr>
              <a:t>Valsts apsūdzības uzturēšana apelācijas instances tiesā (izskatītas krimināllietas), no tām mutvārdu/rakstveida procesā</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7091577952755904"/>
          <c:y val="2.7613499985364283E-2"/>
        </c:manualLayout>
      </c:layout>
      <c:overlay val="0"/>
    </c:title>
    <c:autoTitleDeleted val="0"/>
    <c:plotArea>
      <c:layout/>
      <c:barChart>
        <c:barDir val="col"/>
        <c:grouping val="clustered"/>
        <c:varyColors val="0"/>
        <c:ser>
          <c:idx val="1"/>
          <c:order val="0"/>
          <c:tx>
            <c:strRef>
              <c:f>ONCNSP!$AC$6:$AC$8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ONCNSP!$AD$6:$AD$8</c:f>
              <c:numCache>
                <c:formatCode>General</c:formatCode>
                <c:ptCount val="3"/>
                <c:pt idx="0">
                  <c:v>38</c:v>
                </c:pt>
                <c:pt idx="1">
                  <c:v>18</c:v>
                </c:pt>
                <c:pt idx="2">
                  <c:v>13</c:v>
                </c:pt>
              </c:numCache>
            </c:numRef>
          </c:val>
          <c:extLst>
            <c:ext xmlns:c16="http://schemas.microsoft.com/office/drawing/2014/chart" uri="{C3380CC4-5D6E-409C-BE32-E72D297353CC}">
              <c16:uniqueId val="{00000000-55BB-4CA1-9473-B7BAEA7F5515}"/>
            </c:ext>
          </c:extLst>
        </c:ser>
        <c:ser>
          <c:idx val="0"/>
          <c:order val="1"/>
          <c:tx>
            <c:strRef>
              <c:f>ONCNSP!$AC$6:$AC$8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2.1376656690893546E-3"/>
                  <c:y val="1.75434592415078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3D-479B-8D44-48E9C14258F6}"/>
                </c:ext>
              </c:extLst>
            </c:dLbl>
            <c:dLbl>
              <c:idx val="1"/>
              <c:layout>
                <c:manualLayout>
                  <c:x val="0"/>
                  <c:y val="1.043630415763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3D-479B-8D44-48E9C14258F6}"/>
                </c:ext>
              </c:extLst>
            </c:dLbl>
            <c:dLbl>
              <c:idx val="2"/>
              <c:layout>
                <c:manualLayout>
                  <c:x val="0"/>
                  <c:y val="1.99779375404161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3D-479B-8D44-48E9C14258F6}"/>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ONCNSP!$AE$6:$AE$8</c:f>
              <c:numCache>
                <c:formatCode>General</c:formatCode>
                <c:ptCount val="3"/>
                <c:pt idx="0">
                  <c:v>7</c:v>
                </c:pt>
                <c:pt idx="1">
                  <c:v>6</c:v>
                </c:pt>
                <c:pt idx="2">
                  <c:v>3</c:v>
                </c:pt>
              </c:numCache>
            </c:numRef>
          </c:val>
          <c:extLst>
            <c:ext xmlns:c16="http://schemas.microsoft.com/office/drawing/2014/chart" uri="{C3380CC4-5D6E-409C-BE32-E72D297353CC}">
              <c16:uniqueId val="{00000001-55BB-4CA1-9473-B7BAEA7F5515}"/>
            </c:ext>
          </c:extLst>
        </c:ser>
        <c:dLbls>
          <c:showLegendKey val="0"/>
          <c:showVal val="0"/>
          <c:showCatName val="0"/>
          <c:showSerName val="0"/>
          <c:showPercent val="0"/>
          <c:showBubbleSize val="0"/>
        </c:dLbls>
        <c:gapWidth val="150"/>
        <c:axId val="305371392"/>
        <c:axId val="307386624"/>
      </c:barChart>
      <c:catAx>
        <c:axId val="3053713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307386624"/>
        <c:crosses val="autoZero"/>
        <c:auto val="1"/>
        <c:lblAlgn val="ctr"/>
        <c:lblOffset val="100"/>
        <c:noMultiLvlLbl val="0"/>
      </c:catAx>
      <c:valAx>
        <c:axId val="307386624"/>
        <c:scaling>
          <c:orientation val="minMax"/>
        </c:scaling>
        <c:delete val="1"/>
        <c:axPos val="l"/>
        <c:majorGridlines/>
        <c:numFmt formatCode="General" sourceLinked="1"/>
        <c:majorTickMark val="none"/>
        <c:minorTickMark val="none"/>
        <c:tickLblPos val="nextTo"/>
        <c:crossAx val="3053713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rPr>
              <a:t>Iesniegti protesti, no tiem apmierināti</a:t>
            </a:r>
            <a:endParaRPr lang="lv-LV" sz="1200" baseline="0">
              <a:solidFill>
                <a:schemeClr val="tx1"/>
              </a:solidFill>
              <a:effectLst/>
              <a:latin typeface="Times New Roman" panose="02020603050405020304" pitchFamily="18" charset="0"/>
            </a:endParaRPr>
          </a:p>
        </c:rich>
      </c:tx>
      <c:layout>
        <c:manualLayout>
          <c:xMode val="edge"/>
          <c:yMode val="edge"/>
          <c:x val="0.16503835896917379"/>
          <c:y val="5.5882140174174338E-2"/>
        </c:manualLayout>
      </c:layout>
      <c:overlay val="0"/>
    </c:title>
    <c:autoTitleDeleted val="0"/>
    <c:plotArea>
      <c:layout/>
      <c:barChart>
        <c:barDir val="col"/>
        <c:grouping val="clustered"/>
        <c:varyColors val="0"/>
        <c:ser>
          <c:idx val="1"/>
          <c:order val="0"/>
          <c:tx>
            <c:strRef>
              <c:f>ONCNSP!$AG$6:$AG$8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ONCNSP!$AH$6:$AH$8</c:f>
              <c:numCache>
                <c:formatCode>General</c:formatCode>
                <c:ptCount val="3"/>
                <c:pt idx="0">
                  <c:v>15</c:v>
                </c:pt>
                <c:pt idx="1">
                  <c:v>7</c:v>
                </c:pt>
                <c:pt idx="2">
                  <c:v>7</c:v>
                </c:pt>
              </c:numCache>
            </c:numRef>
          </c:val>
          <c:extLst>
            <c:ext xmlns:c16="http://schemas.microsoft.com/office/drawing/2014/chart" uri="{C3380CC4-5D6E-409C-BE32-E72D297353CC}">
              <c16:uniqueId val="{00000000-EFE6-4FA8-919C-9623605CA381}"/>
            </c:ext>
          </c:extLst>
        </c:ser>
        <c:ser>
          <c:idx val="0"/>
          <c:order val="1"/>
          <c:tx>
            <c:strRef>
              <c:f>ONCNSP!$AG$6:$AG$8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0"/>
                  <c:y val="8.66932522961172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00-48E3-B1AA-109612A1ADF4}"/>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ONCNSP!$AI$6:$AI$8</c:f>
              <c:numCache>
                <c:formatCode>General</c:formatCode>
                <c:ptCount val="3"/>
                <c:pt idx="0">
                  <c:v>2</c:v>
                </c:pt>
                <c:pt idx="1">
                  <c:v>6</c:v>
                </c:pt>
                <c:pt idx="2">
                  <c:v>4</c:v>
                </c:pt>
              </c:numCache>
            </c:numRef>
          </c:val>
          <c:extLst>
            <c:ext xmlns:c16="http://schemas.microsoft.com/office/drawing/2014/chart" uri="{C3380CC4-5D6E-409C-BE32-E72D297353CC}">
              <c16:uniqueId val="{00000001-EFE6-4FA8-919C-9623605CA381}"/>
            </c:ext>
          </c:extLst>
        </c:ser>
        <c:dLbls>
          <c:showLegendKey val="0"/>
          <c:showVal val="0"/>
          <c:showCatName val="0"/>
          <c:showSerName val="0"/>
          <c:showPercent val="0"/>
          <c:showBubbleSize val="0"/>
        </c:dLbls>
        <c:gapWidth val="150"/>
        <c:axId val="308870144"/>
        <c:axId val="308871936"/>
      </c:barChart>
      <c:catAx>
        <c:axId val="30887014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308871936"/>
        <c:crosses val="autoZero"/>
        <c:auto val="1"/>
        <c:lblAlgn val="ctr"/>
        <c:lblOffset val="100"/>
        <c:noMultiLvlLbl val="0"/>
      </c:catAx>
      <c:valAx>
        <c:axId val="308871936"/>
        <c:scaling>
          <c:orientation val="minMax"/>
        </c:scaling>
        <c:delete val="1"/>
        <c:axPos val="l"/>
        <c:majorGridlines/>
        <c:numFmt formatCode="General" sourceLinked="1"/>
        <c:majorTickMark val="none"/>
        <c:minorTickMark val="none"/>
        <c:tickLblPos val="nextTo"/>
        <c:crossAx val="30887014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200"/>
            </a:pPr>
            <a:r>
              <a:rPr lang="lv-LV" sz="1200" b="1" i="0" baseline="0">
                <a:solidFill>
                  <a:schemeClr val="tx1"/>
                </a:solidFill>
                <a:effectLst/>
                <a:latin typeface="Times New Roman" panose="02020603050405020304" pitchFamily="18" charset="0"/>
              </a:rPr>
              <a:t>Tiesā attaisnoto apsūdzēto skaits </a:t>
            </a:r>
            <a:endParaRPr lang="lv-LV" sz="1200" baseline="0">
              <a:solidFill>
                <a:schemeClr val="tx1"/>
              </a:solidFill>
              <a:effectLst/>
              <a:latin typeface="Times New Roman" panose="02020603050405020304" pitchFamily="18" charset="0"/>
            </a:endParaRPr>
          </a:p>
        </c:rich>
      </c:tx>
      <c:layout>
        <c:manualLayout>
          <c:xMode val="edge"/>
          <c:yMode val="edge"/>
          <c:x val="0.18796147672552166"/>
          <c:y val="8.9865636061547363E-2"/>
        </c:manualLayout>
      </c:layout>
      <c:overlay val="0"/>
    </c:title>
    <c:autoTitleDeleted val="0"/>
    <c:plotArea>
      <c:layout>
        <c:manualLayout>
          <c:layoutTarget val="inner"/>
          <c:xMode val="edge"/>
          <c:yMode val="edge"/>
          <c:x val="3.0555555555555555E-2"/>
          <c:y val="0.35285415011196997"/>
          <c:w val="0.93888888888888888"/>
          <c:h val="0.40934479520335187"/>
        </c:manualLayout>
      </c:layout>
      <c:lineChart>
        <c:grouping val="standard"/>
        <c:varyColors val="0"/>
        <c:ser>
          <c:idx val="1"/>
          <c:order val="0"/>
          <c:tx>
            <c:strRef>
              <c:f>ONCNSP!$AK$6:$AK$8</c:f>
              <c:strCache>
                <c:ptCount val="3"/>
                <c:pt idx="0">
                  <c:v>2018</c:v>
                </c:pt>
                <c:pt idx="1">
                  <c:v>2019</c:v>
                </c:pt>
                <c:pt idx="2">
                  <c:v>2020</c:v>
                </c:pt>
              </c:strCache>
            </c:strRef>
          </c:tx>
          <c:marker>
            <c:symbol val="none"/>
          </c:marker>
          <c:dLbls>
            <c:dLbl>
              <c:idx val="0"/>
              <c:layout>
                <c:manualLayout>
                  <c:x val="-3.3461673083654185E-2"/>
                  <c:y val="0.102827832876433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393-4DA1-A648-BBBBAAD36CE3}"/>
                </c:ext>
              </c:extLst>
            </c:dLbl>
            <c:dLbl>
              <c:idx val="1"/>
              <c:layout>
                <c:manualLayout>
                  <c:x val="-3.3461673083654268E-2"/>
                  <c:y val="-8.56898607303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93-4DA1-A648-BBBBAAD36CE3}"/>
                </c:ext>
              </c:extLst>
            </c:dLbl>
            <c:dLbl>
              <c:idx val="2"/>
              <c:layout>
                <c:manualLayout>
                  <c:x val="-2.6647999066619996E-2"/>
                  <c:y val="-8.568986073036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393-4DA1-A648-BBBBAAD36CE3}"/>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ONCNSP!$S$5:$S$7</c:f>
              <c:numCache>
                <c:formatCode>General</c:formatCode>
                <c:ptCount val="3"/>
                <c:pt idx="0">
                  <c:v>2018</c:v>
                </c:pt>
                <c:pt idx="1">
                  <c:v>2019</c:v>
                </c:pt>
                <c:pt idx="2">
                  <c:v>2020</c:v>
                </c:pt>
              </c:numCache>
            </c:numRef>
          </c:cat>
          <c:val>
            <c:numRef>
              <c:f>ONCNSP!$AL$6:$AL$8</c:f>
              <c:numCache>
                <c:formatCode>General</c:formatCode>
                <c:ptCount val="3"/>
                <c:pt idx="0">
                  <c:v>4</c:v>
                </c:pt>
                <c:pt idx="1">
                  <c:v>0</c:v>
                </c:pt>
                <c:pt idx="2">
                  <c:v>1</c:v>
                </c:pt>
              </c:numCache>
            </c:numRef>
          </c:val>
          <c:smooth val="0"/>
          <c:extLst>
            <c:ext xmlns:c16="http://schemas.microsoft.com/office/drawing/2014/chart" uri="{C3380CC4-5D6E-409C-BE32-E72D297353CC}">
              <c16:uniqueId val="{00000003-8393-4DA1-A648-BBBBAAD36CE3}"/>
            </c:ext>
          </c:extLst>
        </c:ser>
        <c:dLbls>
          <c:showLegendKey val="0"/>
          <c:showVal val="0"/>
          <c:showCatName val="0"/>
          <c:showSerName val="0"/>
          <c:showPercent val="0"/>
          <c:showBubbleSize val="0"/>
        </c:dLbls>
        <c:smooth val="0"/>
        <c:axId val="291646464"/>
        <c:axId val="292175232"/>
      </c:lineChart>
      <c:catAx>
        <c:axId val="29164646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2175232"/>
        <c:crosses val="autoZero"/>
        <c:auto val="1"/>
        <c:lblAlgn val="ctr"/>
        <c:lblOffset val="100"/>
        <c:noMultiLvlLbl val="0"/>
      </c:catAx>
      <c:valAx>
        <c:axId val="292175232"/>
        <c:scaling>
          <c:orientation val="minMax"/>
        </c:scaling>
        <c:delete val="1"/>
        <c:axPos val="l"/>
        <c:majorGridlines/>
        <c:numFmt formatCode="General" sourceLinked="1"/>
        <c:majorTickMark val="none"/>
        <c:minorTickMark val="none"/>
        <c:tickLblPos val="nextTo"/>
        <c:crossAx val="2916464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rPr>
              <a:t>Izlemtas sūdzības, no tām apmierinātas</a:t>
            </a:r>
            <a:endParaRPr lang="lv-LV" sz="1200" baseline="0">
              <a:solidFill>
                <a:schemeClr val="tx1"/>
              </a:solidFill>
              <a:effectLst/>
              <a:latin typeface="Times New Roman" panose="02020603050405020304" pitchFamily="18" charset="0"/>
            </a:endParaRPr>
          </a:p>
        </c:rich>
      </c:tx>
      <c:layout>
        <c:manualLayout>
          <c:xMode val="edge"/>
          <c:yMode val="edge"/>
          <c:x val="0.15171201988363114"/>
          <c:y val="4.0516816574920171E-2"/>
        </c:manualLayout>
      </c:layout>
      <c:overlay val="0"/>
    </c:title>
    <c:autoTitleDeleted val="0"/>
    <c:plotArea>
      <c:layout/>
      <c:barChart>
        <c:barDir val="col"/>
        <c:grouping val="clustered"/>
        <c:varyColors val="0"/>
        <c:ser>
          <c:idx val="1"/>
          <c:order val="0"/>
          <c:tx>
            <c:strRef>
              <c:f>ONCNSP!$AN$6:$AN$8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ONCNSP!$AO$6:$AO$8</c:f>
              <c:numCache>
                <c:formatCode>General</c:formatCode>
                <c:ptCount val="3"/>
                <c:pt idx="0">
                  <c:v>907</c:v>
                </c:pt>
                <c:pt idx="1">
                  <c:v>605</c:v>
                </c:pt>
                <c:pt idx="2">
                  <c:v>838</c:v>
                </c:pt>
              </c:numCache>
            </c:numRef>
          </c:val>
          <c:extLst>
            <c:ext xmlns:c16="http://schemas.microsoft.com/office/drawing/2014/chart" uri="{C3380CC4-5D6E-409C-BE32-E72D297353CC}">
              <c16:uniqueId val="{00000000-6B93-492C-B6E7-D660E06A45A7}"/>
            </c:ext>
          </c:extLst>
        </c:ser>
        <c:ser>
          <c:idx val="0"/>
          <c:order val="1"/>
          <c:tx>
            <c:strRef>
              <c:f>ONCNSP!$AN$6:$AN$8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3.9190084539437346E-17"/>
                  <c:y val="3.973157708848302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71-46FD-8B67-47BF5D2073E1}"/>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ONCNSP!$E$5:$E$7</c:f>
              <c:numCache>
                <c:formatCode>General</c:formatCode>
                <c:ptCount val="3"/>
                <c:pt idx="0">
                  <c:v>2018</c:v>
                </c:pt>
                <c:pt idx="1">
                  <c:v>2019</c:v>
                </c:pt>
                <c:pt idx="2">
                  <c:v>2020</c:v>
                </c:pt>
              </c:numCache>
            </c:numRef>
          </c:cat>
          <c:val>
            <c:numRef>
              <c:f>ONCNSP!$AP$6:$AP$8</c:f>
              <c:numCache>
                <c:formatCode>General</c:formatCode>
                <c:ptCount val="3"/>
                <c:pt idx="0">
                  <c:v>82</c:v>
                </c:pt>
                <c:pt idx="1">
                  <c:v>30</c:v>
                </c:pt>
                <c:pt idx="2">
                  <c:v>40</c:v>
                </c:pt>
              </c:numCache>
            </c:numRef>
          </c:val>
          <c:extLst>
            <c:ext xmlns:c16="http://schemas.microsoft.com/office/drawing/2014/chart" uri="{C3380CC4-5D6E-409C-BE32-E72D297353CC}">
              <c16:uniqueId val="{00000001-6B93-492C-B6E7-D660E06A45A7}"/>
            </c:ext>
          </c:extLst>
        </c:ser>
        <c:dLbls>
          <c:showLegendKey val="0"/>
          <c:showVal val="0"/>
          <c:showCatName val="0"/>
          <c:showSerName val="0"/>
          <c:showPercent val="0"/>
          <c:showBubbleSize val="0"/>
        </c:dLbls>
        <c:gapWidth val="150"/>
        <c:axId val="263482368"/>
        <c:axId val="288760576"/>
      </c:barChart>
      <c:catAx>
        <c:axId val="26348236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88760576"/>
        <c:crosses val="autoZero"/>
        <c:auto val="1"/>
        <c:lblAlgn val="ctr"/>
        <c:lblOffset val="100"/>
        <c:noMultiLvlLbl val="0"/>
      </c:catAx>
      <c:valAx>
        <c:axId val="288760576"/>
        <c:scaling>
          <c:orientation val="minMax"/>
        </c:scaling>
        <c:delete val="1"/>
        <c:axPos val="l"/>
        <c:majorGridlines/>
        <c:numFmt formatCode="General" sourceLinked="1"/>
        <c:majorTickMark val="none"/>
        <c:minorTickMark val="none"/>
        <c:tickLblPos val="nextTo"/>
        <c:crossAx val="26348236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Kriminālvajāšanai saņemti kriminālprocesi</a:t>
            </a:r>
          </a:p>
        </c:rich>
      </c:tx>
      <c:overlay val="0"/>
    </c:title>
    <c:autoTitleDeleted val="0"/>
    <c:plotArea>
      <c:layout/>
      <c:barChart>
        <c:barDir val="col"/>
        <c:grouping val="clustered"/>
        <c:varyColors val="0"/>
        <c:ser>
          <c:idx val="0"/>
          <c:order val="0"/>
          <c:tx>
            <c:strRef>
              <c:f>DzSP!$C$4</c:f>
              <c:strCache>
                <c:ptCount val="1"/>
                <c:pt idx="0">
                  <c:v>2020</c:v>
                </c:pt>
              </c:strCache>
            </c:strRef>
          </c:tx>
          <c:invertIfNegative val="0"/>
          <c:dLbls>
            <c:dLbl>
              <c:idx val="3"/>
              <c:layout>
                <c:manualLayout>
                  <c:x val="0"/>
                  <c:y val="3.1762688079831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BF-406B-80AD-F8401DF6C74B}"/>
                </c:ext>
              </c:extLst>
            </c:dLbl>
            <c:spPr>
              <a:noFill/>
              <a:ln>
                <a:noFill/>
              </a:ln>
              <a:effectLst/>
            </c:spPr>
            <c:txPr>
              <a:bodyPr wrap="square" lIns="38100" tIns="19050" rIns="38100" bIns="19050" anchor="ctr">
                <a:spAutoFit/>
              </a:bodyPr>
              <a:lstStyle/>
              <a:p>
                <a:pPr>
                  <a:defRPr b="1" i="0"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DzSP!$B$5:$B$8</c:f>
              <c:strCache>
                <c:ptCount val="4"/>
                <c:pt idx="0">
                  <c:v>NNANIP</c:v>
                </c:pt>
                <c:pt idx="1">
                  <c:v>Autotransporta</c:v>
                </c:pt>
                <c:pt idx="2">
                  <c:v>Specializētā</c:v>
                </c:pt>
                <c:pt idx="3">
                  <c:v>NMLP</c:v>
                </c:pt>
              </c:strCache>
            </c:strRef>
          </c:cat>
          <c:val>
            <c:numRef>
              <c:f>DzSP!$C$5:$C$8</c:f>
              <c:numCache>
                <c:formatCode>General</c:formatCode>
                <c:ptCount val="4"/>
                <c:pt idx="0">
                  <c:v>848</c:v>
                </c:pt>
                <c:pt idx="1">
                  <c:v>588</c:v>
                </c:pt>
                <c:pt idx="2">
                  <c:v>32</c:v>
                </c:pt>
                <c:pt idx="3">
                  <c:v>155</c:v>
                </c:pt>
              </c:numCache>
            </c:numRef>
          </c:val>
          <c:extLst>
            <c:ext xmlns:c16="http://schemas.microsoft.com/office/drawing/2014/chart" uri="{C3380CC4-5D6E-409C-BE32-E72D297353CC}">
              <c16:uniqueId val="{00000000-582C-4B10-B84C-77099379B1F2}"/>
            </c:ext>
          </c:extLst>
        </c:ser>
        <c:ser>
          <c:idx val="1"/>
          <c:order val="1"/>
          <c:tx>
            <c:strRef>
              <c:f>DzSP!$D$4</c:f>
              <c:strCache>
                <c:ptCount val="1"/>
                <c:pt idx="0">
                  <c:v>2019</c:v>
                </c:pt>
              </c:strCache>
            </c:strRef>
          </c:tx>
          <c:invertIfNegative val="0"/>
          <c:dLbls>
            <c:dLbl>
              <c:idx val="3"/>
              <c:spPr>
                <a:noFill/>
                <a:ln>
                  <a:noFill/>
                </a:ln>
                <a:effectLst/>
              </c:spPr>
              <c:txPr>
                <a:bodyPr wrap="square" lIns="38100" tIns="19050" rIns="38100" bIns="19050" anchor="ctr">
                  <a:noAutofit/>
                </a:bodyPr>
                <a:lstStyle/>
                <a:p>
                  <a:pPr>
                    <a:defRPr b="1" i="0" baseline="0">
                      <a:solidFill>
                        <a:schemeClr val="tx1"/>
                      </a:solidFill>
                    </a:defRPr>
                  </a:pPr>
                  <a:endParaRPr lang="lv-LV"/>
                </a:p>
              </c:txPr>
              <c:dLblPos val="inEnd"/>
              <c:showLegendKey val="0"/>
              <c:showVal val="1"/>
              <c:showCatName val="0"/>
              <c:showSerName val="0"/>
              <c:showPercent val="0"/>
              <c:showBubbleSize val="0"/>
              <c:extLst>
                <c:ext xmlns:c15="http://schemas.microsoft.com/office/drawing/2012/chart" uri="{CE6537A1-D6FC-4f65-9D91-7224C49458BB}">
                  <c15:layout>
                    <c:manualLayout>
                      <c:w val="4.9295774647887321E-2"/>
                      <c:h val="0.18151815181518152"/>
                    </c:manualLayout>
                  </c15:layout>
                </c:ext>
                <c:ext xmlns:c16="http://schemas.microsoft.com/office/drawing/2014/chart" uri="{C3380CC4-5D6E-409C-BE32-E72D297353CC}">
                  <c16:uniqueId val="{00000001-40BF-406B-80AD-F8401DF6C74B}"/>
                </c:ext>
              </c:extLst>
            </c:dLbl>
            <c:spPr>
              <a:noFill/>
              <a:ln>
                <a:noFill/>
              </a:ln>
              <a:effectLst/>
            </c:spPr>
            <c:txPr>
              <a:bodyPr wrap="square" lIns="38100" tIns="19050" rIns="38100" bIns="19050" anchor="ctr">
                <a:spAutoFit/>
              </a:bodyPr>
              <a:lstStyle/>
              <a:p>
                <a:pPr>
                  <a:defRPr b="1" i="0"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DzSP!$B$5:$B$8</c:f>
              <c:strCache>
                <c:ptCount val="4"/>
                <c:pt idx="0">
                  <c:v>NNANIP</c:v>
                </c:pt>
                <c:pt idx="1">
                  <c:v>Autotransporta</c:v>
                </c:pt>
                <c:pt idx="2">
                  <c:v>Specializētā</c:v>
                </c:pt>
                <c:pt idx="3">
                  <c:v>NMLP</c:v>
                </c:pt>
              </c:strCache>
            </c:strRef>
          </c:cat>
          <c:val>
            <c:numRef>
              <c:f>DzSP!$D$5:$D$8</c:f>
              <c:numCache>
                <c:formatCode>General</c:formatCode>
                <c:ptCount val="4"/>
                <c:pt idx="0">
                  <c:v>917</c:v>
                </c:pt>
                <c:pt idx="1">
                  <c:v>435</c:v>
                </c:pt>
                <c:pt idx="2">
                  <c:v>29</c:v>
                </c:pt>
                <c:pt idx="3">
                  <c:v>160</c:v>
                </c:pt>
              </c:numCache>
            </c:numRef>
          </c:val>
          <c:extLst>
            <c:ext xmlns:c16="http://schemas.microsoft.com/office/drawing/2014/chart" uri="{C3380CC4-5D6E-409C-BE32-E72D297353CC}">
              <c16:uniqueId val="{00000001-582C-4B10-B84C-77099379B1F2}"/>
            </c:ext>
          </c:extLst>
        </c:ser>
        <c:dLbls>
          <c:showLegendKey val="0"/>
          <c:showVal val="0"/>
          <c:showCatName val="0"/>
          <c:showSerName val="0"/>
          <c:showPercent val="0"/>
          <c:showBubbleSize val="0"/>
        </c:dLbls>
        <c:gapWidth val="150"/>
        <c:axId val="252554240"/>
        <c:axId val="252556800"/>
      </c:barChart>
      <c:catAx>
        <c:axId val="252554240"/>
        <c:scaling>
          <c:orientation val="minMax"/>
        </c:scaling>
        <c:delete val="0"/>
        <c:axPos val="b"/>
        <c:numFmt formatCode="General" sourceLinked="0"/>
        <c:majorTickMark val="none"/>
        <c:minorTickMark val="none"/>
        <c:tickLblPos val="nextTo"/>
        <c:crossAx val="252556800"/>
        <c:crosses val="autoZero"/>
        <c:auto val="1"/>
        <c:lblAlgn val="ctr"/>
        <c:lblOffset val="100"/>
        <c:noMultiLvlLbl val="0"/>
      </c:catAx>
      <c:valAx>
        <c:axId val="25255680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2554240"/>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a:ln>
      <a:solidFill>
        <a:srgbClr val="7030A0">
          <a:alpha val="79000"/>
        </a:srgbClr>
      </a:solidFill>
    </a:ln>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Paātrinātā procesa kārtībā kriminālvajāšanai saņemti kriminālprocesi, no tiem šī procesa kārtībā tiesai nodotas krimināllietas</a:t>
            </a:r>
          </a:p>
        </c:rich>
      </c:tx>
      <c:layout>
        <c:manualLayout>
          <c:xMode val="edge"/>
          <c:yMode val="edge"/>
          <c:x val="0.17621881086669558"/>
          <c:y val="2.5687657529161211E-2"/>
        </c:manualLayout>
      </c:layout>
      <c:overlay val="0"/>
    </c:title>
    <c:autoTitleDeleted val="0"/>
    <c:plotArea>
      <c:layout>
        <c:manualLayout>
          <c:layoutTarget val="inner"/>
          <c:xMode val="edge"/>
          <c:yMode val="edge"/>
          <c:x val="7.1082506964255901E-2"/>
          <c:y val="0.45328719723183392"/>
          <c:w val="0.80344673544967127"/>
          <c:h val="0.34329550717924967"/>
        </c:manualLayout>
      </c:layout>
      <c:barChart>
        <c:barDir val="col"/>
        <c:grouping val="clustered"/>
        <c:varyColors val="0"/>
        <c:ser>
          <c:idx val="0"/>
          <c:order val="0"/>
          <c:tx>
            <c:strRef>
              <c:f>DzSP!$G$4</c:f>
              <c:strCache>
                <c:ptCount val="1"/>
                <c:pt idx="0">
                  <c:v>2020</c:v>
                </c:pt>
              </c:strCache>
            </c:strRef>
          </c:tx>
          <c:invertIfNegative val="0"/>
          <c:dLbls>
            <c:dLbl>
              <c:idx val="2"/>
              <c:layout>
                <c:manualLayout>
                  <c:x val="-3.2098097466647754E-17"/>
                  <c:y val="2.3643199911632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875-495B-8B3D-BF30BF07FCD3}"/>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DzSP!$F$5:$F$8</c:f>
              <c:strCache>
                <c:ptCount val="4"/>
                <c:pt idx="0">
                  <c:v>NNANIP</c:v>
                </c:pt>
                <c:pt idx="1">
                  <c:v>Autotransporta</c:v>
                </c:pt>
                <c:pt idx="2">
                  <c:v>Specializētā</c:v>
                </c:pt>
                <c:pt idx="3">
                  <c:v>NMLP</c:v>
                </c:pt>
              </c:strCache>
            </c:strRef>
          </c:cat>
          <c:val>
            <c:numRef>
              <c:f>DzSP!$G$5:$G$8</c:f>
              <c:numCache>
                <c:formatCode>General</c:formatCode>
                <c:ptCount val="4"/>
                <c:pt idx="0">
                  <c:v>75</c:v>
                </c:pt>
                <c:pt idx="1">
                  <c:v>121</c:v>
                </c:pt>
                <c:pt idx="2">
                  <c:v>0</c:v>
                </c:pt>
                <c:pt idx="3">
                  <c:v>1</c:v>
                </c:pt>
              </c:numCache>
            </c:numRef>
          </c:val>
          <c:extLst>
            <c:ext xmlns:c16="http://schemas.microsoft.com/office/drawing/2014/chart" uri="{C3380CC4-5D6E-409C-BE32-E72D297353CC}">
              <c16:uniqueId val="{00000001-0875-495B-8B3D-BF30BF07FCD3}"/>
            </c:ext>
          </c:extLst>
        </c:ser>
        <c:ser>
          <c:idx val="1"/>
          <c:order val="1"/>
          <c:tx>
            <c:strRef>
              <c:f>DzSP!$G$4</c:f>
              <c:strCache>
                <c:ptCount val="1"/>
                <c:pt idx="0">
                  <c:v>2020</c:v>
                </c:pt>
              </c:strCache>
            </c:strRef>
          </c:tx>
          <c:invertIfNegative val="0"/>
          <c:dLbls>
            <c:dLbl>
              <c:idx val="4"/>
              <c:layout>
                <c:manualLayout>
                  <c:x val="-6.4196194933295507E-17"/>
                  <c:y val="-7.8810666372110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75-495B-8B3D-BF30BF07FCD3}"/>
                </c:ext>
              </c:extLst>
            </c:dLbl>
            <c:dLbl>
              <c:idx val="7"/>
              <c:layout>
                <c:manualLayout>
                  <c:x val="-1.2839238986659101E-16"/>
                  <c:y val="-1.5762133274421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75-495B-8B3D-BF30BF07FCD3}"/>
                </c:ext>
              </c:extLst>
            </c:dLbl>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DzSP!$F$5:$F$8</c:f>
              <c:strCache>
                <c:ptCount val="4"/>
                <c:pt idx="0">
                  <c:v>NNANIP</c:v>
                </c:pt>
                <c:pt idx="1">
                  <c:v>Autotransporta</c:v>
                </c:pt>
                <c:pt idx="2">
                  <c:v>Specializētā</c:v>
                </c:pt>
                <c:pt idx="3">
                  <c:v>NMLP</c:v>
                </c:pt>
              </c:strCache>
            </c:strRef>
          </c:cat>
          <c:val>
            <c:numRef>
              <c:f>DzSP!$H$5:$H$8</c:f>
              <c:numCache>
                <c:formatCode>General</c:formatCode>
                <c:ptCount val="4"/>
                <c:pt idx="0">
                  <c:v>3</c:v>
                </c:pt>
                <c:pt idx="1">
                  <c:v>20</c:v>
                </c:pt>
                <c:pt idx="2">
                  <c:v>0</c:v>
                </c:pt>
                <c:pt idx="3">
                  <c:v>0</c:v>
                </c:pt>
              </c:numCache>
            </c:numRef>
          </c:val>
          <c:extLst>
            <c:ext xmlns:c16="http://schemas.microsoft.com/office/drawing/2014/chart" uri="{C3380CC4-5D6E-409C-BE32-E72D297353CC}">
              <c16:uniqueId val="{00000004-0875-495B-8B3D-BF30BF07FCD3}"/>
            </c:ext>
          </c:extLst>
        </c:ser>
        <c:ser>
          <c:idx val="2"/>
          <c:order val="2"/>
          <c:tx>
            <c:strRef>
              <c:f>DzSP!$I$4</c:f>
              <c:strCache>
                <c:ptCount val="1"/>
                <c:pt idx="0">
                  <c:v>2019</c:v>
                </c:pt>
              </c:strCache>
            </c:strRef>
          </c:tx>
          <c:invertIfNegative val="0"/>
          <c:dLbls>
            <c:dLbl>
              <c:idx val="3"/>
              <c:layout>
                <c:manualLayout>
                  <c:x val="1.7508255418149574E-3"/>
                  <c:y val="1.18215999558163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875-495B-8B3D-BF30BF07FCD3}"/>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DzSP!$F$5:$F$8</c:f>
              <c:strCache>
                <c:ptCount val="4"/>
                <c:pt idx="0">
                  <c:v>NNANIP</c:v>
                </c:pt>
                <c:pt idx="1">
                  <c:v>Autotransporta</c:v>
                </c:pt>
                <c:pt idx="2">
                  <c:v>Specializētā</c:v>
                </c:pt>
                <c:pt idx="3">
                  <c:v>NMLP</c:v>
                </c:pt>
              </c:strCache>
            </c:strRef>
          </c:cat>
          <c:val>
            <c:numRef>
              <c:f>DzSP!$I$5:$I$8</c:f>
              <c:numCache>
                <c:formatCode>General</c:formatCode>
                <c:ptCount val="4"/>
                <c:pt idx="0">
                  <c:v>130</c:v>
                </c:pt>
                <c:pt idx="1">
                  <c:v>44</c:v>
                </c:pt>
                <c:pt idx="2">
                  <c:v>0</c:v>
                </c:pt>
                <c:pt idx="3">
                  <c:v>3</c:v>
                </c:pt>
              </c:numCache>
            </c:numRef>
          </c:val>
          <c:extLst>
            <c:ext xmlns:c16="http://schemas.microsoft.com/office/drawing/2014/chart" uri="{C3380CC4-5D6E-409C-BE32-E72D297353CC}">
              <c16:uniqueId val="{00000006-0875-495B-8B3D-BF30BF07FCD3}"/>
            </c:ext>
          </c:extLst>
        </c:ser>
        <c:ser>
          <c:idx val="3"/>
          <c:order val="3"/>
          <c:tx>
            <c:strRef>
              <c:f>DzSP!$I$4</c:f>
              <c:strCache>
                <c:ptCount val="1"/>
                <c:pt idx="0">
                  <c:v>2019</c:v>
                </c:pt>
              </c:strCache>
            </c:strRef>
          </c:tx>
          <c:invertIfNegative val="0"/>
          <c:dLbls>
            <c:dLbl>
              <c:idx val="0"/>
              <c:layout>
                <c:manualLayout>
                  <c:x val="-1.6049048733323877E-17"/>
                  <c:y val="4.85088959866739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875-495B-8B3D-BF30BF07FCD3}"/>
                </c:ext>
              </c:extLst>
            </c:dLbl>
            <c:dLbl>
              <c:idx val="1"/>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875-495B-8B3D-BF30BF07FCD3}"/>
                </c:ext>
              </c:extLst>
            </c:dLbl>
            <c:dLbl>
              <c:idx val="2"/>
              <c:layout>
                <c:manualLayout>
                  <c:x val="0"/>
                  <c:y val="-2.33329216975707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875-495B-8B3D-BF30BF07FCD3}"/>
                </c:ext>
              </c:extLst>
            </c:dLbl>
            <c:dLbl>
              <c:idx val="3"/>
              <c:layout>
                <c:manualLayout>
                  <c:x val="1.7508255418150216E-3"/>
                  <c:y val="1.50360822535132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875-495B-8B3D-BF30BF07FCD3}"/>
                </c:ext>
              </c:extLst>
            </c:dLbl>
            <c:dLbl>
              <c:idx val="4"/>
              <c:layout>
                <c:manualLayout>
                  <c:x val="1.7508255418150216E-3"/>
                  <c:y val="4.551781400310402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875-495B-8B3D-BF30BF07FCD3}"/>
                </c:ext>
              </c:extLst>
            </c:dLbl>
            <c:dLbl>
              <c:idx val="5"/>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875-495B-8B3D-BF30BF07FCD3}"/>
                </c:ext>
              </c:extLst>
            </c:dLbl>
            <c:dLbl>
              <c:idx val="7"/>
              <c:layout>
                <c:manualLayout>
                  <c:x val="1.7508255418150216E-3"/>
                  <c:y val="-3.48535517857442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875-495B-8B3D-BF30BF07FCD3}"/>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DzSP!$F$5:$F$8</c:f>
              <c:strCache>
                <c:ptCount val="4"/>
                <c:pt idx="0">
                  <c:v>NNANIP</c:v>
                </c:pt>
                <c:pt idx="1">
                  <c:v>Autotransporta</c:v>
                </c:pt>
                <c:pt idx="2">
                  <c:v>Specializētā</c:v>
                </c:pt>
                <c:pt idx="3">
                  <c:v>NMLP</c:v>
                </c:pt>
              </c:strCache>
            </c:strRef>
          </c:cat>
          <c:val>
            <c:numRef>
              <c:f>DzSP!$J$5:$J$8</c:f>
              <c:numCache>
                <c:formatCode>General</c:formatCode>
                <c:ptCount val="4"/>
                <c:pt idx="0">
                  <c:v>7</c:v>
                </c:pt>
                <c:pt idx="1">
                  <c:v>13</c:v>
                </c:pt>
                <c:pt idx="2">
                  <c:v>0</c:v>
                </c:pt>
                <c:pt idx="3">
                  <c:v>0</c:v>
                </c:pt>
              </c:numCache>
            </c:numRef>
          </c:val>
          <c:extLst>
            <c:ext xmlns:c16="http://schemas.microsoft.com/office/drawing/2014/chart" uri="{C3380CC4-5D6E-409C-BE32-E72D297353CC}">
              <c16:uniqueId val="{0000000E-0875-495B-8B3D-BF30BF07FCD3}"/>
            </c:ext>
          </c:extLst>
        </c:ser>
        <c:dLbls>
          <c:showLegendKey val="0"/>
          <c:showVal val="0"/>
          <c:showCatName val="0"/>
          <c:showSerName val="0"/>
          <c:showPercent val="0"/>
          <c:showBubbleSize val="0"/>
        </c:dLbls>
        <c:gapWidth val="150"/>
        <c:axId val="175464832"/>
        <c:axId val="175466368"/>
      </c:barChart>
      <c:catAx>
        <c:axId val="175464832"/>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75466368"/>
        <c:crosses val="autoZero"/>
        <c:auto val="1"/>
        <c:lblAlgn val="ctr"/>
        <c:lblOffset val="100"/>
        <c:noMultiLvlLbl val="0"/>
      </c:catAx>
      <c:valAx>
        <c:axId val="175466368"/>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64832"/>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baseline="0">
          <a:solidFill>
            <a:schemeClr val="tx2"/>
          </a:solidFill>
          <a:latin typeface="Times New Roman" panose="02020603050405020304" pitchFamily="18" charset="0"/>
        </a:defRPr>
      </a:pPr>
      <a:endParaRPr lang="lv-LV"/>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lv-LV" sz="1200" b="1">
                <a:solidFill>
                  <a:schemeClr val="tx1"/>
                </a:solidFill>
                <a:effectLst/>
                <a:latin typeface="Times New Roman" panose="02020603050405020304" pitchFamily="18" charset="0"/>
                <a:cs typeface="Times New Roman" panose="02020603050405020304" pitchFamily="18" charset="0"/>
              </a:rPr>
              <a:t>Prokuroru iesniegtie protesti krimināllietās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Apelācijas protesti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250</c:v>
                </c:pt>
                <c:pt idx="1">
                  <c:v>339</c:v>
                </c:pt>
                <c:pt idx="2">
                  <c:v>252</c:v>
                </c:pt>
              </c:numCache>
            </c:numRef>
          </c:val>
          <c:extLst>
            <c:ext xmlns:c16="http://schemas.microsoft.com/office/drawing/2014/chart" uri="{C3380CC4-5D6E-409C-BE32-E72D297353CC}">
              <c16:uniqueId val="{00000000-A68D-4231-AC30-E7571F5A69B4}"/>
            </c:ext>
          </c:extLst>
        </c:ser>
        <c:ser>
          <c:idx val="1"/>
          <c:order val="1"/>
          <c:tx>
            <c:strRef>
              <c:f>Sheet1!$C$1</c:f>
              <c:strCache>
                <c:ptCount val="1"/>
                <c:pt idx="0">
                  <c:v>Kasācijas protesti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Sheet1!$C$2:$C$4</c:f>
              <c:numCache>
                <c:formatCode>General</c:formatCode>
                <c:ptCount val="3"/>
                <c:pt idx="0">
                  <c:v>102</c:v>
                </c:pt>
                <c:pt idx="1">
                  <c:v>125</c:v>
                </c:pt>
                <c:pt idx="2">
                  <c:v>88</c:v>
                </c:pt>
              </c:numCache>
            </c:numRef>
          </c:val>
          <c:extLst>
            <c:ext xmlns:c16="http://schemas.microsoft.com/office/drawing/2014/chart" uri="{C3380CC4-5D6E-409C-BE32-E72D297353CC}">
              <c16:uniqueId val="{00000001-A68D-4231-AC30-E7571F5A69B4}"/>
            </c:ext>
          </c:extLst>
        </c:ser>
        <c:ser>
          <c:idx val="2"/>
          <c:order val="2"/>
          <c:tx>
            <c:strRef>
              <c:f>Sheet1!$D$1</c:f>
              <c:strCache>
                <c:ptCount val="1"/>
                <c:pt idx="0">
                  <c:v>KPL 61. un 63.nodaļas kārtībā</c:v>
                </c:pt>
              </c:strCache>
            </c:strRef>
          </c:tx>
          <c:spPr>
            <a:solidFill>
              <a:schemeClr val="accent3"/>
            </a:solidFill>
            <a:ln>
              <a:noFill/>
            </a:ln>
            <a:effectLst/>
          </c:spPr>
          <c:invertIfNegative val="0"/>
          <c:dLbls>
            <c:dLbl>
              <c:idx val="0"/>
              <c:layout>
                <c:manualLayout>
                  <c:x val="2.5575447570332483E-3"/>
                  <c:y val="3.95485950285626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68D-4231-AC30-E7571F5A69B4}"/>
                </c:ext>
              </c:extLst>
            </c:dLbl>
            <c:dLbl>
              <c:idx val="1"/>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inBase"/>
              <c:showLegendKey val="0"/>
              <c:showVal val="1"/>
              <c:showCatName val="0"/>
              <c:showSerName val="0"/>
              <c:showPercent val="0"/>
              <c:showBubbleSize val="0"/>
              <c:extLst>
                <c:ext xmlns:c15="http://schemas.microsoft.com/office/drawing/2012/chart" uri="{CE6537A1-D6FC-4f65-9D91-7224C49458BB}">
                  <c15:layout>
                    <c:manualLayout>
                      <c:w val="4.0920716112531973E-2"/>
                      <c:h val="0.13174019607843138"/>
                    </c:manualLayout>
                  </c15:layout>
                </c:ext>
                <c:ext xmlns:c16="http://schemas.microsoft.com/office/drawing/2014/chart" uri="{C3380CC4-5D6E-409C-BE32-E72D297353CC}">
                  <c16:uniqueId val="{00000004-A68D-4231-AC30-E7571F5A69B4}"/>
                </c:ext>
              </c:extLst>
            </c:dLbl>
            <c:dLbl>
              <c:idx val="2"/>
              <c:layout>
                <c:manualLayout>
                  <c:x val="0"/>
                  <c:y val="8.0399876486027477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manualLayout>
                      <c:w val="4.0920716112531973E-2"/>
                      <c:h val="0.23590686274509803"/>
                    </c:manualLayout>
                  </c15:layout>
                </c:ext>
                <c:ext xmlns:c16="http://schemas.microsoft.com/office/drawing/2014/chart" uri="{C3380CC4-5D6E-409C-BE32-E72D297353CC}">
                  <c16:uniqueId val="{00000005-A68D-4231-AC30-E7571F5A69B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Sheet1!$D$2:$D$4</c:f>
              <c:numCache>
                <c:formatCode>General</c:formatCode>
                <c:ptCount val="3"/>
                <c:pt idx="0">
                  <c:v>61</c:v>
                </c:pt>
                <c:pt idx="1">
                  <c:v>38</c:v>
                </c:pt>
                <c:pt idx="2">
                  <c:v>44</c:v>
                </c:pt>
              </c:numCache>
            </c:numRef>
          </c:val>
          <c:extLst>
            <c:ext xmlns:c16="http://schemas.microsoft.com/office/drawing/2014/chart" uri="{C3380CC4-5D6E-409C-BE32-E72D297353CC}">
              <c16:uniqueId val="{00000002-A68D-4231-AC30-E7571F5A69B4}"/>
            </c:ext>
          </c:extLst>
        </c:ser>
        <c:dLbls>
          <c:showLegendKey val="0"/>
          <c:showVal val="0"/>
          <c:showCatName val="0"/>
          <c:showSerName val="0"/>
          <c:showPercent val="0"/>
          <c:showBubbleSize val="0"/>
        </c:dLbls>
        <c:gapWidth val="219"/>
        <c:axId val="504351224"/>
        <c:axId val="504347288"/>
      </c:barChart>
      <c:catAx>
        <c:axId val="504351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4347288"/>
        <c:crosses val="autoZero"/>
        <c:auto val="1"/>
        <c:lblAlgn val="ctr"/>
        <c:lblOffset val="100"/>
        <c:noMultiLvlLbl val="0"/>
      </c:catAx>
      <c:valAx>
        <c:axId val="50434728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4351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Tiesai nodotas krimināllietas, no tām vienošanās procesa kārtībā</a:t>
            </a:r>
          </a:p>
        </c:rich>
      </c:tx>
      <c:overlay val="0"/>
    </c:title>
    <c:autoTitleDeleted val="0"/>
    <c:plotArea>
      <c:layout/>
      <c:barChart>
        <c:barDir val="col"/>
        <c:grouping val="clustered"/>
        <c:varyColors val="0"/>
        <c:ser>
          <c:idx val="0"/>
          <c:order val="0"/>
          <c:tx>
            <c:strRef>
              <c:f>DzSP!$M$4</c:f>
              <c:strCache>
                <c:ptCount val="1"/>
                <c:pt idx="0">
                  <c:v>2020</c:v>
                </c:pt>
              </c:strCache>
            </c:strRef>
          </c:tx>
          <c:invertIfNegative val="0"/>
          <c:dLbls>
            <c:dLbl>
              <c:idx val="3"/>
              <c:layout>
                <c:manualLayout>
                  <c:x val="-4.2753313381787093E-3"/>
                  <c:y val="3.00525303951198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D5-4A1A-A804-288AB6526C2C}"/>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DzSP!$L$5:$L$8</c:f>
              <c:strCache>
                <c:ptCount val="4"/>
                <c:pt idx="0">
                  <c:v>NNANIP</c:v>
                </c:pt>
                <c:pt idx="1">
                  <c:v>Autotransporta</c:v>
                </c:pt>
                <c:pt idx="2">
                  <c:v>Specializētā</c:v>
                </c:pt>
                <c:pt idx="3">
                  <c:v>NMLP</c:v>
                </c:pt>
              </c:strCache>
            </c:strRef>
          </c:cat>
          <c:val>
            <c:numRef>
              <c:f>DzSP!$M$5:$M$8</c:f>
              <c:numCache>
                <c:formatCode>General</c:formatCode>
                <c:ptCount val="4"/>
                <c:pt idx="0">
                  <c:v>596</c:v>
                </c:pt>
                <c:pt idx="1">
                  <c:v>432</c:v>
                </c:pt>
                <c:pt idx="2">
                  <c:v>22</c:v>
                </c:pt>
                <c:pt idx="3">
                  <c:v>122</c:v>
                </c:pt>
              </c:numCache>
            </c:numRef>
          </c:val>
          <c:extLst>
            <c:ext xmlns:c16="http://schemas.microsoft.com/office/drawing/2014/chart" uri="{C3380CC4-5D6E-409C-BE32-E72D297353CC}">
              <c16:uniqueId val="{00000000-D3C9-4F02-BF52-41451E97C20A}"/>
            </c:ext>
          </c:extLst>
        </c:ser>
        <c:ser>
          <c:idx val="1"/>
          <c:order val="1"/>
          <c:tx>
            <c:strRef>
              <c:f>DzSP!$G$4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DzSP!$L$5:$L$8</c:f>
              <c:strCache>
                <c:ptCount val="4"/>
                <c:pt idx="0">
                  <c:v>NNANIP</c:v>
                </c:pt>
                <c:pt idx="1">
                  <c:v>Autotransporta</c:v>
                </c:pt>
                <c:pt idx="2">
                  <c:v>Specializētā</c:v>
                </c:pt>
                <c:pt idx="3">
                  <c:v>NMLP</c:v>
                </c:pt>
              </c:strCache>
            </c:strRef>
          </c:cat>
          <c:val>
            <c:numRef>
              <c:f>DzSP!$N$5:$N$8</c:f>
              <c:numCache>
                <c:formatCode>General</c:formatCode>
                <c:ptCount val="4"/>
                <c:pt idx="0">
                  <c:v>141</c:v>
                </c:pt>
                <c:pt idx="1">
                  <c:v>113</c:v>
                </c:pt>
                <c:pt idx="2">
                  <c:v>2</c:v>
                </c:pt>
                <c:pt idx="3">
                  <c:v>42</c:v>
                </c:pt>
              </c:numCache>
            </c:numRef>
          </c:val>
          <c:extLst>
            <c:ext xmlns:c16="http://schemas.microsoft.com/office/drawing/2014/chart" uri="{C3380CC4-5D6E-409C-BE32-E72D297353CC}">
              <c16:uniqueId val="{00000001-D3C9-4F02-BF52-41451E97C20A}"/>
            </c:ext>
          </c:extLst>
        </c:ser>
        <c:ser>
          <c:idx val="2"/>
          <c:order val="2"/>
          <c:tx>
            <c:strRef>
              <c:f>DzSP!$O$4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DzSP!$L$5:$L$8</c:f>
              <c:strCache>
                <c:ptCount val="4"/>
                <c:pt idx="0">
                  <c:v>NNANIP</c:v>
                </c:pt>
                <c:pt idx="1">
                  <c:v>Autotransporta</c:v>
                </c:pt>
                <c:pt idx="2">
                  <c:v>Specializētā</c:v>
                </c:pt>
                <c:pt idx="3">
                  <c:v>NMLP</c:v>
                </c:pt>
              </c:strCache>
            </c:strRef>
          </c:cat>
          <c:val>
            <c:numRef>
              <c:f>DzSP!$O$5:$O$8</c:f>
              <c:numCache>
                <c:formatCode>General</c:formatCode>
                <c:ptCount val="4"/>
                <c:pt idx="0">
                  <c:v>712</c:v>
                </c:pt>
                <c:pt idx="1">
                  <c:v>353</c:v>
                </c:pt>
                <c:pt idx="2">
                  <c:v>27</c:v>
                </c:pt>
                <c:pt idx="3">
                  <c:v>140</c:v>
                </c:pt>
              </c:numCache>
            </c:numRef>
          </c:val>
          <c:extLst>
            <c:ext xmlns:c16="http://schemas.microsoft.com/office/drawing/2014/chart" uri="{C3380CC4-5D6E-409C-BE32-E72D297353CC}">
              <c16:uniqueId val="{00000002-D3C9-4F02-BF52-41451E97C20A}"/>
            </c:ext>
          </c:extLst>
        </c:ser>
        <c:ser>
          <c:idx val="3"/>
          <c:order val="3"/>
          <c:tx>
            <c:strRef>
              <c:f>DzSP!$I$4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DzSP!$L$5:$L$8</c:f>
              <c:strCache>
                <c:ptCount val="4"/>
                <c:pt idx="0">
                  <c:v>NNANIP</c:v>
                </c:pt>
                <c:pt idx="1">
                  <c:v>Autotransporta</c:v>
                </c:pt>
                <c:pt idx="2">
                  <c:v>Specializētā</c:v>
                </c:pt>
                <c:pt idx="3">
                  <c:v>NMLP</c:v>
                </c:pt>
              </c:strCache>
            </c:strRef>
          </c:cat>
          <c:val>
            <c:numRef>
              <c:f>DzSP!$P$5:$P$8</c:f>
              <c:numCache>
                <c:formatCode>General</c:formatCode>
                <c:ptCount val="4"/>
                <c:pt idx="0">
                  <c:v>180</c:v>
                </c:pt>
                <c:pt idx="1">
                  <c:v>55</c:v>
                </c:pt>
                <c:pt idx="2">
                  <c:v>1</c:v>
                </c:pt>
                <c:pt idx="3">
                  <c:v>69</c:v>
                </c:pt>
              </c:numCache>
            </c:numRef>
          </c:val>
          <c:extLst>
            <c:ext xmlns:c16="http://schemas.microsoft.com/office/drawing/2014/chart" uri="{C3380CC4-5D6E-409C-BE32-E72D297353CC}">
              <c16:uniqueId val="{00000003-D3C9-4F02-BF52-41451E97C20A}"/>
            </c:ext>
          </c:extLst>
        </c:ser>
        <c:dLbls>
          <c:showLegendKey val="0"/>
          <c:showVal val="0"/>
          <c:showCatName val="0"/>
          <c:showSerName val="0"/>
          <c:showPercent val="0"/>
          <c:showBubbleSize val="0"/>
        </c:dLbls>
        <c:gapWidth val="150"/>
        <c:axId val="175476096"/>
        <c:axId val="240403584"/>
      </c:barChart>
      <c:catAx>
        <c:axId val="17547609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40403584"/>
        <c:crosses val="autoZero"/>
        <c:auto val="1"/>
        <c:lblAlgn val="ctr"/>
        <c:lblOffset val="100"/>
        <c:noMultiLvlLbl val="0"/>
      </c:catAx>
      <c:valAx>
        <c:axId val="240403584"/>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7609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100">
                <a:solidFill>
                  <a:schemeClr val="tx1"/>
                </a:solidFill>
              </a:rPr>
              <a:t>Prokuratūrā pabeigti kriminālprocesi ar prokurora priekšrakstu par sodu</a:t>
            </a:r>
          </a:p>
        </c:rich>
      </c:tx>
      <c:overlay val="0"/>
    </c:title>
    <c:autoTitleDeleted val="0"/>
    <c:plotArea>
      <c:layout/>
      <c:barChart>
        <c:barDir val="col"/>
        <c:grouping val="clustered"/>
        <c:varyColors val="0"/>
        <c:ser>
          <c:idx val="0"/>
          <c:order val="0"/>
          <c:tx>
            <c:strRef>
              <c:f>DzSP!$S$4</c:f>
              <c:strCache>
                <c:ptCount val="1"/>
                <c:pt idx="0">
                  <c:v>2020</c:v>
                </c:pt>
              </c:strCache>
            </c:strRef>
          </c:tx>
          <c:invertIfNegative val="0"/>
          <c:dLbls>
            <c:dLbl>
              <c:idx val="3"/>
              <c:layout>
                <c:manualLayout>
                  <c:x val="0"/>
                  <c:y val="8.19083160594957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0C-4215-9FD9-95D3C3D0DF10}"/>
                </c:ext>
              </c:extLst>
            </c:dLbl>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DzSP!$R$5:$R$8</c:f>
              <c:strCache>
                <c:ptCount val="4"/>
                <c:pt idx="0">
                  <c:v>NNANIP</c:v>
                </c:pt>
                <c:pt idx="1">
                  <c:v>Autotransporta</c:v>
                </c:pt>
                <c:pt idx="2">
                  <c:v>Specializētā</c:v>
                </c:pt>
                <c:pt idx="3">
                  <c:v>NMLP</c:v>
                </c:pt>
              </c:strCache>
            </c:strRef>
          </c:cat>
          <c:val>
            <c:numRef>
              <c:f>DzSP!$S$5:$S$8</c:f>
              <c:numCache>
                <c:formatCode>General</c:formatCode>
                <c:ptCount val="4"/>
                <c:pt idx="0">
                  <c:v>166</c:v>
                </c:pt>
                <c:pt idx="1">
                  <c:v>183</c:v>
                </c:pt>
                <c:pt idx="2">
                  <c:v>4</c:v>
                </c:pt>
                <c:pt idx="3">
                  <c:v>14</c:v>
                </c:pt>
              </c:numCache>
            </c:numRef>
          </c:val>
          <c:extLst>
            <c:ext xmlns:c16="http://schemas.microsoft.com/office/drawing/2014/chart" uri="{C3380CC4-5D6E-409C-BE32-E72D297353CC}">
              <c16:uniqueId val="{00000000-4A96-4D15-B820-A581D50A3556}"/>
            </c:ext>
          </c:extLst>
        </c:ser>
        <c:ser>
          <c:idx val="1"/>
          <c:order val="1"/>
          <c:tx>
            <c:strRef>
              <c:f>DzSP!$T$4</c:f>
              <c:strCache>
                <c:ptCount val="1"/>
                <c:pt idx="0">
                  <c:v>2019</c:v>
                </c:pt>
              </c:strCache>
            </c:strRef>
          </c:tx>
          <c:invertIfNegative val="0"/>
          <c:dLbls>
            <c:dLbl>
              <c:idx val="3"/>
              <c:layout>
                <c:manualLayout>
                  <c:x val="-2.392344497607831E-3"/>
                  <c:y val="2.69203849518809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0C-4215-9FD9-95D3C3D0DF10}"/>
                </c:ext>
              </c:extLst>
            </c:dLbl>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DzSP!$R$5:$R$8</c:f>
              <c:strCache>
                <c:ptCount val="4"/>
                <c:pt idx="0">
                  <c:v>NNANIP</c:v>
                </c:pt>
                <c:pt idx="1">
                  <c:v>Autotransporta</c:v>
                </c:pt>
                <c:pt idx="2">
                  <c:v>Specializētā</c:v>
                </c:pt>
                <c:pt idx="3">
                  <c:v>NMLP</c:v>
                </c:pt>
              </c:strCache>
            </c:strRef>
          </c:cat>
          <c:val>
            <c:numRef>
              <c:f>DzSP!$T$5:$T$8</c:f>
              <c:numCache>
                <c:formatCode>General</c:formatCode>
                <c:ptCount val="4"/>
                <c:pt idx="0">
                  <c:v>149</c:v>
                </c:pt>
                <c:pt idx="1">
                  <c:v>79</c:v>
                </c:pt>
                <c:pt idx="2">
                  <c:v>3</c:v>
                </c:pt>
                <c:pt idx="3">
                  <c:v>25</c:v>
                </c:pt>
              </c:numCache>
            </c:numRef>
          </c:val>
          <c:extLst>
            <c:ext xmlns:c16="http://schemas.microsoft.com/office/drawing/2014/chart" uri="{C3380CC4-5D6E-409C-BE32-E72D297353CC}">
              <c16:uniqueId val="{00000001-4A96-4D15-B820-A581D50A3556}"/>
            </c:ext>
          </c:extLst>
        </c:ser>
        <c:dLbls>
          <c:showLegendKey val="0"/>
          <c:showVal val="0"/>
          <c:showCatName val="0"/>
          <c:showSerName val="0"/>
          <c:showPercent val="0"/>
          <c:showBubbleSize val="0"/>
        </c:dLbls>
        <c:gapWidth val="150"/>
        <c:axId val="237797376"/>
        <c:axId val="239077632"/>
      </c:barChart>
      <c:catAx>
        <c:axId val="237797376"/>
        <c:scaling>
          <c:orientation val="minMax"/>
        </c:scaling>
        <c:delete val="0"/>
        <c:axPos val="b"/>
        <c:numFmt formatCode="General" sourceLinked="0"/>
        <c:majorTickMark val="none"/>
        <c:minorTickMark val="none"/>
        <c:tickLblPos val="nextTo"/>
        <c:crossAx val="239077632"/>
        <c:crosses val="autoZero"/>
        <c:auto val="1"/>
        <c:lblAlgn val="ctr"/>
        <c:lblOffset val="100"/>
        <c:noMultiLvlLbl val="0"/>
      </c:catAx>
      <c:valAx>
        <c:axId val="239077632"/>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37797376"/>
        <c:crosses val="autoZero"/>
        <c:crossBetween val="between"/>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sz="1100"/>
            </a:pPr>
            <a:r>
              <a:rPr lang="lv-LV" sz="1100"/>
              <a:t>Pēc Krimināllikuma 253.2 p.1.d. (NNANIP), 262.p.1.d. (RAP), 185.p.1.d. (SVNP), 218.p. (NMLP)  pabeigto kriminālprocesu procentuālā attiecība pret kopā pabeigto kriminālprocesu skaitu</a:t>
            </a:r>
          </a:p>
        </c:rich>
      </c:tx>
      <c:layout>
        <c:manualLayout>
          <c:xMode val="edge"/>
          <c:yMode val="edge"/>
          <c:x val="0.16410895634512115"/>
          <c:y val="2.1579974916928486E-2"/>
        </c:manualLayout>
      </c:layout>
      <c:overlay val="0"/>
    </c:title>
    <c:autoTitleDeleted val="0"/>
    <c:plotArea>
      <c:layout/>
      <c:barChart>
        <c:barDir val="col"/>
        <c:grouping val="clustered"/>
        <c:varyColors val="0"/>
        <c:ser>
          <c:idx val="0"/>
          <c:order val="0"/>
          <c:tx>
            <c:strRef>
              <c:f>DzSP!$W$4</c:f>
              <c:strCache>
                <c:ptCount val="1"/>
                <c:pt idx="0">
                  <c:v>2020</c:v>
                </c:pt>
              </c:strCache>
            </c:strRef>
          </c:tx>
          <c:invertIfNegative val="0"/>
          <c:dLbls>
            <c:spPr>
              <a:noFill/>
              <a:ln>
                <a:noFill/>
              </a:ln>
              <a:effectLst/>
            </c:spPr>
            <c:txPr>
              <a:bodyPr rot="-5400000" vert="horz"/>
              <a:lstStyle/>
              <a:p>
                <a:pPr>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DzSP!$V$5:$V$8</c:f>
              <c:strCache>
                <c:ptCount val="4"/>
                <c:pt idx="0">
                  <c:v>NNANIP</c:v>
                </c:pt>
                <c:pt idx="1">
                  <c:v>Autotransporta</c:v>
                </c:pt>
                <c:pt idx="2">
                  <c:v>Specializētā</c:v>
                </c:pt>
                <c:pt idx="3">
                  <c:v>NMLP</c:v>
                </c:pt>
              </c:strCache>
            </c:strRef>
          </c:cat>
          <c:val>
            <c:numRef>
              <c:f>DzSP!$W$5:$W$8</c:f>
              <c:numCache>
                <c:formatCode>0.00%</c:formatCode>
                <c:ptCount val="4"/>
                <c:pt idx="0">
                  <c:v>0.42</c:v>
                </c:pt>
                <c:pt idx="1">
                  <c:v>0.57999999999999996</c:v>
                </c:pt>
                <c:pt idx="2">
                  <c:v>0.3</c:v>
                </c:pt>
                <c:pt idx="3">
                  <c:v>0.1021</c:v>
                </c:pt>
              </c:numCache>
            </c:numRef>
          </c:val>
          <c:extLst>
            <c:ext xmlns:c16="http://schemas.microsoft.com/office/drawing/2014/chart" uri="{C3380CC4-5D6E-409C-BE32-E72D297353CC}">
              <c16:uniqueId val="{00000000-71E8-4C6D-9BE1-5433E17C615F}"/>
            </c:ext>
          </c:extLst>
        </c:ser>
        <c:ser>
          <c:idx val="1"/>
          <c:order val="1"/>
          <c:tx>
            <c:strRef>
              <c:f>DzSP!$X$4</c:f>
              <c:strCache>
                <c:ptCount val="1"/>
                <c:pt idx="0">
                  <c:v>2019</c:v>
                </c:pt>
              </c:strCache>
            </c:strRef>
          </c:tx>
          <c:invertIfNegative val="0"/>
          <c:dLbls>
            <c:dLbl>
              <c:idx val="0"/>
              <c:dLblPos val="outEnd"/>
              <c:showLegendKey val="0"/>
              <c:showVal val="1"/>
              <c:showCatName val="0"/>
              <c:showSerName val="0"/>
              <c:showPercent val="0"/>
              <c:showBubbleSize val="0"/>
              <c:extLst>
                <c:ext xmlns:c15="http://schemas.microsoft.com/office/drawing/2012/chart" uri="{CE6537A1-D6FC-4f65-9D91-7224C49458BB}">
                  <c15:layout>
                    <c:manualLayout>
                      <c:w val="0.10433763188745604"/>
                      <c:h val="0.17660550458715596"/>
                    </c:manualLayout>
                  </c15:layout>
                </c:ext>
                <c:ext xmlns:c16="http://schemas.microsoft.com/office/drawing/2014/chart" uri="{C3380CC4-5D6E-409C-BE32-E72D297353CC}">
                  <c16:uniqueId val="{00000006-F3C0-4FF0-8885-7E7D39E150AA}"/>
                </c:ext>
              </c:extLst>
            </c:dLbl>
            <c:spPr>
              <a:noFill/>
              <a:ln>
                <a:noFill/>
              </a:ln>
              <a:effectLst/>
            </c:spPr>
            <c:txPr>
              <a:bodyPr rot="-5400000" vert="horz"/>
              <a:lstStyle/>
              <a:p>
                <a:pPr>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DzSP!$V$5:$V$8</c:f>
              <c:strCache>
                <c:ptCount val="4"/>
                <c:pt idx="0">
                  <c:v>NNANIP</c:v>
                </c:pt>
                <c:pt idx="1">
                  <c:v>Autotransporta</c:v>
                </c:pt>
                <c:pt idx="2">
                  <c:v>Specializētā</c:v>
                </c:pt>
                <c:pt idx="3">
                  <c:v>NMLP</c:v>
                </c:pt>
              </c:strCache>
            </c:strRef>
          </c:cat>
          <c:val>
            <c:numRef>
              <c:f>DzSP!$X$5:$X$8</c:f>
              <c:numCache>
                <c:formatCode>0.00%</c:formatCode>
                <c:ptCount val="4"/>
                <c:pt idx="0">
                  <c:v>0.49</c:v>
                </c:pt>
                <c:pt idx="1">
                  <c:v>0.48</c:v>
                </c:pt>
                <c:pt idx="2">
                  <c:v>0.15</c:v>
                </c:pt>
                <c:pt idx="3">
                  <c:v>5.45E-2</c:v>
                </c:pt>
              </c:numCache>
            </c:numRef>
          </c:val>
          <c:extLst>
            <c:ext xmlns:c16="http://schemas.microsoft.com/office/drawing/2014/chart" uri="{C3380CC4-5D6E-409C-BE32-E72D297353CC}">
              <c16:uniqueId val="{00000001-71E8-4C6D-9BE1-5433E17C615F}"/>
            </c:ext>
          </c:extLst>
        </c:ser>
        <c:dLbls>
          <c:showLegendKey val="0"/>
          <c:showVal val="0"/>
          <c:showCatName val="0"/>
          <c:showSerName val="0"/>
          <c:showPercent val="0"/>
          <c:showBubbleSize val="0"/>
        </c:dLbls>
        <c:gapWidth val="150"/>
        <c:axId val="146108416"/>
        <c:axId val="146122240"/>
      </c:barChart>
      <c:catAx>
        <c:axId val="146108416"/>
        <c:scaling>
          <c:orientation val="minMax"/>
        </c:scaling>
        <c:delete val="0"/>
        <c:axPos val="b"/>
        <c:numFmt formatCode="General" sourceLinked="0"/>
        <c:majorTickMark val="none"/>
        <c:minorTickMark val="none"/>
        <c:tickLblPos val="nextTo"/>
        <c:crossAx val="146122240"/>
        <c:crosses val="autoZero"/>
        <c:auto val="1"/>
        <c:lblAlgn val="ctr"/>
        <c:lblOffset val="100"/>
        <c:noMultiLvlLbl val="0"/>
      </c:catAx>
      <c:valAx>
        <c:axId val="146122240"/>
        <c:scaling>
          <c:orientation val="minMax"/>
        </c:scaling>
        <c:delete val="0"/>
        <c:axPos val="l"/>
        <c:majorGridlines/>
        <c:numFmt formatCode="0%" sourceLinked="0"/>
        <c:majorTickMark val="none"/>
        <c:minorTickMark val="none"/>
        <c:tickLblPos val="nextTo"/>
        <c:crossAx val="146108416"/>
        <c:crosses val="autoZero"/>
        <c:crossBetween val="between"/>
        <c:minorUnit val="2.0000000000000004E-2"/>
      </c:valAx>
      <c:dTable>
        <c:showHorzBorder val="1"/>
        <c:showVertBorder val="1"/>
        <c:showOutline val="1"/>
        <c:showKeys val="1"/>
      </c:dTable>
    </c:plotArea>
    <c:plotVisOnly val="1"/>
    <c:dispBlanksAs val="gap"/>
    <c:showDLblsOverMax val="0"/>
  </c:chart>
  <c:spPr>
    <a:solidFill>
      <a:schemeClr val="accent4">
        <a:lumMod val="20000"/>
        <a:lumOff val="80000"/>
      </a:schemeClr>
    </a:solidFill>
  </c:spPr>
  <c:txPr>
    <a:bodyPr/>
    <a:lstStyle/>
    <a:p>
      <a:pPr>
        <a:defRPr b="1">
          <a:solidFill>
            <a:schemeClr val="tx1"/>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100" b="1" i="0" u="none" strike="noStrike" baseline="0">
                <a:solidFill>
                  <a:schemeClr val="tx1"/>
                </a:solidFill>
                <a:effectLst/>
              </a:rPr>
              <a:t>Prokuroru uzraudzībā pieņemti kriminālprocesi</a:t>
            </a:r>
            <a:r>
              <a:rPr lang="lv-LV" sz="1100" b="1" i="0" u="none" strike="noStrike" baseline="0">
                <a:solidFill>
                  <a:schemeClr val="tx1"/>
                </a:solidFill>
              </a:rPr>
              <a:t> </a:t>
            </a:r>
            <a:endParaRPr lang="lv-LV" sz="1100">
              <a:solidFill>
                <a:schemeClr val="tx1"/>
              </a:solidFill>
            </a:endParaRPr>
          </a:p>
        </c:rich>
      </c:tx>
      <c:overlay val="0"/>
    </c:title>
    <c:autoTitleDeleted val="0"/>
    <c:plotArea>
      <c:layout/>
      <c:barChart>
        <c:barDir val="col"/>
        <c:grouping val="clustered"/>
        <c:varyColors val="0"/>
        <c:ser>
          <c:idx val="2"/>
          <c:order val="0"/>
          <c:tx>
            <c:strRef>
              <c:f>DzSP!$AA$4</c:f>
              <c:strCache>
                <c:ptCount val="1"/>
                <c:pt idx="0">
                  <c:v>2020</c:v>
                </c:pt>
              </c:strCache>
            </c:strRef>
          </c:tx>
          <c:spPr>
            <a:ln>
              <a:solidFill>
                <a:schemeClr val="tx2"/>
              </a:solidFill>
            </a:ln>
          </c:spPr>
          <c:invertIfNegative val="0"/>
          <c:cat>
            <c:strRef>
              <c:f>DzSP!$Z$5:$Z$8</c:f>
              <c:strCache>
                <c:ptCount val="4"/>
                <c:pt idx="0">
                  <c:v>NNANIP</c:v>
                </c:pt>
                <c:pt idx="1">
                  <c:v>Autotransporta</c:v>
                </c:pt>
                <c:pt idx="2">
                  <c:v>Specializētā</c:v>
                </c:pt>
                <c:pt idx="3">
                  <c:v>NMLP</c:v>
                </c:pt>
              </c:strCache>
            </c:strRef>
          </c:cat>
          <c:val>
            <c:numRef>
              <c:f>DzSP!$AA$5:$AA$8</c:f>
              <c:numCache>
                <c:formatCode>General</c:formatCode>
                <c:ptCount val="4"/>
                <c:pt idx="0">
                  <c:v>1986</c:v>
                </c:pt>
                <c:pt idx="1">
                  <c:v>852</c:v>
                </c:pt>
                <c:pt idx="2">
                  <c:v>156</c:v>
                </c:pt>
                <c:pt idx="3">
                  <c:v>332</c:v>
                </c:pt>
              </c:numCache>
            </c:numRef>
          </c:val>
          <c:extLst>
            <c:ext xmlns:c16="http://schemas.microsoft.com/office/drawing/2014/chart" uri="{C3380CC4-5D6E-409C-BE32-E72D297353CC}">
              <c16:uniqueId val="{00000000-C17C-4891-B0CC-F4807BA13238}"/>
            </c:ext>
          </c:extLst>
        </c:ser>
        <c:ser>
          <c:idx val="3"/>
          <c:order val="1"/>
          <c:tx>
            <c:strRef>
              <c:f>DzSP!$AB$4</c:f>
              <c:strCache>
                <c:ptCount val="1"/>
                <c:pt idx="0">
                  <c:v>2019</c:v>
                </c:pt>
              </c:strCache>
            </c:strRef>
          </c:tx>
          <c:invertIfNegative val="0"/>
          <c:cat>
            <c:strRef>
              <c:f>DzSP!$Z$5:$Z$8</c:f>
              <c:strCache>
                <c:ptCount val="4"/>
                <c:pt idx="0">
                  <c:v>NNANIP</c:v>
                </c:pt>
                <c:pt idx="1">
                  <c:v>Autotransporta</c:v>
                </c:pt>
                <c:pt idx="2">
                  <c:v>Specializētā</c:v>
                </c:pt>
                <c:pt idx="3">
                  <c:v>NMLP</c:v>
                </c:pt>
              </c:strCache>
            </c:strRef>
          </c:cat>
          <c:val>
            <c:numRef>
              <c:f>DzSP!$AB$5:$AB$8</c:f>
              <c:numCache>
                <c:formatCode>General</c:formatCode>
                <c:ptCount val="4"/>
                <c:pt idx="0">
                  <c:v>2436</c:v>
                </c:pt>
                <c:pt idx="1">
                  <c:v>674</c:v>
                </c:pt>
                <c:pt idx="2">
                  <c:v>115</c:v>
                </c:pt>
                <c:pt idx="3">
                  <c:v>294</c:v>
                </c:pt>
              </c:numCache>
            </c:numRef>
          </c:val>
          <c:extLst>
            <c:ext xmlns:c16="http://schemas.microsoft.com/office/drawing/2014/chart" uri="{C3380CC4-5D6E-409C-BE32-E72D297353CC}">
              <c16:uniqueId val="{00000001-C17C-4891-B0CC-F4807BA13238}"/>
            </c:ext>
          </c:extLst>
        </c:ser>
        <c:dLbls>
          <c:showLegendKey val="0"/>
          <c:showVal val="0"/>
          <c:showCatName val="0"/>
          <c:showSerName val="0"/>
          <c:showPercent val="0"/>
          <c:showBubbleSize val="0"/>
        </c:dLbls>
        <c:gapWidth val="150"/>
        <c:axId val="146108416"/>
        <c:axId val="146122240"/>
        <c:extLst>
          <c:ext xmlns:c15="http://schemas.microsoft.com/office/drawing/2012/chart" uri="{02D57815-91ED-43cb-92C2-25804820EDAC}">
            <c15:filteredBarSeries>
              <c15:ser>
                <c:idx val="0"/>
                <c:order val="2"/>
                <c:invertIfNegative val="0"/>
                <c:cat>
                  <c:strRef>
                    <c:extLst>
                      <c:ext uri="{02D57815-91ED-43cb-92C2-25804820EDAC}">
                        <c15:formulaRef>
                          <c15:sqref>DzSP!$Z$3</c15:sqref>
                        </c15:formulaRef>
                      </c:ext>
                    </c:extLst>
                    <c:strCache>
                      <c:ptCount val="1"/>
                      <c:pt idx="0">
                        <c:v>6. Uzraudzībā pieņemtie kriminālprocesi</c:v>
                      </c:pt>
                    </c:strCache>
                  </c:strRef>
                </c:cat>
                <c:val>
                  <c:numRef>
                    <c:extLst>
                      <c:ext uri="{02D57815-91ED-43cb-92C2-25804820EDAC}">
                        <c15:formulaRef>
                          <c15:sqref>DzSP!$AA$3</c15:sqref>
                        </c15:formulaRef>
                      </c:ext>
                    </c:extLst>
                    <c:numCache>
                      <c:formatCode>General</c:formatCode>
                      <c:ptCount val="1"/>
                    </c:numCache>
                  </c:numRef>
                </c:val>
                <c:extLst>
                  <c:ext xmlns:c16="http://schemas.microsoft.com/office/drawing/2014/chart" uri="{C3380CC4-5D6E-409C-BE32-E72D297353CC}">
                    <c16:uniqueId val="{00000002-C17C-4891-B0CC-F4807BA13238}"/>
                  </c:ext>
                </c:extLst>
              </c15:ser>
            </c15:filteredBarSeries>
            <c15:filteredBarSeries>
              <c15:ser>
                <c:idx val="1"/>
                <c:order val="3"/>
                <c:invertIfNegative val="0"/>
                <c:cat>
                  <c:strRef>
                    <c:extLst xmlns:c15="http://schemas.microsoft.com/office/drawing/2012/chart">
                      <c:ext xmlns:c15="http://schemas.microsoft.com/office/drawing/2012/chart" uri="{02D57815-91ED-43cb-92C2-25804820EDAC}">
                        <c15:formulaRef>
                          <c15:sqref>DzSP!$Z$3</c15:sqref>
                        </c15:formulaRef>
                      </c:ext>
                    </c:extLst>
                    <c:strCache>
                      <c:ptCount val="1"/>
                      <c:pt idx="0">
                        <c:v>6. Uzraudzībā pieņemtie kriminālprocesi</c:v>
                      </c:pt>
                    </c:strCache>
                  </c:strRef>
                </c:cat>
                <c:val>
                  <c:numRef>
                    <c:extLst xmlns:c15="http://schemas.microsoft.com/office/drawing/2012/chart">
                      <c:ext xmlns:c15="http://schemas.microsoft.com/office/drawing/2012/chart" uri="{02D57815-91ED-43cb-92C2-25804820EDAC}">
                        <c15:formulaRef>
                          <c15:sqref>DzSP!$AB$3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C17C-4891-B0CC-F4807BA13238}"/>
                  </c:ext>
                </c:extLst>
              </c15:ser>
            </c15:filteredBarSeries>
          </c:ext>
        </c:extLst>
      </c:barChart>
      <c:catAx>
        <c:axId val="146108416"/>
        <c:scaling>
          <c:orientation val="minMax"/>
        </c:scaling>
        <c:delete val="0"/>
        <c:axPos val="b"/>
        <c:numFmt formatCode="General" sourceLinked="0"/>
        <c:majorTickMark val="none"/>
        <c:minorTickMark val="none"/>
        <c:tickLblPos val="nextTo"/>
        <c:crossAx val="146122240"/>
        <c:crosses val="autoZero"/>
        <c:auto val="1"/>
        <c:lblAlgn val="ctr"/>
        <c:lblOffset val="100"/>
        <c:noMultiLvlLbl val="0"/>
      </c:catAx>
      <c:valAx>
        <c:axId val="146122240"/>
        <c:scaling>
          <c:orientation val="minMax"/>
          <c:max val="2500"/>
        </c:scaling>
        <c:delete val="0"/>
        <c:axPos val="l"/>
        <c:majorGridlines/>
        <c:numFmt formatCode="#,##0" sourceLinked="0"/>
        <c:majorTickMark val="none"/>
        <c:minorTickMark val="none"/>
        <c:tickLblPos val="nextTo"/>
        <c:txPr>
          <a:bodyPr/>
          <a:lstStyle/>
          <a:p>
            <a:pPr>
              <a:defRPr b="0">
                <a:solidFill>
                  <a:schemeClr val="tx1"/>
                </a:solidFill>
              </a:defRPr>
            </a:pPr>
            <a:endParaRPr lang="lv-LV"/>
          </a:p>
        </c:txPr>
        <c:crossAx val="146108416"/>
        <c:crosses val="autoZero"/>
        <c:crossBetween val="between"/>
        <c:majorUnit val="500"/>
        <c:minorUnit val="2.0000000000000004E-2"/>
      </c:valAx>
      <c:dTable>
        <c:showHorzBorder val="1"/>
        <c:showVertBorder val="1"/>
        <c:showOutline val="1"/>
        <c:showKeys val="1"/>
        <c:txPr>
          <a:bodyPr/>
          <a:lstStyle/>
          <a:p>
            <a:pPr rtl="0">
              <a:defRPr b="1">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Ar prokurora piekrišanu atteikts uzsākt kriminālprocesu par maznozīmīgu noziedzīgu nodarījumu</a:t>
            </a:r>
          </a:p>
        </c:rich>
      </c:tx>
      <c:overlay val="0"/>
    </c:title>
    <c:autoTitleDeleted val="0"/>
    <c:plotArea>
      <c:layout/>
      <c:barChart>
        <c:barDir val="col"/>
        <c:grouping val="clustered"/>
        <c:varyColors val="0"/>
        <c:ser>
          <c:idx val="0"/>
          <c:order val="0"/>
          <c:tx>
            <c:strRef>
              <c:f>DzSP!$AE$4</c:f>
              <c:strCache>
                <c:ptCount val="1"/>
                <c:pt idx="0">
                  <c:v>2020</c:v>
                </c:pt>
              </c:strCache>
            </c:strRef>
          </c:tx>
          <c:invertIfNegative val="0"/>
          <c:cat>
            <c:strRef>
              <c:f>DzSP!$AD$5:$AD$8</c:f>
              <c:strCache>
                <c:ptCount val="4"/>
                <c:pt idx="0">
                  <c:v>NNANIP</c:v>
                </c:pt>
                <c:pt idx="1">
                  <c:v>Autotransporta</c:v>
                </c:pt>
                <c:pt idx="2">
                  <c:v>Specializētā</c:v>
                </c:pt>
                <c:pt idx="3">
                  <c:v>NMLP</c:v>
                </c:pt>
              </c:strCache>
            </c:strRef>
          </c:cat>
          <c:val>
            <c:numRef>
              <c:f>DzSP!$AE$5:$AE$8</c:f>
              <c:numCache>
                <c:formatCode>General</c:formatCode>
                <c:ptCount val="4"/>
                <c:pt idx="0">
                  <c:v>0</c:v>
                </c:pt>
                <c:pt idx="1">
                  <c:v>2</c:v>
                </c:pt>
                <c:pt idx="2">
                  <c:v>0</c:v>
                </c:pt>
                <c:pt idx="3">
                  <c:v>0</c:v>
                </c:pt>
              </c:numCache>
            </c:numRef>
          </c:val>
          <c:extLst>
            <c:ext xmlns:c16="http://schemas.microsoft.com/office/drawing/2014/chart" uri="{C3380CC4-5D6E-409C-BE32-E72D297353CC}">
              <c16:uniqueId val="{00000000-D201-402D-B0A2-E70A8441A9CA}"/>
            </c:ext>
          </c:extLst>
        </c:ser>
        <c:ser>
          <c:idx val="1"/>
          <c:order val="1"/>
          <c:tx>
            <c:strRef>
              <c:f>DzSP!$AF$4</c:f>
              <c:strCache>
                <c:ptCount val="1"/>
                <c:pt idx="0">
                  <c:v>2019</c:v>
                </c:pt>
              </c:strCache>
            </c:strRef>
          </c:tx>
          <c:invertIfNegative val="0"/>
          <c:cat>
            <c:strRef>
              <c:f>DzSP!$AD$5:$AD$8</c:f>
              <c:strCache>
                <c:ptCount val="4"/>
                <c:pt idx="0">
                  <c:v>NNANIP</c:v>
                </c:pt>
                <c:pt idx="1">
                  <c:v>Autotransporta</c:v>
                </c:pt>
                <c:pt idx="2">
                  <c:v>Specializētā</c:v>
                </c:pt>
                <c:pt idx="3">
                  <c:v>NMLP</c:v>
                </c:pt>
              </c:strCache>
            </c:strRef>
          </c:cat>
          <c:val>
            <c:numRef>
              <c:f>DzSP!$AF$5:$AF$8</c:f>
              <c:numCache>
                <c:formatCode>General</c:formatCode>
                <c:ptCount val="4"/>
                <c:pt idx="0">
                  <c:v>0</c:v>
                </c:pt>
                <c:pt idx="1">
                  <c:v>0</c:v>
                </c:pt>
                <c:pt idx="2">
                  <c:v>1</c:v>
                </c:pt>
                <c:pt idx="3">
                  <c:v>0</c:v>
                </c:pt>
              </c:numCache>
            </c:numRef>
          </c:val>
          <c:extLst>
            <c:ext xmlns:c16="http://schemas.microsoft.com/office/drawing/2014/chart" uri="{C3380CC4-5D6E-409C-BE32-E72D297353CC}">
              <c16:uniqueId val="{00000001-D201-402D-B0A2-E70A8441A9CA}"/>
            </c:ext>
          </c:extLst>
        </c:ser>
        <c:dLbls>
          <c:showLegendKey val="0"/>
          <c:showVal val="0"/>
          <c:showCatName val="0"/>
          <c:showSerName val="0"/>
          <c:showPercent val="0"/>
          <c:showBubbleSize val="0"/>
        </c:dLbls>
        <c:gapWidth val="150"/>
        <c:axId val="243090560"/>
        <c:axId val="243092480"/>
      </c:barChart>
      <c:catAx>
        <c:axId val="243090560"/>
        <c:scaling>
          <c:orientation val="minMax"/>
        </c:scaling>
        <c:delete val="0"/>
        <c:axPos val="b"/>
        <c:numFmt formatCode="General" sourceLinked="0"/>
        <c:majorTickMark val="none"/>
        <c:minorTickMark val="none"/>
        <c:tickLblPos val="nextTo"/>
        <c:crossAx val="243092480"/>
        <c:crosses val="autoZero"/>
        <c:auto val="1"/>
        <c:lblAlgn val="ctr"/>
        <c:lblOffset val="100"/>
        <c:noMultiLvlLbl val="0"/>
      </c:catAx>
      <c:valAx>
        <c:axId val="243092480"/>
        <c:scaling>
          <c:orientation val="minMax"/>
          <c:max val="2"/>
        </c:scaling>
        <c:delete val="0"/>
        <c:axPos val="l"/>
        <c:majorGridlines/>
        <c:numFmt formatCode="General" sourceLinked="1"/>
        <c:majorTickMark val="none"/>
        <c:minorTickMark val="none"/>
        <c:tickLblPos val="nextTo"/>
        <c:txPr>
          <a:bodyPr/>
          <a:lstStyle/>
          <a:p>
            <a:pPr>
              <a:defRPr b="0" i="0" baseline="0">
                <a:solidFill>
                  <a:schemeClr val="tx1"/>
                </a:solidFill>
              </a:defRPr>
            </a:pPr>
            <a:endParaRPr lang="lv-LV"/>
          </a:p>
        </c:txPr>
        <c:crossAx val="243090560"/>
        <c:crosses val="autoZero"/>
        <c:crossBetween val="between"/>
        <c:majorUnit val="1"/>
        <c:minorUnit val="1"/>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Dota piekrišana kriminālprocesa apturēšanai izmeklēšanā</a:t>
            </a:r>
          </a:p>
        </c:rich>
      </c:tx>
      <c:overlay val="0"/>
    </c:title>
    <c:autoTitleDeleted val="0"/>
    <c:plotArea>
      <c:layout>
        <c:manualLayout>
          <c:layoutTarget val="inner"/>
          <c:xMode val="edge"/>
          <c:yMode val="edge"/>
          <c:x val="0.10681376724018948"/>
          <c:y val="0.14811133200795229"/>
          <c:w val="0.86967191039982761"/>
          <c:h val="0.59371331068705879"/>
        </c:manualLayout>
      </c:layout>
      <c:barChart>
        <c:barDir val="col"/>
        <c:grouping val="clustered"/>
        <c:varyColors val="0"/>
        <c:ser>
          <c:idx val="0"/>
          <c:order val="0"/>
          <c:tx>
            <c:strRef>
              <c:f>DzSP!$AI$4</c:f>
              <c:strCache>
                <c:ptCount val="1"/>
                <c:pt idx="0">
                  <c:v>2020</c:v>
                </c:pt>
              </c:strCache>
            </c:strRef>
          </c:tx>
          <c:invertIfNegative val="0"/>
          <c:dLbls>
            <c:dLbl>
              <c:idx val="2"/>
              <c:layout>
                <c:manualLayout>
                  <c:x val="-7.8380169078874692E-17"/>
                  <c:y val="7.82587936945257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2B-4521-8F65-9ECD35DA7034}"/>
                </c:ext>
              </c:extLst>
            </c:dLbl>
            <c:spPr>
              <a:noFill/>
              <a:ln>
                <a:noFill/>
              </a:ln>
              <a:effectLst/>
            </c:spPr>
            <c:txPr>
              <a:bodyPr rot="-5400000" vert="horz"/>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DzSP!$AH$5:$AH$8</c:f>
              <c:strCache>
                <c:ptCount val="4"/>
                <c:pt idx="0">
                  <c:v>NNANIP</c:v>
                </c:pt>
                <c:pt idx="1">
                  <c:v>Autotransporta</c:v>
                </c:pt>
                <c:pt idx="2">
                  <c:v>Specializētā</c:v>
                </c:pt>
                <c:pt idx="3">
                  <c:v>NMLP</c:v>
                </c:pt>
              </c:strCache>
            </c:strRef>
          </c:cat>
          <c:val>
            <c:numRef>
              <c:f>DzSP!$AI$5:$AI$8</c:f>
              <c:numCache>
                <c:formatCode>General</c:formatCode>
                <c:ptCount val="4"/>
                <c:pt idx="0">
                  <c:v>292</c:v>
                </c:pt>
                <c:pt idx="1">
                  <c:v>14</c:v>
                </c:pt>
                <c:pt idx="2">
                  <c:v>21</c:v>
                </c:pt>
                <c:pt idx="3">
                  <c:v>260</c:v>
                </c:pt>
              </c:numCache>
            </c:numRef>
          </c:val>
          <c:extLst>
            <c:ext xmlns:c16="http://schemas.microsoft.com/office/drawing/2014/chart" uri="{C3380CC4-5D6E-409C-BE32-E72D297353CC}">
              <c16:uniqueId val="{00000000-9F2A-415C-8AD4-75B03EAB1644}"/>
            </c:ext>
          </c:extLst>
        </c:ser>
        <c:ser>
          <c:idx val="1"/>
          <c:order val="1"/>
          <c:tx>
            <c:strRef>
              <c:f>DzSP!$AJ$4</c:f>
              <c:strCache>
                <c:ptCount val="1"/>
                <c:pt idx="0">
                  <c:v>2019</c:v>
                </c:pt>
              </c:strCache>
            </c:strRef>
          </c:tx>
          <c:invertIfNegative val="0"/>
          <c:dLbls>
            <c:dLbl>
              <c:idx val="2"/>
              <c:layout>
                <c:manualLayout>
                  <c:x val="-7.8380169078874692E-17"/>
                  <c:y val="1.97003021242623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42B-4521-8F65-9ECD35DA7034}"/>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DzSP!$AH$5:$AH$8</c:f>
              <c:strCache>
                <c:ptCount val="4"/>
                <c:pt idx="0">
                  <c:v>NNANIP</c:v>
                </c:pt>
                <c:pt idx="1">
                  <c:v>Autotransporta</c:v>
                </c:pt>
                <c:pt idx="2">
                  <c:v>Specializētā</c:v>
                </c:pt>
                <c:pt idx="3">
                  <c:v>NMLP</c:v>
                </c:pt>
              </c:strCache>
            </c:strRef>
          </c:cat>
          <c:val>
            <c:numRef>
              <c:f>DzSP!$AJ$5:$AJ$8</c:f>
              <c:numCache>
                <c:formatCode>General</c:formatCode>
                <c:ptCount val="4"/>
                <c:pt idx="0">
                  <c:v>148</c:v>
                </c:pt>
                <c:pt idx="1">
                  <c:v>13</c:v>
                </c:pt>
                <c:pt idx="2">
                  <c:v>30</c:v>
                </c:pt>
                <c:pt idx="3">
                  <c:v>400</c:v>
                </c:pt>
              </c:numCache>
            </c:numRef>
          </c:val>
          <c:extLst>
            <c:ext xmlns:c16="http://schemas.microsoft.com/office/drawing/2014/chart" uri="{C3380CC4-5D6E-409C-BE32-E72D297353CC}">
              <c16:uniqueId val="{00000001-9F2A-415C-8AD4-75B03EAB1644}"/>
            </c:ext>
          </c:extLst>
        </c:ser>
        <c:dLbls>
          <c:showLegendKey val="0"/>
          <c:showVal val="0"/>
          <c:showCatName val="0"/>
          <c:showSerName val="0"/>
          <c:showPercent val="0"/>
          <c:showBubbleSize val="0"/>
        </c:dLbls>
        <c:gapWidth val="150"/>
        <c:axId val="291249152"/>
        <c:axId val="291261824"/>
      </c:barChart>
      <c:catAx>
        <c:axId val="291249152"/>
        <c:scaling>
          <c:orientation val="minMax"/>
        </c:scaling>
        <c:delete val="0"/>
        <c:axPos val="b"/>
        <c:numFmt formatCode="General" sourceLinked="0"/>
        <c:majorTickMark val="none"/>
        <c:minorTickMark val="none"/>
        <c:tickLblPos val="nextTo"/>
        <c:crossAx val="291261824"/>
        <c:crosses val="autoZero"/>
        <c:auto val="1"/>
        <c:lblAlgn val="ctr"/>
        <c:lblOffset val="100"/>
        <c:noMultiLvlLbl val="0"/>
      </c:catAx>
      <c:valAx>
        <c:axId val="291261824"/>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91249152"/>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Prokuroru dotie norādījumi</a:t>
            </a:r>
          </a:p>
        </c:rich>
      </c:tx>
      <c:overlay val="0"/>
    </c:title>
    <c:autoTitleDeleted val="0"/>
    <c:plotArea>
      <c:layout/>
      <c:barChart>
        <c:barDir val="col"/>
        <c:grouping val="clustered"/>
        <c:varyColors val="0"/>
        <c:ser>
          <c:idx val="0"/>
          <c:order val="0"/>
          <c:tx>
            <c:strRef>
              <c:f>DzSP!$AM$4</c:f>
              <c:strCache>
                <c:ptCount val="1"/>
                <c:pt idx="0">
                  <c:v>2020</c:v>
                </c:pt>
              </c:strCache>
            </c:strRef>
          </c:tx>
          <c:invertIfNegative val="0"/>
          <c:cat>
            <c:strRef>
              <c:f>DzSP!$AL$5:$AL$8</c:f>
              <c:strCache>
                <c:ptCount val="4"/>
                <c:pt idx="0">
                  <c:v>NNANIP</c:v>
                </c:pt>
                <c:pt idx="1">
                  <c:v>Autotransporta</c:v>
                </c:pt>
                <c:pt idx="2">
                  <c:v>Specializētā</c:v>
                </c:pt>
                <c:pt idx="3">
                  <c:v>NMLP</c:v>
                </c:pt>
              </c:strCache>
            </c:strRef>
          </c:cat>
          <c:val>
            <c:numRef>
              <c:f>DzSP!$AM$5:$AM$8</c:f>
              <c:numCache>
                <c:formatCode>General</c:formatCode>
                <c:ptCount val="4"/>
                <c:pt idx="0">
                  <c:v>1129</c:v>
                </c:pt>
                <c:pt idx="1">
                  <c:v>153</c:v>
                </c:pt>
                <c:pt idx="2">
                  <c:v>77</c:v>
                </c:pt>
                <c:pt idx="3">
                  <c:v>241</c:v>
                </c:pt>
              </c:numCache>
            </c:numRef>
          </c:val>
          <c:extLst>
            <c:ext xmlns:c16="http://schemas.microsoft.com/office/drawing/2014/chart" uri="{C3380CC4-5D6E-409C-BE32-E72D297353CC}">
              <c16:uniqueId val="{00000000-00A9-41F3-99EB-A757F84D7B83}"/>
            </c:ext>
          </c:extLst>
        </c:ser>
        <c:ser>
          <c:idx val="1"/>
          <c:order val="1"/>
          <c:tx>
            <c:strRef>
              <c:f>DzSP!$AN$4</c:f>
              <c:strCache>
                <c:ptCount val="1"/>
                <c:pt idx="0">
                  <c:v>2019</c:v>
                </c:pt>
              </c:strCache>
            </c:strRef>
          </c:tx>
          <c:invertIfNegative val="0"/>
          <c:cat>
            <c:strRef>
              <c:f>DzSP!$AL$5:$AL$8</c:f>
              <c:strCache>
                <c:ptCount val="4"/>
                <c:pt idx="0">
                  <c:v>NNANIP</c:v>
                </c:pt>
                <c:pt idx="1">
                  <c:v>Autotransporta</c:v>
                </c:pt>
                <c:pt idx="2">
                  <c:v>Specializētā</c:v>
                </c:pt>
                <c:pt idx="3">
                  <c:v>NMLP</c:v>
                </c:pt>
              </c:strCache>
            </c:strRef>
          </c:cat>
          <c:val>
            <c:numRef>
              <c:f>DzSP!$AN$5:$AN$8</c:f>
              <c:numCache>
                <c:formatCode>General</c:formatCode>
                <c:ptCount val="4"/>
                <c:pt idx="0">
                  <c:v>1111</c:v>
                </c:pt>
                <c:pt idx="1">
                  <c:v>85</c:v>
                </c:pt>
                <c:pt idx="2">
                  <c:v>96</c:v>
                </c:pt>
                <c:pt idx="3">
                  <c:v>287</c:v>
                </c:pt>
              </c:numCache>
            </c:numRef>
          </c:val>
          <c:extLst>
            <c:ext xmlns:c16="http://schemas.microsoft.com/office/drawing/2014/chart" uri="{C3380CC4-5D6E-409C-BE32-E72D297353CC}">
              <c16:uniqueId val="{00000001-00A9-41F3-99EB-A757F84D7B83}"/>
            </c:ext>
          </c:extLst>
        </c:ser>
        <c:dLbls>
          <c:showLegendKey val="0"/>
          <c:showVal val="0"/>
          <c:showCatName val="0"/>
          <c:showSerName val="0"/>
          <c:showPercent val="0"/>
          <c:showBubbleSize val="0"/>
        </c:dLbls>
        <c:gapWidth val="150"/>
        <c:axId val="258443904"/>
        <c:axId val="258512000"/>
      </c:barChart>
      <c:catAx>
        <c:axId val="258443904"/>
        <c:scaling>
          <c:orientation val="minMax"/>
        </c:scaling>
        <c:delete val="0"/>
        <c:axPos val="b"/>
        <c:numFmt formatCode="General" sourceLinked="0"/>
        <c:majorTickMark val="none"/>
        <c:minorTickMark val="none"/>
        <c:tickLblPos val="nextTo"/>
        <c:crossAx val="258512000"/>
        <c:crosses val="autoZero"/>
        <c:auto val="1"/>
        <c:lblAlgn val="ctr"/>
        <c:lblOffset val="100"/>
        <c:noMultiLvlLbl val="0"/>
      </c:catAx>
      <c:valAx>
        <c:axId val="25851200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8443904"/>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Valsts apsūdzības uzturēšana pirmās instances tiesā (izskatītas krimināllietas), no tām bez pierādījumu pārbaudes</a:t>
            </a:r>
          </a:p>
        </c:rich>
      </c:tx>
      <c:overlay val="0"/>
    </c:title>
    <c:autoTitleDeleted val="0"/>
    <c:plotArea>
      <c:layout>
        <c:manualLayout>
          <c:layoutTarget val="inner"/>
          <c:xMode val="edge"/>
          <c:yMode val="edge"/>
          <c:x val="7.1023622047244092E-2"/>
          <c:y val="0.21775700934579439"/>
          <c:w val="0.80360956063923961"/>
          <c:h val="0.66768673191551986"/>
        </c:manualLayout>
      </c:layout>
      <c:barChart>
        <c:barDir val="col"/>
        <c:grouping val="clustered"/>
        <c:varyColors val="0"/>
        <c:ser>
          <c:idx val="0"/>
          <c:order val="0"/>
          <c:tx>
            <c:strRef>
              <c:f>DzSP!$AQ$4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DzSP!$AP$5:$AP$8</c:f>
              <c:strCache>
                <c:ptCount val="4"/>
                <c:pt idx="0">
                  <c:v>NNANIP</c:v>
                </c:pt>
                <c:pt idx="1">
                  <c:v>Autotransporta</c:v>
                </c:pt>
                <c:pt idx="2">
                  <c:v>Specializētā</c:v>
                </c:pt>
                <c:pt idx="3">
                  <c:v>NMLP</c:v>
                </c:pt>
              </c:strCache>
            </c:strRef>
          </c:cat>
          <c:val>
            <c:numRef>
              <c:f>DzSP!$AQ$5:$AQ$8</c:f>
              <c:numCache>
                <c:formatCode>General</c:formatCode>
                <c:ptCount val="4"/>
                <c:pt idx="0">
                  <c:v>465</c:v>
                </c:pt>
                <c:pt idx="1">
                  <c:v>314</c:v>
                </c:pt>
                <c:pt idx="2">
                  <c:v>20</c:v>
                </c:pt>
                <c:pt idx="3">
                  <c:v>98</c:v>
                </c:pt>
              </c:numCache>
            </c:numRef>
          </c:val>
          <c:extLst>
            <c:ext xmlns:c16="http://schemas.microsoft.com/office/drawing/2014/chart" uri="{C3380CC4-5D6E-409C-BE32-E72D297353CC}">
              <c16:uniqueId val="{00000000-774C-4880-A25F-2D8ADC098D40}"/>
            </c:ext>
          </c:extLst>
        </c:ser>
        <c:ser>
          <c:idx val="1"/>
          <c:order val="1"/>
          <c:tx>
            <c:strRef>
              <c:f>DzSP!$AW$4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DzSP!$AP$5:$AP$8</c:f>
              <c:strCache>
                <c:ptCount val="4"/>
                <c:pt idx="0">
                  <c:v>NNANIP</c:v>
                </c:pt>
                <c:pt idx="1">
                  <c:v>Autotransporta</c:v>
                </c:pt>
                <c:pt idx="2">
                  <c:v>Specializētā</c:v>
                </c:pt>
                <c:pt idx="3">
                  <c:v>NMLP</c:v>
                </c:pt>
              </c:strCache>
            </c:strRef>
          </c:cat>
          <c:val>
            <c:numRef>
              <c:f>DzSP!$AR$5:$AR$8</c:f>
              <c:numCache>
                <c:formatCode>General</c:formatCode>
                <c:ptCount val="4"/>
                <c:pt idx="0">
                  <c:v>292</c:v>
                </c:pt>
                <c:pt idx="1">
                  <c:v>202</c:v>
                </c:pt>
                <c:pt idx="2">
                  <c:v>8</c:v>
                </c:pt>
                <c:pt idx="3">
                  <c:v>24</c:v>
                </c:pt>
              </c:numCache>
            </c:numRef>
          </c:val>
          <c:extLst>
            <c:ext xmlns:c16="http://schemas.microsoft.com/office/drawing/2014/chart" uri="{C3380CC4-5D6E-409C-BE32-E72D297353CC}">
              <c16:uniqueId val="{00000001-774C-4880-A25F-2D8ADC098D40}"/>
            </c:ext>
          </c:extLst>
        </c:ser>
        <c:ser>
          <c:idx val="2"/>
          <c:order val="2"/>
          <c:tx>
            <c:strRef>
              <c:f>DzSP!$AS$4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DzSP!$AP$5:$AP$8</c:f>
              <c:strCache>
                <c:ptCount val="4"/>
                <c:pt idx="0">
                  <c:v>NNANIP</c:v>
                </c:pt>
                <c:pt idx="1">
                  <c:v>Autotransporta</c:v>
                </c:pt>
                <c:pt idx="2">
                  <c:v>Specializētā</c:v>
                </c:pt>
                <c:pt idx="3">
                  <c:v>NMLP</c:v>
                </c:pt>
              </c:strCache>
            </c:strRef>
          </c:cat>
          <c:val>
            <c:numRef>
              <c:f>DzSP!$AS$5:$AS$8</c:f>
              <c:numCache>
                <c:formatCode>General</c:formatCode>
                <c:ptCount val="4"/>
                <c:pt idx="0">
                  <c:v>505</c:v>
                </c:pt>
                <c:pt idx="1">
                  <c:v>325</c:v>
                </c:pt>
                <c:pt idx="2">
                  <c:v>14</c:v>
                </c:pt>
                <c:pt idx="3">
                  <c:v>146</c:v>
                </c:pt>
              </c:numCache>
            </c:numRef>
          </c:val>
          <c:extLst>
            <c:ext xmlns:c16="http://schemas.microsoft.com/office/drawing/2014/chart" uri="{C3380CC4-5D6E-409C-BE32-E72D297353CC}">
              <c16:uniqueId val="{00000002-774C-4880-A25F-2D8ADC098D40}"/>
            </c:ext>
          </c:extLst>
        </c:ser>
        <c:ser>
          <c:idx val="3"/>
          <c:order val="3"/>
          <c:tx>
            <c:strRef>
              <c:f>DzSP!$AY$4</c:f>
              <c:strCache>
                <c:ptCount val="1"/>
                <c:pt idx="0">
                  <c:v>2019</c:v>
                </c:pt>
              </c:strCache>
            </c:strRef>
          </c:tx>
          <c:invertIfNegative val="0"/>
          <c:dLbls>
            <c:dLbl>
              <c:idx val="3"/>
              <c:layout>
                <c:manualLayout>
                  <c:x val="2.3668639053254438E-3"/>
                  <c:y val="8.46383103981169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7C-429F-A7C3-321510E135A7}"/>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DzSP!$AP$5:$AP$8</c:f>
              <c:strCache>
                <c:ptCount val="4"/>
                <c:pt idx="0">
                  <c:v>NNANIP</c:v>
                </c:pt>
                <c:pt idx="1">
                  <c:v>Autotransporta</c:v>
                </c:pt>
                <c:pt idx="2">
                  <c:v>Specializētā</c:v>
                </c:pt>
                <c:pt idx="3">
                  <c:v>NMLP</c:v>
                </c:pt>
              </c:strCache>
            </c:strRef>
          </c:cat>
          <c:val>
            <c:numRef>
              <c:f>DzSP!$AT$5:$AT$8</c:f>
              <c:numCache>
                <c:formatCode>General</c:formatCode>
                <c:ptCount val="4"/>
                <c:pt idx="0">
                  <c:v>298</c:v>
                </c:pt>
                <c:pt idx="1">
                  <c:v>217</c:v>
                </c:pt>
                <c:pt idx="2">
                  <c:v>4</c:v>
                </c:pt>
                <c:pt idx="3">
                  <c:v>37</c:v>
                </c:pt>
              </c:numCache>
            </c:numRef>
          </c:val>
          <c:extLst>
            <c:ext xmlns:c16="http://schemas.microsoft.com/office/drawing/2014/chart" uri="{C3380CC4-5D6E-409C-BE32-E72D297353CC}">
              <c16:uniqueId val="{00000003-774C-4880-A25F-2D8ADC098D40}"/>
            </c:ext>
          </c:extLst>
        </c:ser>
        <c:dLbls>
          <c:showLegendKey val="0"/>
          <c:showVal val="0"/>
          <c:showCatName val="0"/>
          <c:showSerName val="0"/>
          <c:showPercent val="0"/>
          <c:showBubbleSize val="0"/>
        </c:dLbls>
        <c:gapWidth val="150"/>
        <c:axId val="256409600"/>
        <c:axId val="256412672"/>
      </c:barChart>
      <c:catAx>
        <c:axId val="256409600"/>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56412672"/>
        <c:crosses val="autoZero"/>
        <c:auto val="1"/>
        <c:lblAlgn val="ctr"/>
        <c:lblOffset val="100"/>
        <c:noMultiLvlLbl val="0"/>
      </c:catAx>
      <c:valAx>
        <c:axId val="256412672"/>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256409600"/>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Iesniegti protesti, no tiem apmierināti</a:t>
            </a:r>
          </a:p>
        </c:rich>
      </c:tx>
      <c:overlay val="0"/>
    </c:title>
    <c:autoTitleDeleted val="0"/>
    <c:plotArea>
      <c:layout/>
      <c:barChart>
        <c:barDir val="col"/>
        <c:grouping val="clustered"/>
        <c:varyColors val="0"/>
        <c:ser>
          <c:idx val="0"/>
          <c:order val="0"/>
          <c:tx>
            <c:strRef>
              <c:f>DzSP!$AW$4</c:f>
              <c:strCache>
                <c:ptCount val="1"/>
                <c:pt idx="0">
                  <c:v>2020</c:v>
                </c:pt>
              </c:strCache>
            </c:strRef>
          </c:tx>
          <c:invertIfNegative val="0"/>
          <c:dLbls>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DzSP!$AV$5:$AV$8</c:f>
              <c:strCache>
                <c:ptCount val="4"/>
                <c:pt idx="0">
                  <c:v>NNANIP</c:v>
                </c:pt>
                <c:pt idx="1">
                  <c:v>Autotransporta</c:v>
                </c:pt>
                <c:pt idx="2">
                  <c:v>Specializētā</c:v>
                </c:pt>
                <c:pt idx="3">
                  <c:v>NMLP</c:v>
                </c:pt>
              </c:strCache>
            </c:strRef>
          </c:cat>
          <c:val>
            <c:numRef>
              <c:f>DzSP!$AW$5:$AW$8</c:f>
              <c:numCache>
                <c:formatCode>General</c:formatCode>
                <c:ptCount val="4"/>
                <c:pt idx="0">
                  <c:v>12</c:v>
                </c:pt>
                <c:pt idx="1">
                  <c:v>3</c:v>
                </c:pt>
                <c:pt idx="2">
                  <c:v>1</c:v>
                </c:pt>
                <c:pt idx="3">
                  <c:v>18</c:v>
                </c:pt>
              </c:numCache>
            </c:numRef>
          </c:val>
          <c:extLst>
            <c:ext xmlns:c16="http://schemas.microsoft.com/office/drawing/2014/chart" uri="{C3380CC4-5D6E-409C-BE32-E72D297353CC}">
              <c16:uniqueId val="{00000000-9BFF-4094-AEC3-105EEA38C871}"/>
            </c:ext>
          </c:extLst>
        </c:ser>
        <c:ser>
          <c:idx val="1"/>
          <c:order val="1"/>
          <c:tx>
            <c:strRef>
              <c:f>DzSP!$AW$4</c:f>
              <c:strCache>
                <c:ptCount val="1"/>
                <c:pt idx="0">
                  <c:v>2020</c:v>
                </c:pt>
              </c:strCache>
            </c:strRef>
          </c:tx>
          <c:invertIfNegative val="0"/>
          <c:dLbls>
            <c:spPr>
              <a:noFill/>
              <a:ln>
                <a:noFill/>
              </a:ln>
              <a:effectLst/>
            </c:spPr>
            <c:txPr>
              <a:bodyPr/>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DzSP!$AV$5:$AV$8</c:f>
              <c:strCache>
                <c:ptCount val="4"/>
                <c:pt idx="0">
                  <c:v>NNANIP</c:v>
                </c:pt>
                <c:pt idx="1">
                  <c:v>Autotransporta</c:v>
                </c:pt>
                <c:pt idx="2">
                  <c:v>Specializētā</c:v>
                </c:pt>
                <c:pt idx="3">
                  <c:v>NMLP</c:v>
                </c:pt>
              </c:strCache>
            </c:strRef>
          </c:cat>
          <c:val>
            <c:numRef>
              <c:f>DzSP!$AX$5:$AX$8</c:f>
              <c:numCache>
                <c:formatCode>General</c:formatCode>
                <c:ptCount val="4"/>
                <c:pt idx="0">
                  <c:v>8</c:v>
                </c:pt>
                <c:pt idx="1">
                  <c:v>0</c:v>
                </c:pt>
                <c:pt idx="2">
                  <c:v>0</c:v>
                </c:pt>
                <c:pt idx="3">
                  <c:v>9</c:v>
                </c:pt>
              </c:numCache>
            </c:numRef>
          </c:val>
          <c:extLst>
            <c:ext xmlns:c16="http://schemas.microsoft.com/office/drawing/2014/chart" uri="{C3380CC4-5D6E-409C-BE32-E72D297353CC}">
              <c16:uniqueId val="{00000001-9BFF-4094-AEC3-105EEA38C871}"/>
            </c:ext>
          </c:extLst>
        </c:ser>
        <c:ser>
          <c:idx val="2"/>
          <c:order val="2"/>
          <c:tx>
            <c:strRef>
              <c:f>DzSP!$AY$4</c:f>
              <c:strCache>
                <c:ptCount val="1"/>
                <c:pt idx="0">
                  <c:v>2019</c:v>
                </c:pt>
              </c:strCache>
            </c:strRef>
          </c:tx>
          <c:invertIfNegative val="0"/>
          <c:dLbls>
            <c:spPr>
              <a:noFill/>
              <a:ln>
                <a:noFill/>
              </a:ln>
              <a:effectLst/>
            </c:spPr>
            <c:txPr>
              <a:bodyPr/>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DzSP!$AV$5:$AV$8</c:f>
              <c:strCache>
                <c:ptCount val="4"/>
                <c:pt idx="0">
                  <c:v>NNANIP</c:v>
                </c:pt>
                <c:pt idx="1">
                  <c:v>Autotransporta</c:v>
                </c:pt>
                <c:pt idx="2">
                  <c:v>Specializētā</c:v>
                </c:pt>
                <c:pt idx="3">
                  <c:v>NMLP</c:v>
                </c:pt>
              </c:strCache>
            </c:strRef>
          </c:cat>
          <c:val>
            <c:numRef>
              <c:f>DzSP!$AY$5:$AY$8</c:f>
              <c:numCache>
                <c:formatCode>General</c:formatCode>
                <c:ptCount val="4"/>
                <c:pt idx="0">
                  <c:v>16</c:v>
                </c:pt>
                <c:pt idx="1">
                  <c:v>9</c:v>
                </c:pt>
                <c:pt idx="2">
                  <c:v>0</c:v>
                </c:pt>
                <c:pt idx="3">
                  <c:v>26</c:v>
                </c:pt>
              </c:numCache>
            </c:numRef>
          </c:val>
          <c:extLst>
            <c:ext xmlns:c16="http://schemas.microsoft.com/office/drawing/2014/chart" uri="{C3380CC4-5D6E-409C-BE32-E72D297353CC}">
              <c16:uniqueId val="{00000002-9BFF-4094-AEC3-105EEA38C871}"/>
            </c:ext>
          </c:extLst>
        </c:ser>
        <c:ser>
          <c:idx val="3"/>
          <c:order val="3"/>
          <c:tx>
            <c:strRef>
              <c:f>DzSP!$AY$4</c:f>
              <c:strCache>
                <c:ptCount val="1"/>
                <c:pt idx="0">
                  <c:v>2019</c:v>
                </c:pt>
              </c:strCache>
            </c:strRef>
          </c:tx>
          <c:invertIfNegative val="0"/>
          <c:dLbls>
            <c:spPr>
              <a:noFill/>
              <a:ln>
                <a:noFill/>
              </a:ln>
              <a:effectLst/>
            </c:spPr>
            <c:txPr>
              <a:bodyPr/>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DzSP!$AV$5:$AV$8</c:f>
              <c:strCache>
                <c:ptCount val="4"/>
                <c:pt idx="0">
                  <c:v>NNANIP</c:v>
                </c:pt>
                <c:pt idx="1">
                  <c:v>Autotransporta</c:v>
                </c:pt>
                <c:pt idx="2">
                  <c:v>Specializētā</c:v>
                </c:pt>
                <c:pt idx="3">
                  <c:v>NMLP</c:v>
                </c:pt>
              </c:strCache>
            </c:strRef>
          </c:cat>
          <c:val>
            <c:numRef>
              <c:f>DzSP!$AZ$5:$AZ$8</c:f>
              <c:numCache>
                <c:formatCode>General</c:formatCode>
                <c:ptCount val="4"/>
                <c:pt idx="0">
                  <c:v>8</c:v>
                </c:pt>
                <c:pt idx="1">
                  <c:v>4</c:v>
                </c:pt>
                <c:pt idx="2">
                  <c:v>0</c:v>
                </c:pt>
                <c:pt idx="3">
                  <c:v>12</c:v>
                </c:pt>
              </c:numCache>
            </c:numRef>
          </c:val>
          <c:extLst>
            <c:ext xmlns:c16="http://schemas.microsoft.com/office/drawing/2014/chart" uri="{C3380CC4-5D6E-409C-BE32-E72D297353CC}">
              <c16:uniqueId val="{00000003-9BFF-4094-AEC3-105EEA38C871}"/>
            </c:ext>
          </c:extLst>
        </c:ser>
        <c:dLbls>
          <c:showLegendKey val="0"/>
          <c:showVal val="0"/>
          <c:showCatName val="0"/>
          <c:showSerName val="0"/>
          <c:showPercent val="0"/>
          <c:showBubbleSize val="0"/>
        </c:dLbls>
        <c:gapWidth val="150"/>
        <c:axId val="240398336"/>
        <c:axId val="240425216"/>
      </c:barChart>
      <c:catAx>
        <c:axId val="240398336"/>
        <c:scaling>
          <c:orientation val="minMax"/>
        </c:scaling>
        <c:delete val="0"/>
        <c:axPos val="b"/>
        <c:numFmt formatCode="General" sourceLinked="0"/>
        <c:majorTickMark val="none"/>
        <c:minorTickMark val="none"/>
        <c:tickLblPos val="nextTo"/>
        <c:txPr>
          <a:bodyPr/>
          <a:lstStyle/>
          <a:p>
            <a:pPr>
              <a:defRPr b="1">
                <a:solidFill>
                  <a:schemeClr val="tx1"/>
                </a:solidFill>
              </a:defRPr>
            </a:pPr>
            <a:endParaRPr lang="lv-LV"/>
          </a:p>
        </c:txPr>
        <c:crossAx val="240425216"/>
        <c:crosses val="autoZero"/>
        <c:auto val="1"/>
        <c:lblAlgn val="ctr"/>
        <c:lblOffset val="100"/>
        <c:noMultiLvlLbl val="0"/>
      </c:catAx>
      <c:valAx>
        <c:axId val="240425216"/>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240398336"/>
        <c:crosses val="autoZero"/>
        <c:crossBetween val="between"/>
      </c:valAx>
    </c:plotArea>
    <c:legend>
      <c:legendPos val="r"/>
      <c:overlay val="0"/>
      <c:txPr>
        <a:bodyPr/>
        <a:lstStyle/>
        <a:p>
          <a:pPr>
            <a:defRPr b="1">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Izlemtas sūdzības, no tām apmierinātas</a:t>
            </a:r>
          </a:p>
        </c:rich>
      </c:tx>
      <c:overlay val="0"/>
    </c:title>
    <c:autoTitleDeleted val="0"/>
    <c:plotArea>
      <c:layout/>
      <c:barChart>
        <c:barDir val="col"/>
        <c:grouping val="clustered"/>
        <c:varyColors val="0"/>
        <c:ser>
          <c:idx val="0"/>
          <c:order val="0"/>
          <c:tx>
            <c:strRef>
              <c:f>DzSP!$BC$4</c:f>
              <c:strCache>
                <c:ptCount val="1"/>
                <c:pt idx="0">
                  <c:v>2020</c:v>
                </c:pt>
              </c:strCache>
            </c:strRef>
          </c:tx>
          <c:invertIfNegative val="0"/>
          <c:dLbls>
            <c:spPr>
              <a:noFill/>
              <a:ln>
                <a:noFill/>
              </a:ln>
              <a:effectLst/>
            </c:spPr>
            <c:txPr>
              <a:bodyPr rot="-5400000" vert="horz"/>
              <a:lstStyle/>
              <a:p>
                <a:pPr>
                  <a:defRPr b="1">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DzSP!$BB$5:$BB$8</c:f>
              <c:strCache>
                <c:ptCount val="4"/>
                <c:pt idx="0">
                  <c:v>NNANIP</c:v>
                </c:pt>
                <c:pt idx="1">
                  <c:v>Autotransporta</c:v>
                </c:pt>
                <c:pt idx="2">
                  <c:v>Specializētā</c:v>
                </c:pt>
                <c:pt idx="3">
                  <c:v>NMLP</c:v>
                </c:pt>
              </c:strCache>
            </c:strRef>
          </c:cat>
          <c:val>
            <c:numRef>
              <c:f>DzSP!$BC$5:$BC$8</c:f>
              <c:numCache>
                <c:formatCode>General</c:formatCode>
                <c:ptCount val="4"/>
                <c:pt idx="0">
                  <c:v>77</c:v>
                </c:pt>
                <c:pt idx="1">
                  <c:v>63</c:v>
                </c:pt>
                <c:pt idx="2">
                  <c:v>83</c:v>
                </c:pt>
                <c:pt idx="3">
                  <c:v>418</c:v>
                </c:pt>
              </c:numCache>
            </c:numRef>
          </c:val>
          <c:extLst>
            <c:ext xmlns:c16="http://schemas.microsoft.com/office/drawing/2014/chart" uri="{C3380CC4-5D6E-409C-BE32-E72D297353CC}">
              <c16:uniqueId val="{00000000-ED2F-434B-8C90-6CD1CD6C8770}"/>
            </c:ext>
          </c:extLst>
        </c:ser>
        <c:ser>
          <c:idx val="1"/>
          <c:order val="1"/>
          <c:tx>
            <c:strRef>
              <c:f>DzSP!$BC$4</c:f>
              <c:strCache>
                <c:ptCount val="1"/>
                <c:pt idx="0">
                  <c:v>2020</c:v>
                </c:pt>
              </c:strCache>
            </c:strRef>
          </c:tx>
          <c:invertIfNegative val="0"/>
          <c:dLbls>
            <c:spPr>
              <a:noFill/>
              <a:ln>
                <a:noFill/>
              </a:ln>
              <a:effectLst/>
            </c:spPr>
            <c:txPr>
              <a:bodyPr rot="-5400000" vert="horz"/>
              <a:lstStyle/>
              <a:p>
                <a:pPr>
                  <a:defRPr b="1">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DzSP!$BB$5:$BB$8</c:f>
              <c:strCache>
                <c:ptCount val="4"/>
                <c:pt idx="0">
                  <c:v>NNANIP</c:v>
                </c:pt>
                <c:pt idx="1">
                  <c:v>Autotransporta</c:v>
                </c:pt>
                <c:pt idx="2">
                  <c:v>Specializētā</c:v>
                </c:pt>
                <c:pt idx="3">
                  <c:v>NMLP</c:v>
                </c:pt>
              </c:strCache>
            </c:strRef>
          </c:cat>
          <c:val>
            <c:numRef>
              <c:f>DzSP!$BD$5:$BD$8</c:f>
              <c:numCache>
                <c:formatCode>General</c:formatCode>
                <c:ptCount val="4"/>
                <c:pt idx="0">
                  <c:v>1</c:v>
                </c:pt>
                <c:pt idx="1">
                  <c:v>16</c:v>
                </c:pt>
                <c:pt idx="2">
                  <c:v>6</c:v>
                </c:pt>
                <c:pt idx="3">
                  <c:v>60</c:v>
                </c:pt>
              </c:numCache>
            </c:numRef>
          </c:val>
          <c:extLst>
            <c:ext xmlns:c16="http://schemas.microsoft.com/office/drawing/2014/chart" uri="{C3380CC4-5D6E-409C-BE32-E72D297353CC}">
              <c16:uniqueId val="{00000001-ED2F-434B-8C90-6CD1CD6C8770}"/>
            </c:ext>
          </c:extLst>
        </c:ser>
        <c:ser>
          <c:idx val="2"/>
          <c:order val="2"/>
          <c:tx>
            <c:strRef>
              <c:f>DzSP!$BE$4</c:f>
              <c:strCache>
                <c:ptCount val="1"/>
                <c:pt idx="0">
                  <c:v>2019</c:v>
                </c:pt>
              </c:strCache>
            </c:strRef>
          </c:tx>
          <c:invertIfNegative val="0"/>
          <c:dLbls>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DzSP!$BB$5:$BB$8</c:f>
              <c:strCache>
                <c:ptCount val="4"/>
                <c:pt idx="0">
                  <c:v>NNANIP</c:v>
                </c:pt>
                <c:pt idx="1">
                  <c:v>Autotransporta</c:v>
                </c:pt>
                <c:pt idx="2">
                  <c:v>Specializētā</c:v>
                </c:pt>
                <c:pt idx="3">
                  <c:v>NMLP</c:v>
                </c:pt>
              </c:strCache>
            </c:strRef>
          </c:cat>
          <c:val>
            <c:numRef>
              <c:f>DzSP!$BE$5:$BE$8</c:f>
              <c:numCache>
                <c:formatCode>General</c:formatCode>
                <c:ptCount val="4"/>
                <c:pt idx="0">
                  <c:v>107</c:v>
                </c:pt>
                <c:pt idx="1">
                  <c:v>91</c:v>
                </c:pt>
                <c:pt idx="2">
                  <c:v>67</c:v>
                </c:pt>
                <c:pt idx="3">
                  <c:v>414</c:v>
                </c:pt>
              </c:numCache>
            </c:numRef>
          </c:val>
          <c:extLst>
            <c:ext xmlns:c16="http://schemas.microsoft.com/office/drawing/2014/chart" uri="{C3380CC4-5D6E-409C-BE32-E72D297353CC}">
              <c16:uniqueId val="{00000002-ED2F-434B-8C90-6CD1CD6C8770}"/>
            </c:ext>
          </c:extLst>
        </c:ser>
        <c:ser>
          <c:idx val="3"/>
          <c:order val="3"/>
          <c:tx>
            <c:strRef>
              <c:f>DzSP!$BE$4</c:f>
              <c:strCache>
                <c:ptCount val="1"/>
                <c:pt idx="0">
                  <c:v>2019</c:v>
                </c:pt>
              </c:strCache>
            </c:strRef>
          </c:tx>
          <c:invertIfNegative val="0"/>
          <c:dLbls>
            <c:dLbl>
              <c:idx val="1"/>
              <c:layout>
                <c:manualLayout>
                  <c:x val="0"/>
                  <c:y val="2.09561507331835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60-4C03-AA3B-27AFD6FC1EB0}"/>
                </c:ext>
              </c:extLst>
            </c:dLbl>
            <c:spPr>
              <a:noFill/>
              <a:ln>
                <a:noFill/>
              </a:ln>
              <a:effectLst/>
            </c:spPr>
            <c:txPr>
              <a:bodyPr rot="-5400000" vert="horz"/>
              <a:lstStyle/>
              <a:p>
                <a:pPr>
                  <a:defRPr b="1">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DzSP!$BB$5:$BB$8</c:f>
              <c:strCache>
                <c:ptCount val="4"/>
                <c:pt idx="0">
                  <c:v>NNANIP</c:v>
                </c:pt>
                <c:pt idx="1">
                  <c:v>Autotransporta</c:v>
                </c:pt>
                <c:pt idx="2">
                  <c:v>Specializētā</c:v>
                </c:pt>
                <c:pt idx="3">
                  <c:v>NMLP</c:v>
                </c:pt>
              </c:strCache>
            </c:strRef>
          </c:cat>
          <c:val>
            <c:numRef>
              <c:f>DzSP!$BF$5:$BF$8</c:f>
              <c:numCache>
                <c:formatCode>General</c:formatCode>
                <c:ptCount val="4"/>
                <c:pt idx="0">
                  <c:v>5</c:v>
                </c:pt>
                <c:pt idx="1">
                  <c:v>40</c:v>
                </c:pt>
                <c:pt idx="2">
                  <c:v>7</c:v>
                </c:pt>
                <c:pt idx="3">
                  <c:v>104</c:v>
                </c:pt>
              </c:numCache>
            </c:numRef>
          </c:val>
          <c:extLst>
            <c:ext xmlns:c16="http://schemas.microsoft.com/office/drawing/2014/chart" uri="{C3380CC4-5D6E-409C-BE32-E72D297353CC}">
              <c16:uniqueId val="{00000003-ED2F-434B-8C90-6CD1CD6C8770}"/>
            </c:ext>
          </c:extLst>
        </c:ser>
        <c:dLbls>
          <c:showLegendKey val="0"/>
          <c:showVal val="0"/>
          <c:showCatName val="0"/>
          <c:showSerName val="0"/>
          <c:showPercent val="0"/>
          <c:showBubbleSize val="0"/>
        </c:dLbls>
        <c:gapWidth val="150"/>
        <c:axId val="304738304"/>
        <c:axId val="304741760"/>
      </c:barChart>
      <c:catAx>
        <c:axId val="304738304"/>
        <c:scaling>
          <c:orientation val="minMax"/>
        </c:scaling>
        <c:delete val="0"/>
        <c:axPos val="b"/>
        <c:numFmt formatCode="General" sourceLinked="0"/>
        <c:majorTickMark val="none"/>
        <c:minorTickMark val="none"/>
        <c:tickLblPos val="nextTo"/>
        <c:txPr>
          <a:bodyPr/>
          <a:lstStyle/>
          <a:p>
            <a:pPr>
              <a:defRPr b="1">
                <a:solidFill>
                  <a:schemeClr val="tx1"/>
                </a:solidFill>
              </a:defRPr>
            </a:pPr>
            <a:endParaRPr lang="lv-LV"/>
          </a:p>
        </c:txPr>
        <c:crossAx val="304741760"/>
        <c:crosses val="autoZero"/>
        <c:auto val="1"/>
        <c:lblAlgn val="ctr"/>
        <c:lblOffset val="100"/>
        <c:noMultiLvlLbl val="0"/>
      </c:catAx>
      <c:valAx>
        <c:axId val="304741760"/>
        <c:scaling>
          <c:orientation val="minMax"/>
        </c:scaling>
        <c:delete val="0"/>
        <c:axPos val="l"/>
        <c:majorGridlines/>
        <c:numFmt formatCode="General" sourceLinked="1"/>
        <c:majorTickMark val="none"/>
        <c:minorTickMark val="none"/>
        <c:tickLblPos val="nextTo"/>
        <c:txPr>
          <a:bodyPr/>
          <a:lstStyle/>
          <a:p>
            <a:pPr>
              <a:defRPr>
                <a:solidFill>
                  <a:schemeClr val="tx1"/>
                </a:solidFill>
              </a:defRPr>
            </a:pPr>
            <a:endParaRPr lang="lv-LV"/>
          </a:p>
        </c:txPr>
        <c:crossAx val="304738304"/>
        <c:crosses val="autoZero"/>
        <c:crossBetween val="between"/>
      </c:valAx>
    </c:plotArea>
    <c:legend>
      <c:legendPos val="r"/>
      <c:overlay val="0"/>
      <c:txPr>
        <a:bodyPr/>
        <a:lstStyle/>
        <a:p>
          <a:pPr>
            <a:defRPr b="1">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400"/>
            </a:pPr>
            <a:r>
              <a:rPr lang="lv-LV" sz="1200">
                <a:solidFill>
                  <a:schemeClr val="tx1"/>
                </a:solidFill>
              </a:rPr>
              <a:t>Prokuroru personālsastāvs</a:t>
            </a:r>
          </a:p>
        </c:rich>
      </c:tx>
      <c:layout>
        <c:manualLayout>
          <c:xMode val="edge"/>
          <c:yMode val="edge"/>
          <c:x val="0.23425146697427149"/>
          <c:y val="1.238390092879257E-2"/>
        </c:manualLayout>
      </c:layout>
      <c:overlay val="0"/>
    </c:title>
    <c:autoTitleDeleted val="0"/>
    <c:plotArea>
      <c:layout>
        <c:manualLayout>
          <c:layoutTarget val="inner"/>
          <c:xMode val="edge"/>
          <c:yMode val="edge"/>
          <c:x val="0.11599735234496737"/>
          <c:y val="0.16296550323759673"/>
          <c:w val="0.38763324461850324"/>
          <c:h val="0.81494323518838496"/>
        </c:manualLayout>
      </c:layout>
      <c:doughnutChart>
        <c:varyColors val="1"/>
        <c:ser>
          <c:idx val="0"/>
          <c:order val="0"/>
          <c:dLbls>
            <c:dLbl>
              <c:idx val="0"/>
              <c:layout>
                <c:manualLayout>
                  <c:x val="9.5541401273885346E-3"/>
                  <c:y val="-4.0114613180515762E-2"/>
                </c:manualLayout>
              </c:layout>
              <c:tx>
                <c:rich>
                  <a:bodyPr/>
                  <a:lstStyle/>
                  <a:p>
                    <a:r>
                      <a:rPr lang="en-US"/>
                      <a:t>137</a:t>
                    </a:r>
                  </a:p>
                </c:rich>
              </c:tx>
              <c:showLegendKey val="0"/>
              <c:showVal val="1"/>
              <c:showCatName val="0"/>
              <c:showSerName val="0"/>
              <c:showPercent val="1"/>
              <c:showBubbleSize val="0"/>
              <c:extLst>
                <c:ext xmlns:c15="http://schemas.microsoft.com/office/drawing/2012/chart" uri="{CE6537A1-D6FC-4f65-9D91-7224C49458BB}">
                  <c15:layout>
                    <c:manualLayout>
                      <c:w val="7.6433121019108277E-2"/>
                      <c:h val="0.15931232091690545"/>
                    </c:manualLayout>
                  </c15:layout>
                  <c15:showDataLabelsRange val="0"/>
                </c:ext>
                <c:ext xmlns:c16="http://schemas.microsoft.com/office/drawing/2014/chart" uri="{C3380CC4-5D6E-409C-BE32-E72D297353CC}">
                  <c16:uniqueId val="{00000000-4E9E-4E7D-B4F3-80F8A550E8EB}"/>
                </c:ext>
              </c:extLst>
            </c:dLbl>
            <c:dLbl>
              <c:idx val="1"/>
              <c:tx>
                <c:rich>
                  <a:bodyPr/>
                  <a:lstStyle/>
                  <a:p>
                    <a:r>
                      <a:rPr lang="en-US"/>
                      <a:t>15</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4E9E-4E7D-B4F3-80F8A550E8EB}"/>
                </c:ext>
              </c:extLst>
            </c:dLbl>
            <c:dLbl>
              <c:idx val="2"/>
              <c:tx>
                <c:rich>
                  <a:bodyPr/>
                  <a:lstStyle/>
                  <a:p>
                    <a:r>
                      <a:rPr lang="en-US"/>
                      <a:t>4</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4E9E-4E7D-B4F3-80F8A550E8EB}"/>
                </c:ext>
              </c:extLst>
            </c:dLbl>
            <c:dLbl>
              <c:idx val="3"/>
              <c:layout>
                <c:manualLayout>
                  <c:x val="0"/>
                  <c:y val="-9.8425196850393092E-3"/>
                </c:manualLayout>
              </c:layout>
              <c:tx>
                <c:rich>
                  <a:bodyPr/>
                  <a:lstStyle/>
                  <a:p>
                    <a:r>
                      <a:rPr lang="en-US"/>
                      <a:t>3</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4E9E-4E7D-B4F3-80F8A550E8EB}"/>
                </c:ext>
              </c:extLst>
            </c:dLbl>
            <c:spPr>
              <a:noFill/>
              <a:ln>
                <a:noFill/>
              </a:ln>
              <a:effectLst/>
            </c:spPr>
            <c:txPr>
              <a:bodyPr/>
              <a:lstStyle/>
              <a:p>
                <a:pPr>
                  <a:defRPr sz="1000" b="1" baseline="0">
                    <a:solidFill>
                      <a:schemeClr val="tx1"/>
                    </a:solidFill>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I_tiesas_apgabala_prok!$AR$6:$AR$9</c:f>
              <c:strCache>
                <c:ptCount val="4"/>
                <c:pt idx="0">
                  <c:v>Aizpildītas štata vietas</c:v>
                </c:pt>
                <c:pt idx="1">
                  <c:v>Brīvas štata vietas</c:v>
                </c:pt>
                <c:pt idx="2">
                  <c:v>Ilgstošā prombūtnē</c:v>
                </c:pt>
                <c:pt idx="3">
                  <c:v>Štažējas citā struktūrvienībā</c:v>
                </c:pt>
              </c:strCache>
            </c:strRef>
          </c:cat>
          <c:val>
            <c:numRef>
              <c:f>I_tiesas_apgabala_prok!$AS$6:$AS$9</c:f>
              <c:numCache>
                <c:formatCode>General</c:formatCode>
                <c:ptCount val="4"/>
                <c:pt idx="0">
                  <c:v>137</c:v>
                </c:pt>
                <c:pt idx="1">
                  <c:v>15</c:v>
                </c:pt>
                <c:pt idx="2">
                  <c:v>4</c:v>
                </c:pt>
                <c:pt idx="3">
                  <c:v>3</c:v>
                </c:pt>
              </c:numCache>
            </c:numRef>
          </c:val>
          <c:extLst>
            <c:ext xmlns:c16="http://schemas.microsoft.com/office/drawing/2014/chart" uri="{C3380CC4-5D6E-409C-BE32-E72D297353CC}">
              <c16:uniqueId val="{00000004-4E9E-4E7D-B4F3-80F8A550E8EB}"/>
            </c:ext>
          </c:extLst>
        </c:ser>
        <c:dLbls>
          <c:showLegendKey val="0"/>
          <c:showVal val="0"/>
          <c:showCatName val="0"/>
          <c:showSerName val="0"/>
          <c:showPercent val="1"/>
          <c:showBubbleSize val="0"/>
          <c:showLeaderLines val="1"/>
        </c:dLbls>
        <c:firstSliceAng val="0"/>
        <c:holeSize val="50"/>
      </c:doughnutChart>
      <c:spPr>
        <a:noFill/>
        <a:ln w="25400">
          <a:noFill/>
        </a:ln>
      </c:spPr>
    </c:plotArea>
    <c:legend>
      <c:legendPos val="r"/>
      <c:layout>
        <c:manualLayout>
          <c:xMode val="edge"/>
          <c:yMode val="edge"/>
          <c:x val="0.6008160117426079"/>
          <c:y val="0.24657703813224222"/>
          <c:w val="0.34698560784167376"/>
          <c:h val="0.64066207062545133"/>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9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userShapes r:id="rId2"/>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chemeClr val="tx1">
                    <a:lumMod val="65000"/>
                    <a:lumOff val="35000"/>
                  </a:schemeClr>
                </a:solidFill>
                <a:latin typeface="+mn-lt"/>
                <a:ea typeface="+mn-ea"/>
                <a:cs typeface="+mn-cs"/>
              </a:defRPr>
            </a:pPr>
            <a:r>
              <a:rPr lang="lv-LV" sz="1200" b="1" baseline="0">
                <a:solidFill>
                  <a:schemeClr val="tx1"/>
                </a:solidFill>
                <a:latin typeface="Times New Roman" panose="02020603050405020304" pitchFamily="18" charset="0"/>
              </a:rPr>
              <a:t>Izskatīti iesniegumi un sūdzības</a:t>
            </a:r>
            <a:endParaRPr lang="en-US" sz="1200" b="1" baseline="0">
              <a:solidFill>
                <a:schemeClr val="tx1"/>
              </a:solidFill>
              <a:latin typeface="Times New Roman" panose="02020603050405020304" pitchFamily="18" charset="0"/>
            </a:endParaRPr>
          </a:p>
        </c:rich>
      </c:tx>
      <c:layout>
        <c:manualLayout>
          <c:xMode val="edge"/>
          <c:yMode val="edge"/>
          <c:x val="0.30339040457428873"/>
          <c:y val="2.063983488132095E-2"/>
        </c:manualLayout>
      </c:layout>
      <c:overlay val="0"/>
      <c:spPr>
        <a:noFill/>
        <a:ln>
          <a:noFill/>
        </a:ln>
        <a:effectLst/>
      </c:spPr>
      <c:txPr>
        <a:bodyPr rot="0" spcFirstLastPara="1" vertOverflow="ellipsis" vert="horz" wrap="square" anchor="ctr" anchorCtr="1"/>
        <a:lstStyle/>
        <a:p>
          <a:pPr algn="ctr">
            <a:defRPr sz="1400" b="1"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manualLayout>
          <c:layoutTarget val="inner"/>
          <c:xMode val="edge"/>
          <c:yMode val="edge"/>
          <c:x val="2.600509495136637E-3"/>
          <c:y val="0.13155084705320924"/>
          <c:w val="0.99125680506553893"/>
          <c:h val="0.77178181818181824"/>
        </c:manualLayout>
      </c:layout>
      <c:barChart>
        <c:barDir val="col"/>
        <c:grouping val="clustered"/>
        <c:varyColors val="0"/>
        <c:ser>
          <c:idx val="0"/>
          <c:order val="0"/>
          <c:tx>
            <c:strRef>
              <c:f>Sheet1!$F$1</c:f>
              <c:strCache>
                <c:ptCount val="1"/>
                <c:pt idx="0">
                  <c:v>Column1</c:v>
                </c:pt>
              </c:strCache>
            </c:strRef>
          </c:tx>
          <c:spPr>
            <a:solidFill>
              <a:schemeClr val="accent5">
                <a:lumMod val="75000"/>
              </a:schemeClr>
            </a:solidFill>
            <a:ln>
              <a:solidFill>
                <a:srgbClr val="7030A0"/>
              </a:solidFill>
            </a:ln>
            <a:effectLst/>
          </c:spPr>
          <c:invertIfNegative val="0"/>
          <c:dPt>
            <c:idx val="0"/>
            <c:invertIfNegative val="0"/>
            <c:bubble3D val="0"/>
            <c:spPr>
              <a:solidFill>
                <a:schemeClr val="accent5">
                  <a:lumMod val="75000"/>
                </a:schemeClr>
              </a:solidFill>
              <a:ln>
                <a:solidFill>
                  <a:srgbClr val="7030A0"/>
                </a:solidFill>
              </a:ln>
              <a:effectLst/>
            </c:spPr>
            <c:extLst>
              <c:ext xmlns:c16="http://schemas.microsoft.com/office/drawing/2014/chart" uri="{C3380CC4-5D6E-409C-BE32-E72D297353CC}">
                <c16:uniqueId val="{00000001-0BC9-407A-AB66-59CCADF1AAE9}"/>
              </c:ext>
            </c:extLst>
          </c:dPt>
          <c:dPt>
            <c:idx val="1"/>
            <c:invertIfNegative val="0"/>
            <c:bubble3D val="0"/>
            <c:spPr>
              <a:solidFill>
                <a:schemeClr val="accent5">
                  <a:lumMod val="75000"/>
                </a:schemeClr>
              </a:solidFill>
              <a:ln>
                <a:solidFill>
                  <a:srgbClr val="7030A0"/>
                </a:solidFill>
              </a:ln>
              <a:effectLst/>
            </c:spPr>
            <c:extLst>
              <c:ext xmlns:c16="http://schemas.microsoft.com/office/drawing/2014/chart" uri="{C3380CC4-5D6E-409C-BE32-E72D297353CC}">
                <c16:uniqueId val="{00000003-0BC9-407A-AB66-59CCADF1AAE9}"/>
              </c:ext>
            </c:extLst>
          </c:dPt>
          <c:dPt>
            <c:idx val="2"/>
            <c:invertIfNegative val="0"/>
            <c:bubble3D val="0"/>
            <c:spPr>
              <a:solidFill>
                <a:schemeClr val="accent5">
                  <a:lumMod val="75000"/>
                </a:schemeClr>
              </a:solidFill>
              <a:ln>
                <a:solidFill>
                  <a:srgbClr val="7030A0"/>
                </a:solidFill>
              </a:ln>
              <a:effectLst/>
            </c:spPr>
            <c:extLst>
              <c:ext xmlns:c16="http://schemas.microsoft.com/office/drawing/2014/chart" uri="{C3380CC4-5D6E-409C-BE32-E72D297353CC}">
                <c16:uniqueId val="{00000005-0BC9-407A-AB66-59CCADF1AAE9}"/>
              </c:ext>
            </c:extLst>
          </c:dPt>
          <c:dLbls>
            <c:dLbl>
              <c:idx val="2"/>
              <c:tx>
                <c:rich>
                  <a:bodyPr/>
                  <a:lstStyle/>
                  <a:p>
                    <a:r>
                      <a:rPr lang="en-US"/>
                      <a:t>577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BC9-407A-AB66-59CCADF1AAE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Sheet1!$E$2:$E$4</c:f>
              <c:numCache>
                <c:formatCode>General</c:formatCode>
                <c:ptCount val="3"/>
                <c:pt idx="0">
                  <c:v>2018</c:v>
                </c:pt>
                <c:pt idx="1">
                  <c:v>2019</c:v>
                </c:pt>
                <c:pt idx="2">
                  <c:v>2020</c:v>
                </c:pt>
              </c:numCache>
            </c:numRef>
          </c:cat>
          <c:val>
            <c:numRef>
              <c:f>Sheet1!$F$2:$F$4</c:f>
              <c:numCache>
                <c:formatCode>General</c:formatCode>
                <c:ptCount val="3"/>
                <c:pt idx="0">
                  <c:v>611</c:v>
                </c:pt>
                <c:pt idx="1">
                  <c:v>489</c:v>
                </c:pt>
                <c:pt idx="2">
                  <c:v>563</c:v>
                </c:pt>
              </c:numCache>
            </c:numRef>
          </c:val>
          <c:extLst>
            <c:ext xmlns:c16="http://schemas.microsoft.com/office/drawing/2014/chart" uri="{C3380CC4-5D6E-409C-BE32-E72D297353CC}">
              <c16:uniqueId val="{00000006-0BC9-407A-AB66-59CCADF1AAE9}"/>
            </c:ext>
          </c:extLst>
        </c:ser>
        <c:dLbls>
          <c:dLblPos val="outEnd"/>
          <c:showLegendKey val="0"/>
          <c:showVal val="1"/>
          <c:showCatName val="0"/>
          <c:showSerName val="0"/>
          <c:showPercent val="0"/>
          <c:showBubbleSize val="0"/>
        </c:dLbls>
        <c:gapWidth val="70"/>
        <c:overlap val="-85"/>
        <c:axId val="1095004976"/>
        <c:axId val="1095001696"/>
      </c:barChart>
      <c:catAx>
        <c:axId val="10950049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headEnd type="arrow"/>
            <a:tailEnd w="med" len="lg"/>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1095001696"/>
        <c:crosses val="autoZero"/>
        <c:auto val="1"/>
        <c:lblAlgn val="ctr"/>
        <c:lblOffset val="100"/>
        <c:noMultiLvlLbl val="0"/>
      </c:catAx>
      <c:valAx>
        <c:axId val="109500169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095004976"/>
        <c:crosses val="autoZero"/>
        <c:crossBetween val="between"/>
      </c:valAx>
      <c:spPr>
        <a:gradFill flip="none" rotWithShape="1">
          <a:gsLst>
            <a:gs pos="0">
              <a:schemeClr val="accent5">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path path="circle">
            <a:fillToRect l="100000" t="100000"/>
          </a:path>
          <a:tileRect r="-100000" b="-100000"/>
        </a:gradFill>
        <a:ln>
          <a:noFill/>
        </a:ln>
        <a:effectLst/>
        <a:scene3d>
          <a:camera prst="orthographicFront"/>
          <a:lightRig rig="threePt" dir="t"/>
        </a:scene3d>
        <a:sp3d>
          <a:bevelT/>
        </a:sp3d>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chemeClr val="tx1">
                    <a:lumMod val="65000"/>
                    <a:lumOff val="35000"/>
                  </a:schemeClr>
                </a:solidFill>
                <a:latin typeface="+mn-lt"/>
                <a:ea typeface="+mn-ea"/>
                <a:cs typeface="+mn-cs"/>
              </a:defRPr>
            </a:pPr>
            <a:r>
              <a:rPr lang="lv-LV" sz="1200" b="1" baseline="0">
                <a:solidFill>
                  <a:schemeClr val="tx1"/>
                </a:solidFill>
                <a:latin typeface="Times New Roman" panose="02020603050405020304" pitchFamily="18" charset="0"/>
              </a:rPr>
              <a:t>Pārbaudītas krimināllietas</a:t>
            </a:r>
            <a:endParaRPr lang="en-US" sz="1200" b="1" baseline="0">
              <a:solidFill>
                <a:schemeClr val="tx1"/>
              </a:solidFill>
              <a:latin typeface="Times New Roman" panose="02020603050405020304" pitchFamily="18" charset="0"/>
            </a:endParaRPr>
          </a:p>
        </c:rich>
      </c:tx>
      <c:layout>
        <c:manualLayout>
          <c:xMode val="edge"/>
          <c:yMode val="edge"/>
          <c:x val="0.30339040457428873"/>
          <c:y val="2.063983488132095E-2"/>
        </c:manualLayout>
      </c:layout>
      <c:overlay val="0"/>
      <c:spPr>
        <a:noFill/>
        <a:ln>
          <a:noFill/>
        </a:ln>
        <a:effectLst/>
      </c:spPr>
      <c:txPr>
        <a:bodyPr rot="0" spcFirstLastPara="1" vertOverflow="ellipsis" vert="horz" wrap="square" anchor="ctr" anchorCtr="1"/>
        <a:lstStyle/>
        <a:p>
          <a:pPr algn="ctr">
            <a:defRPr sz="1400" b="1"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manualLayout>
          <c:layoutTarget val="inner"/>
          <c:xMode val="edge"/>
          <c:yMode val="edge"/>
          <c:x val="2.811150808792073E-2"/>
          <c:y val="0.16549013191532877"/>
          <c:w val="0.94545679930581383"/>
          <c:h val="0.72814542145080163"/>
        </c:manualLayout>
      </c:layout>
      <c:barChart>
        <c:barDir val="col"/>
        <c:grouping val="clustered"/>
        <c:varyColors val="0"/>
        <c:ser>
          <c:idx val="0"/>
          <c:order val="0"/>
          <c:tx>
            <c:strRef>
              <c:f>Sheet1!$F$1</c:f>
              <c:strCache>
                <c:ptCount val="1"/>
                <c:pt idx="0">
                  <c:v>Column1</c:v>
                </c:pt>
              </c:strCache>
            </c:strRef>
          </c:tx>
          <c:spPr>
            <a:solidFill>
              <a:schemeClr val="accent1"/>
            </a:solidFill>
            <a:ln>
              <a:noFill/>
            </a:ln>
            <a:effectLst/>
          </c:spPr>
          <c:invertIfNegative val="0"/>
          <c:dLbls>
            <c:dLbl>
              <c:idx val="0"/>
              <c:tx>
                <c:rich>
                  <a:bodyPr/>
                  <a:lstStyle/>
                  <a:p>
                    <a:r>
                      <a:rPr lang="en-US"/>
                      <a:t>717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F3F-4D24-925B-4ABF32387F44}"/>
                </c:ext>
              </c:extLst>
            </c:dLbl>
            <c:dLbl>
              <c:idx val="1"/>
              <c:tx>
                <c:rich>
                  <a:bodyPr/>
                  <a:lstStyle/>
                  <a:p>
                    <a:r>
                      <a:rPr lang="en-US"/>
                      <a:t>329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F3F-4D24-925B-4ABF32387F44}"/>
                </c:ext>
              </c:extLst>
            </c:dLbl>
            <c:dLbl>
              <c:idx val="2"/>
              <c:tx>
                <c:rich>
                  <a:bodyPr/>
                  <a:lstStyle/>
                  <a:p>
                    <a:r>
                      <a:rPr lang="en-US"/>
                      <a:t>376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F3F-4D24-925B-4ABF32387F4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Sheet1!$E$2:$E$4</c:f>
              <c:numCache>
                <c:formatCode>General</c:formatCode>
                <c:ptCount val="3"/>
                <c:pt idx="0">
                  <c:v>2018</c:v>
                </c:pt>
                <c:pt idx="1">
                  <c:v>2019</c:v>
                </c:pt>
                <c:pt idx="2">
                  <c:v>2020</c:v>
                </c:pt>
              </c:numCache>
            </c:numRef>
          </c:cat>
          <c:val>
            <c:numRef>
              <c:f>Sheet1!$F$2:$F$4</c:f>
              <c:numCache>
                <c:formatCode>General</c:formatCode>
                <c:ptCount val="3"/>
                <c:pt idx="0">
                  <c:v>611</c:v>
                </c:pt>
                <c:pt idx="1">
                  <c:v>489</c:v>
                </c:pt>
                <c:pt idx="2">
                  <c:v>563</c:v>
                </c:pt>
              </c:numCache>
            </c:numRef>
          </c:val>
          <c:extLst>
            <c:ext xmlns:c16="http://schemas.microsoft.com/office/drawing/2014/chart" uri="{C3380CC4-5D6E-409C-BE32-E72D297353CC}">
              <c16:uniqueId val="{00000003-6F3F-4D24-925B-4ABF32387F44}"/>
            </c:ext>
          </c:extLst>
        </c:ser>
        <c:dLbls>
          <c:dLblPos val="outEnd"/>
          <c:showLegendKey val="0"/>
          <c:showVal val="1"/>
          <c:showCatName val="0"/>
          <c:showSerName val="0"/>
          <c:showPercent val="0"/>
          <c:showBubbleSize val="0"/>
        </c:dLbls>
        <c:gapWidth val="70"/>
        <c:axId val="1095004976"/>
        <c:axId val="1095001696"/>
      </c:barChart>
      <c:catAx>
        <c:axId val="109500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headEnd type="arrow"/>
            <a:tailEnd w="med" len="lg"/>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1095001696"/>
        <c:crosses val="autoZero"/>
        <c:auto val="1"/>
        <c:lblAlgn val="ctr"/>
        <c:lblOffset val="100"/>
        <c:noMultiLvlLbl val="0"/>
      </c:catAx>
      <c:valAx>
        <c:axId val="1095001696"/>
        <c:scaling>
          <c:orientation val="minMax"/>
        </c:scaling>
        <c:delete val="1"/>
        <c:axPos val="l"/>
        <c:numFmt formatCode="General" sourceLinked="1"/>
        <c:majorTickMark val="none"/>
        <c:minorTickMark val="none"/>
        <c:tickLblPos val="nextTo"/>
        <c:crossAx val="1095004976"/>
        <c:crosses val="autoZero"/>
        <c:crossBetween val="between"/>
      </c:valAx>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200000" scaled="0"/>
        </a:gradFill>
        <a:ln>
          <a:solidFill>
            <a:schemeClr val="bg1"/>
          </a:solidFill>
        </a:ln>
        <a:effectLst/>
        <a:scene3d>
          <a:camera prst="orthographicFront"/>
          <a:lightRig rig="threePt" dir="t"/>
        </a:scene3d>
        <a:sp3d>
          <a:bevelT/>
        </a:sp3d>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Prokurora norādījumi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Sheet1!$B$2</c:f>
              <c:strCache>
                <c:ptCount val="1"/>
                <c:pt idx="0">
                  <c:v>Mutiski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Sheet1!$B$3:$B$5</c:f>
              <c:numCache>
                <c:formatCode>General</c:formatCode>
                <c:ptCount val="3"/>
                <c:pt idx="0">
                  <c:v>40</c:v>
                </c:pt>
                <c:pt idx="1">
                  <c:v>22</c:v>
                </c:pt>
                <c:pt idx="2">
                  <c:v>24</c:v>
                </c:pt>
              </c:numCache>
            </c:numRef>
          </c:val>
          <c:extLst>
            <c:ext xmlns:c16="http://schemas.microsoft.com/office/drawing/2014/chart" uri="{C3380CC4-5D6E-409C-BE32-E72D297353CC}">
              <c16:uniqueId val="{00000000-077E-44C6-9F64-7DA172F45D8E}"/>
            </c:ext>
          </c:extLst>
        </c:ser>
        <c:ser>
          <c:idx val="1"/>
          <c:order val="1"/>
          <c:tx>
            <c:strRef>
              <c:f>Sheet1!$C$2</c:f>
              <c:strCache>
                <c:ptCount val="1"/>
                <c:pt idx="0">
                  <c:v>Rakstiski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Sheet1!$C$3:$C$5</c:f>
              <c:numCache>
                <c:formatCode>General</c:formatCode>
                <c:ptCount val="3"/>
                <c:pt idx="0">
                  <c:v>37</c:v>
                </c:pt>
                <c:pt idx="1">
                  <c:v>33</c:v>
                </c:pt>
                <c:pt idx="2">
                  <c:v>34</c:v>
                </c:pt>
              </c:numCache>
            </c:numRef>
          </c:val>
          <c:extLst>
            <c:ext xmlns:c16="http://schemas.microsoft.com/office/drawing/2014/chart" uri="{C3380CC4-5D6E-409C-BE32-E72D297353CC}">
              <c16:uniqueId val="{00000001-077E-44C6-9F64-7DA172F45D8E}"/>
            </c:ext>
          </c:extLst>
        </c:ser>
        <c:dLbls>
          <c:dLblPos val="inEnd"/>
          <c:showLegendKey val="0"/>
          <c:showVal val="1"/>
          <c:showCatName val="0"/>
          <c:showSerName val="0"/>
          <c:showPercent val="0"/>
          <c:showBubbleSize val="0"/>
        </c:dLbls>
        <c:gapWidth val="219"/>
        <c:overlap val="-27"/>
        <c:axId val="413731336"/>
        <c:axId val="413725760"/>
      </c:barChart>
      <c:catAx>
        <c:axId val="413731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413725760"/>
        <c:crosses val="autoZero"/>
        <c:auto val="1"/>
        <c:lblAlgn val="ctr"/>
        <c:lblOffset val="100"/>
        <c:noMultiLvlLbl val="0"/>
      </c:catAx>
      <c:valAx>
        <c:axId val="4137257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lv-LV"/>
          </a:p>
        </c:txPr>
        <c:crossAx val="413731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Lietvedībā pieņemti kriminālprocesi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Sheet1!$D$3:$D$5</c:f>
              <c:numCache>
                <c:formatCode>General</c:formatCode>
                <c:ptCount val="3"/>
                <c:pt idx="0">
                  <c:v>21</c:v>
                </c:pt>
                <c:pt idx="1">
                  <c:v>8</c:v>
                </c:pt>
                <c:pt idx="2">
                  <c:v>17</c:v>
                </c:pt>
              </c:numCache>
            </c:numRef>
          </c:val>
          <c:extLst>
            <c:ext xmlns:c16="http://schemas.microsoft.com/office/drawing/2014/chart" uri="{C3380CC4-5D6E-409C-BE32-E72D297353CC}">
              <c16:uniqueId val="{00000000-23E6-406E-A881-4AEE6242EEC1}"/>
            </c:ext>
          </c:extLst>
        </c:ser>
        <c:dLbls>
          <c:dLblPos val="inEnd"/>
          <c:showLegendKey val="0"/>
          <c:showVal val="1"/>
          <c:showCatName val="0"/>
          <c:showSerName val="0"/>
          <c:showPercent val="0"/>
          <c:showBubbleSize val="0"/>
        </c:dLbls>
        <c:gapWidth val="219"/>
        <c:overlap val="-27"/>
        <c:axId val="487481544"/>
        <c:axId val="487476296"/>
      </c:barChart>
      <c:catAx>
        <c:axId val="487481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487476296"/>
        <c:crosses val="autoZero"/>
        <c:auto val="1"/>
        <c:lblAlgn val="ctr"/>
        <c:lblOffset val="100"/>
        <c:noMultiLvlLbl val="0"/>
      </c:catAx>
      <c:valAx>
        <c:axId val="4874762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lv-LV"/>
          </a:p>
        </c:txPr>
        <c:crossAx val="487481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Tiesai nodotas krimināllietas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Sheet1!$E$2</c:f>
              <c:strCache>
                <c:ptCount val="1"/>
                <c:pt idx="0">
                  <c:v>Kriminālprocesi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Sheet1!$E$3:$E$5</c:f>
              <c:numCache>
                <c:formatCode>General</c:formatCode>
                <c:ptCount val="3"/>
                <c:pt idx="0">
                  <c:v>11</c:v>
                </c:pt>
                <c:pt idx="1">
                  <c:v>5</c:v>
                </c:pt>
                <c:pt idx="2">
                  <c:v>11</c:v>
                </c:pt>
              </c:numCache>
            </c:numRef>
          </c:val>
          <c:extLst>
            <c:ext xmlns:c16="http://schemas.microsoft.com/office/drawing/2014/chart" uri="{C3380CC4-5D6E-409C-BE32-E72D297353CC}">
              <c16:uniqueId val="{00000000-9676-497F-B055-C04892586622}"/>
            </c:ext>
          </c:extLst>
        </c:ser>
        <c:ser>
          <c:idx val="1"/>
          <c:order val="1"/>
          <c:tx>
            <c:strRef>
              <c:f>Sheet1!$F$2</c:f>
              <c:strCache>
                <c:ptCount val="1"/>
                <c:pt idx="0">
                  <c:v>Noziedzīgi nodarījumi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Sheet1!$F$3:$F$5</c:f>
              <c:numCache>
                <c:formatCode>General</c:formatCode>
                <c:ptCount val="3"/>
                <c:pt idx="0">
                  <c:v>29</c:v>
                </c:pt>
                <c:pt idx="1">
                  <c:v>31</c:v>
                </c:pt>
                <c:pt idx="2">
                  <c:v>23</c:v>
                </c:pt>
              </c:numCache>
            </c:numRef>
          </c:val>
          <c:extLst>
            <c:ext xmlns:c16="http://schemas.microsoft.com/office/drawing/2014/chart" uri="{C3380CC4-5D6E-409C-BE32-E72D297353CC}">
              <c16:uniqueId val="{00000001-9676-497F-B055-C04892586622}"/>
            </c:ext>
          </c:extLst>
        </c:ser>
        <c:ser>
          <c:idx val="2"/>
          <c:order val="2"/>
          <c:tx>
            <c:strRef>
              <c:f>Sheet1!$G$2</c:f>
              <c:strCache>
                <c:ptCount val="1"/>
                <c:pt idx="0">
                  <c:v>Fiziskās personas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Sheet1!$G$3:$G$5</c:f>
              <c:numCache>
                <c:formatCode>General</c:formatCode>
                <c:ptCount val="3"/>
                <c:pt idx="0">
                  <c:v>21</c:v>
                </c:pt>
                <c:pt idx="1">
                  <c:v>5</c:v>
                </c:pt>
                <c:pt idx="2">
                  <c:v>17</c:v>
                </c:pt>
              </c:numCache>
            </c:numRef>
          </c:val>
          <c:extLst>
            <c:ext xmlns:c16="http://schemas.microsoft.com/office/drawing/2014/chart" uri="{C3380CC4-5D6E-409C-BE32-E72D297353CC}">
              <c16:uniqueId val="{00000002-9676-497F-B055-C04892586622}"/>
            </c:ext>
          </c:extLst>
        </c:ser>
        <c:ser>
          <c:idx val="3"/>
          <c:order val="3"/>
          <c:tx>
            <c:strRef>
              <c:f>Sheet1!$H$2</c:f>
              <c:strCache>
                <c:ptCount val="1"/>
                <c:pt idx="0">
                  <c:v>Juridiskās personas</c:v>
                </c:pt>
              </c:strCache>
            </c:strRef>
          </c:tx>
          <c:spPr>
            <a:solidFill>
              <a:schemeClr val="accent4"/>
            </a:solidFill>
            <a:ln>
              <a:noFill/>
            </a:ln>
            <a:effectLst/>
          </c:spPr>
          <c:invertIfNegative val="0"/>
          <c:dLbls>
            <c:dLbl>
              <c:idx val="0"/>
              <c:layout>
                <c:manualLayout>
                  <c:x val="0"/>
                  <c:y val="1.79467945055763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676-497F-B055-C04892586622}"/>
                </c:ext>
              </c:extLst>
            </c:dLbl>
            <c:dLbl>
              <c:idx val="2"/>
              <c:layout>
                <c:manualLayout>
                  <c:x val="0"/>
                  <c:y val="3.08313668993267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76-497F-B055-C0489258662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Sheet1!$H$3:$H$5</c:f>
              <c:numCache>
                <c:formatCode>General</c:formatCode>
                <c:ptCount val="3"/>
                <c:pt idx="0">
                  <c:v>5</c:v>
                </c:pt>
                <c:pt idx="1">
                  <c:v>1</c:v>
                </c:pt>
                <c:pt idx="2">
                  <c:v>3</c:v>
                </c:pt>
              </c:numCache>
            </c:numRef>
          </c:val>
          <c:extLst>
            <c:ext xmlns:c16="http://schemas.microsoft.com/office/drawing/2014/chart" uri="{C3380CC4-5D6E-409C-BE32-E72D297353CC}">
              <c16:uniqueId val="{00000003-9676-497F-B055-C04892586622}"/>
            </c:ext>
          </c:extLst>
        </c:ser>
        <c:dLbls>
          <c:dLblPos val="inEnd"/>
          <c:showLegendKey val="0"/>
          <c:showVal val="1"/>
          <c:showCatName val="0"/>
          <c:showSerName val="0"/>
          <c:showPercent val="0"/>
          <c:showBubbleSize val="0"/>
        </c:dLbls>
        <c:gapWidth val="219"/>
        <c:overlap val="-27"/>
        <c:axId val="551875520"/>
        <c:axId val="551877488"/>
      </c:barChart>
      <c:catAx>
        <c:axId val="55187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551877488"/>
        <c:crosses val="autoZero"/>
        <c:auto val="1"/>
        <c:lblAlgn val="ctr"/>
        <c:lblOffset val="100"/>
        <c:noMultiLvlLbl val="0"/>
      </c:catAx>
      <c:valAx>
        <c:axId val="5518774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551875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Izlemtas sūdzības un iesniegumi</a:t>
            </a:r>
          </a:p>
        </c:rich>
      </c:tx>
      <c:layout>
        <c:manualLayout>
          <c:xMode val="edge"/>
          <c:yMode val="edge"/>
          <c:x val="0.28571069182389935"/>
          <c:y val="1.286173633440514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manualLayout>
          <c:layoutTarget val="inner"/>
          <c:xMode val="edge"/>
          <c:yMode val="edge"/>
          <c:x val="0.10637527856187788"/>
          <c:y val="0.21736334405144692"/>
          <c:w val="0.8936247214381221"/>
          <c:h val="0.36173380256728366"/>
        </c:manualLayout>
      </c:layout>
      <c:barChart>
        <c:barDir val="col"/>
        <c:grouping val="clustered"/>
        <c:varyColors val="0"/>
        <c:ser>
          <c:idx val="0"/>
          <c:order val="0"/>
          <c:tx>
            <c:strRef>
              <c:f>Sheet1!$M$2</c:f>
              <c:strCache>
                <c:ptCount val="1"/>
                <c:pt idx="0">
                  <c:v>Saņemti iesniegumi/ sūdzības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Sheet1!$M$3:$M$5</c:f>
              <c:numCache>
                <c:formatCode>General</c:formatCode>
                <c:ptCount val="3"/>
                <c:pt idx="0">
                  <c:v>178</c:v>
                </c:pt>
                <c:pt idx="1">
                  <c:v>205</c:v>
                </c:pt>
                <c:pt idx="2">
                  <c:v>101</c:v>
                </c:pt>
              </c:numCache>
            </c:numRef>
          </c:val>
          <c:extLst>
            <c:ext xmlns:c16="http://schemas.microsoft.com/office/drawing/2014/chart" uri="{C3380CC4-5D6E-409C-BE32-E72D297353CC}">
              <c16:uniqueId val="{00000000-F1D4-4829-9FBA-221C4EA0F40B}"/>
            </c:ext>
          </c:extLst>
        </c:ser>
        <c:ser>
          <c:idx val="1"/>
          <c:order val="1"/>
          <c:tx>
            <c:strRef>
              <c:f>Sheet1!$N$2</c:f>
              <c:strCache>
                <c:ptCount val="1"/>
                <c:pt idx="0">
                  <c:v>Izskatīti pēc būtības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Sheet1!$N$3:$N$5</c:f>
              <c:numCache>
                <c:formatCode>General</c:formatCode>
                <c:ptCount val="3"/>
                <c:pt idx="0">
                  <c:v>151</c:v>
                </c:pt>
                <c:pt idx="1">
                  <c:v>190</c:v>
                </c:pt>
                <c:pt idx="2">
                  <c:v>90</c:v>
                </c:pt>
              </c:numCache>
            </c:numRef>
          </c:val>
          <c:extLst>
            <c:ext xmlns:c16="http://schemas.microsoft.com/office/drawing/2014/chart" uri="{C3380CC4-5D6E-409C-BE32-E72D297353CC}">
              <c16:uniqueId val="{00000001-F1D4-4829-9FBA-221C4EA0F40B}"/>
            </c:ext>
          </c:extLst>
        </c:ser>
        <c:ser>
          <c:idx val="2"/>
          <c:order val="2"/>
          <c:tx>
            <c:strRef>
              <c:f>Sheet1!$O$2</c:f>
              <c:strCache>
                <c:ptCount val="1"/>
                <c:pt idx="0">
                  <c:v>Atstāti bez izskatīšanas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Sheet1!$O$3:$O$5</c:f>
              <c:numCache>
                <c:formatCode>General</c:formatCode>
                <c:ptCount val="3"/>
                <c:pt idx="0">
                  <c:v>6</c:v>
                </c:pt>
                <c:pt idx="1">
                  <c:v>9</c:v>
                </c:pt>
                <c:pt idx="2">
                  <c:v>7</c:v>
                </c:pt>
              </c:numCache>
            </c:numRef>
          </c:val>
          <c:extLst>
            <c:ext xmlns:c16="http://schemas.microsoft.com/office/drawing/2014/chart" uri="{C3380CC4-5D6E-409C-BE32-E72D297353CC}">
              <c16:uniqueId val="{00000002-F1D4-4829-9FBA-221C4EA0F40B}"/>
            </c:ext>
          </c:extLst>
        </c:ser>
        <c:ser>
          <c:idx val="3"/>
          <c:order val="3"/>
          <c:tx>
            <c:strRef>
              <c:f>Sheet1!$P$2</c:f>
              <c:strCache>
                <c:ptCount val="1"/>
                <c:pt idx="0">
                  <c:v>Nosūtīti pēc piekritības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Sheet1!$P$3:$P$5</c:f>
              <c:numCache>
                <c:formatCode>General</c:formatCode>
                <c:ptCount val="3"/>
                <c:pt idx="0">
                  <c:v>13</c:v>
                </c:pt>
                <c:pt idx="1">
                  <c:v>13</c:v>
                </c:pt>
                <c:pt idx="2">
                  <c:v>4</c:v>
                </c:pt>
              </c:numCache>
            </c:numRef>
          </c:val>
          <c:extLst>
            <c:ext xmlns:c16="http://schemas.microsoft.com/office/drawing/2014/chart" uri="{C3380CC4-5D6E-409C-BE32-E72D297353CC}">
              <c16:uniqueId val="{00000003-F1D4-4829-9FBA-221C4EA0F40B}"/>
            </c:ext>
          </c:extLst>
        </c:ser>
        <c:ser>
          <c:idx val="4"/>
          <c:order val="4"/>
          <c:tx>
            <c:strRef>
              <c:f>Sheet1!$Q$2</c:f>
              <c:strCache>
                <c:ptCount val="1"/>
                <c:pt idx="0">
                  <c:v>Pilnībā vai daļēji atcelti pārsūdzētie nolēmumi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Sheet1!$Q$3:$Q$5</c:f>
              <c:numCache>
                <c:formatCode>General</c:formatCode>
                <c:ptCount val="3"/>
                <c:pt idx="0">
                  <c:v>15</c:v>
                </c:pt>
                <c:pt idx="1">
                  <c:v>11</c:v>
                </c:pt>
                <c:pt idx="2">
                  <c:v>13</c:v>
                </c:pt>
              </c:numCache>
            </c:numRef>
          </c:val>
          <c:extLst>
            <c:ext xmlns:c16="http://schemas.microsoft.com/office/drawing/2014/chart" uri="{C3380CC4-5D6E-409C-BE32-E72D297353CC}">
              <c16:uniqueId val="{00000004-F1D4-4829-9FBA-221C4EA0F40B}"/>
            </c:ext>
          </c:extLst>
        </c:ser>
        <c:dLbls>
          <c:dLblPos val="inEnd"/>
          <c:showLegendKey val="0"/>
          <c:showVal val="1"/>
          <c:showCatName val="0"/>
          <c:showSerName val="0"/>
          <c:showPercent val="0"/>
          <c:showBubbleSize val="0"/>
        </c:dLbls>
        <c:gapWidth val="219"/>
        <c:overlap val="-27"/>
        <c:axId val="418722584"/>
        <c:axId val="418721600"/>
      </c:barChart>
      <c:catAx>
        <c:axId val="418722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418721600"/>
        <c:crosses val="autoZero"/>
        <c:auto val="1"/>
        <c:lblAlgn val="ctr"/>
        <c:lblOffset val="100"/>
        <c:noMultiLvlLbl val="0"/>
      </c:catAx>
      <c:valAx>
        <c:axId val="418721600"/>
        <c:scaling>
          <c:orientation val="minMax"/>
          <c:max val="21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18722584"/>
        <c:crosses val="autoZero"/>
        <c:crossBetween val="between"/>
      </c:valAx>
      <c:spPr>
        <a:noFill/>
        <a:ln>
          <a:noFill/>
        </a:ln>
        <a:effectLst/>
      </c:spPr>
    </c:plotArea>
    <c:legend>
      <c:legendPos val="b"/>
      <c:legendEntry>
        <c:idx val="3"/>
        <c:txPr>
          <a:bodyPr rot="0" spcFirstLastPara="1" vertOverflow="ellipsis" vert="horz" wrap="square" anchor="ctr" anchorCtr="1"/>
          <a:lstStyle/>
          <a:p>
            <a:pPr>
              <a:defRPr sz="800" b="1" i="0" u="none" strike="noStrike" kern="1200" baseline="0">
                <a:solidFill>
                  <a:schemeClr val="tx1"/>
                </a:solidFill>
                <a:latin typeface="Times New Roman" panose="02020603050405020304" pitchFamily="18" charset="0"/>
                <a:ea typeface="+mn-ea"/>
                <a:cs typeface="+mn-cs"/>
              </a:defRPr>
            </a:pPr>
            <a:endParaRPr lang="lv-LV"/>
          </a:p>
        </c:txPr>
      </c:legendEntry>
      <c:layout>
        <c:manualLayout>
          <c:xMode val="edge"/>
          <c:yMode val="edge"/>
          <c:x val="1.5274155183727035E-2"/>
          <c:y val="0.71693378944598518"/>
          <c:w val="0.96198613845144354"/>
          <c:h val="0.18648826994312087"/>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Apelācijas un kasācijas protesti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Sheet1!$I$2</c:f>
              <c:strCache>
                <c:ptCount val="1"/>
                <c:pt idx="0">
                  <c:v>Iesniegti apelācijas protesti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Sheet1!$I$3:$I$5</c:f>
              <c:numCache>
                <c:formatCode>General</c:formatCode>
                <c:ptCount val="3"/>
                <c:pt idx="0">
                  <c:v>1</c:v>
                </c:pt>
                <c:pt idx="1">
                  <c:v>1</c:v>
                </c:pt>
                <c:pt idx="2">
                  <c:v>3</c:v>
                </c:pt>
              </c:numCache>
            </c:numRef>
          </c:val>
          <c:extLst>
            <c:ext xmlns:c16="http://schemas.microsoft.com/office/drawing/2014/chart" uri="{C3380CC4-5D6E-409C-BE32-E72D297353CC}">
              <c16:uniqueId val="{00000000-2FB9-4606-8070-D335D86A9A23}"/>
            </c:ext>
          </c:extLst>
        </c:ser>
        <c:ser>
          <c:idx val="1"/>
          <c:order val="1"/>
          <c:tx>
            <c:strRef>
              <c:f>Sheet1!$J$2</c:f>
              <c:strCache>
                <c:ptCount val="1"/>
                <c:pt idx="0">
                  <c:v>Iesniegti kasācijas protesti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Sheet1!$J$3:$J$5</c:f>
              <c:numCache>
                <c:formatCode>General</c:formatCode>
                <c:ptCount val="3"/>
                <c:pt idx="0">
                  <c:v>1</c:v>
                </c:pt>
                <c:pt idx="1">
                  <c:v>1</c:v>
                </c:pt>
                <c:pt idx="2">
                  <c:v>1</c:v>
                </c:pt>
              </c:numCache>
            </c:numRef>
          </c:val>
          <c:extLst>
            <c:ext xmlns:c16="http://schemas.microsoft.com/office/drawing/2014/chart" uri="{C3380CC4-5D6E-409C-BE32-E72D297353CC}">
              <c16:uniqueId val="{00000001-2FB9-4606-8070-D335D86A9A23}"/>
            </c:ext>
          </c:extLst>
        </c:ser>
        <c:ser>
          <c:idx val="2"/>
          <c:order val="2"/>
          <c:tx>
            <c:strRef>
              <c:f>Sheet1!$K$2</c:f>
              <c:strCache>
                <c:ptCount val="1"/>
                <c:pt idx="0">
                  <c:v>Apmierināti apelācijas protesti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2018.g.</c:v>
                </c:pt>
                <c:pt idx="1">
                  <c:v>2019.g.</c:v>
                </c:pt>
                <c:pt idx="2">
                  <c:v>2020.g.</c:v>
                </c:pt>
              </c:strCache>
            </c:strRef>
          </c:cat>
          <c:val>
            <c:numRef>
              <c:f>Sheet1!$K$3:$K$5</c:f>
              <c:numCache>
                <c:formatCode>General</c:formatCode>
                <c:ptCount val="3"/>
                <c:pt idx="0">
                  <c:v>3</c:v>
                </c:pt>
                <c:pt idx="1">
                  <c:v>1</c:v>
                </c:pt>
                <c:pt idx="2">
                  <c:v>2</c:v>
                </c:pt>
              </c:numCache>
            </c:numRef>
          </c:val>
          <c:extLst>
            <c:ext xmlns:c16="http://schemas.microsoft.com/office/drawing/2014/chart" uri="{C3380CC4-5D6E-409C-BE32-E72D297353CC}">
              <c16:uniqueId val="{00000002-2FB9-4606-8070-D335D86A9A23}"/>
            </c:ext>
          </c:extLst>
        </c:ser>
        <c:dLbls>
          <c:dLblPos val="inEnd"/>
          <c:showLegendKey val="0"/>
          <c:showVal val="1"/>
          <c:showCatName val="0"/>
          <c:showSerName val="0"/>
          <c:showPercent val="0"/>
          <c:showBubbleSize val="0"/>
        </c:dLbls>
        <c:gapWidth val="219"/>
        <c:overlap val="-27"/>
        <c:axId val="417026528"/>
        <c:axId val="417027840"/>
      </c:barChart>
      <c:catAx>
        <c:axId val="4170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417027840"/>
        <c:crosses val="autoZero"/>
        <c:auto val="1"/>
        <c:lblAlgn val="ctr"/>
        <c:lblOffset val="100"/>
        <c:noMultiLvlLbl val="0"/>
      </c:catAx>
      <c:valAx>
        <c:axId val="4170278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1702652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a:solidFill>
                  <a:schemeClr val="tx1"/>
                </a:solidFill>
                <a:latin typeface="Times New Roman" panose="02020603050405020304" pitchFamily="18" charset="0"/>
                <a:cs typeface="Times New Roman" panose="02020603050405020304" pitchFamily="18" charset="0"/>
              </a:rPr>
              <a:t>Izlemti iesniegumi un sūdzības</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manualLayout>
          <c:layoutTarget val="inner"/>
          <c:xMode val="edge"/>
          <c:yMode val="edge"/>
          <c:x val="9.3037765183810628E-2"/>
          <c:y val="0.24963144963144959"/>
          <c:w val="0.79737461167230017"/>
          <c:h val="0.54636344289887595"/>
        </c:manualLayout>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none"/>
          </c:marker>
          <c:dLbls>
            <c:dLbl>
              <c:idx val="0"/>
              <c:layout>
                <c:manualLayout>
                  <c:x val="-4.3389484430832077E-2"/>
                  <c:y val="-6.34455832113226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E0-465E-816C-01CF48CDE6D9}"/>
                </c:ext>
              </c:extLst>
            </c:dLbl>
            <c:dLbl>
              <c:idx val="1"/>
              <c:layout>
                <c:manualLayout>
                  <c:x val="-3.8284839203675439E-2"/>
                  <c:y val="-8.29673011224987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E0-465E-816C-01CF48CDE6D9}"/>
                </c:ext>
              </c:extLst>
            </c:dLbl>
            <c:dLbl>
              <c:idx val="2"/>
              <c:layout>
                <c:manualLayout>
                  <c:x val="-4.8192591000566706E-2"/>
                  <c:y val="-5.9598246241947032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248</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manualLayout>
                      <c:w val="5.359877488514548E-2"/>
                      <c:h val="0.12445095168374817"/>
                    </c:manualLayout>
                  </c15:layout>
                  <c15:showDataLabelsRange val="0"/>
                </c:ext>
                <c:ext xmlns:c16="http://schemas.microsoft.com/office/drawing/2014/chart" uri="{C3380CC4-5D6E-409C-BE32-E72D297353CC}">
                  <c16:uniqueId val="{00000002-03E0-465E-816C-01CF48CDE6D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215</c:v>
                </c:pt>
                <c:pt idx="1">
                  <c:v>229</c:v>
                </c:pt>
                <c:pt idx="2">
                  <c:v>248</c:v>
                </c:pt>
              </c:numCache>
            </c:numRef>
          </c:val>
          <c:smooth val="0"/>
          <c:extLst>
            <c:ext xmlns:c16="http://schemas.microsoft.com/office/drawing/2014/chart" uri="{C3380CC4-5D6E-409C-BE32-E72D297353CC}">
              <c16:uniqueId val="{00000003-03E0-465E-816C-01CF48CDE6D9}"/>
            </c:ext>
          </c:extLst>
        </c:ser>
        <c:dLbls>
          <c:showLegendKey val="0"/>
          <c:showVal val="0"/>
          <c:showCatName val="0"/>
          <c:showSerName val="0"/>
          <c:showPercent val="0"/>
          <c:showBubbleSize val="0"/>
        </c:dLbls>
        <c:smooth val="0"/>
        <c:axId val="505948448"/>
        <c:axId val="505946152"/>
      </c:lineChart>
      <c:catAx>
        <c:axId val="50594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5946152"/>
        <c:crosses val="autoZero"/>
        <c:auto val="1"/>
        <c:lblAlgn val="ctr"/>
        <c:lblOffset val="100"/>
        <c:noMultiLvlLbl val="0"/>
      </c:catAx>
      <c:valAx>
        <c:axId val="50594615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594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a:solidFill>
                  <a:schemeClr val="tx1"/>
                </a:solidFill>
                <a:latin typeface="Times New Roman" panose="02020603050405020304" pitchFamily="18" charset="0"/>
                <a:cs typeface="Times New Roman" panose="02020603050405020304" pitchFamily="18" charset="0"/>
              </a:rPr>
              <a:t>Protesti  </a:t>
            </a:r>
          </a:p>
          <a:p>
            <a:pPr>
              <a:defRPr/>
            </a:pPr>
            <a:r>
              <a:rPr lang="lv-LV" sz="1200" b="1">
                <a:solidFill>
                  <a:schemeClr val="tx1"/>
                </a:solidFill>
                <a:latin typeface="Times New Roman" panose="02020603050405020304" pitchFamily="18" charset="0"/>
                <a:cs typeface="Times New Roman" panose="02020603050405020304" pitchFamily="18" charset="0"/>
              </a:rPr>
              <a:t>Kriminālprocesa likuma 63. nodaļas</a:t>
            </a:r>
            <a:r>
              <a:rPr lang="lv-LV" sz="1200" b="1" baseline="0">
                <a:solidFill>
                  <a:schemeClr val="tx1"/>
                </a:solidFill>
                <a:latin typeface="Times New Roman" panose="02020603050405020304" pitchFamily="18" charset="0"/>
                <a:cs typeface="Times New Roman" panose="02020603050405020304" pitchFamily="18" charset="0"/>
              </a:rPr>
              <a:t> kārtībā</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0-7895-4964-A8AB-BA809DCD29C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1-7895-4964-A8AB-BA809DCD29C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2-7895-4964-A8AB-BA809DCD29C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49</c:v>
                </c:pt>
                <c:pt idx="1">
                  <c:v>30</c:v>
                </c:pt>
                <c:pt idx="2">
                  <c:v>30</c:v>
                </c:pt>
              </c:numCache>
            </c:numRef>
          </c:val>
          <c:extLst>
            <c:ext xmlns:c16="http://schemas.microsoft.com/office/drawing/2014/chart" uri="{C3380CC4-5D6E-409C-BE32-E72D297353CC}">
              <c16:uniqueId val="{00000003-7895-4964-A8AB-BA809DCD29C2}"/>
            </c:ext>
          </c:extLst>
        </c:ser>
        <c:dLbls>
          <c:showLegendKey val="0"/>
          <c:showVal val="0"/>
          <c:showCatName val="0"/>
          <c:showSerName val="0"/>
          <c:showPercent val="0"/>
          <c:showBubbleSize val="0"/>
        </c:dLbls>
        <c:gapWidth val="219"/>
        <c:overlap val="-27"/>
        <c:axId val="505948448"/>
        <c:axId val="505946152"/>
      </c:barChart>
      <c:catAx>
        <c:axId val="50594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5946152"/>
        <c:crosses val="autoZero"/>
        <c:auto val="1"/>
        <c:lblAlgn val="ctr"/>
        <c:lblOffset val="100"/>
        <c:noMultiLvlLbl val="0"/>
      </c:catAx>
      <c:valAx>
        <c:axId val="50594615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594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v-LV" sz="1200" b="1">
                <a:solidFill>
                  <a:sysClr val="windowText" lastClr="000000"/>
                </a:solidFill>
                <a:latin typeface="Times New Roman" panose="02020603050405020304" pitchFamily="18" charset="0"/>
                <a:cs typeface="Times New Roman" panose="02020603050405020304" pitchFamily="18" charset="0"/>
              </a:rPr>
              <a:t>Piedalīšanās</a:t>
            </a:r>
            <a:r>
              <a:rPr lang="lv-LV" sz="1200" b="1" baseline="0">
                <a:solidFill>
                  <a:sysClr val="windowText" lastClr="000000"/>
                </a:solidFill>
                <a:latin typeface="Times New Roman" panose="02020603050405020304" pitchFamily="18" charset="0"/>
                <a:cs typeface="Times New Roman" panose="02020603050405020304" pitchFamily="18" charset="0"/>
              </a:rPr>
              <a:t> lietu izskatīšanā kasācijas instances tiesā</a:t>
            </a:r>
            <a:endParaRPr lang="lv-LV"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0"/>
          <c:order val="0"/>
          <c:tx>
            <c:strRef>
              <c:f>Sheet1!$B$1</c:f>
              <c:strCache>
                <c:ptCount val="1"/>
                <c:pt idx="0">
                  <c:v>Mutvārdu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c:v>
                </c:pt>
                <c:pt idx="1">
                  <c:v>1</c:v>
                </c:pt>
                <c:pt idx="2">
                  <c:v>1</c:v>
                </c:pt>
              </c:numCache>
            </c:numRef>
          </c:val>
          <c:extLst>
            <c:ext xmlns:c16="http://schemas.microsoft.com/office/drawing/2014/chart" uri="{C3380CC4-5D6E-409C-BE32-E72D297353CC}">
              <c16:uniqueId val="{00000000-8FA5-42DC-BCAA-94215C8CEEE2}"/>
            </c:ext>
          </c:extLst>
        </c:ser>
        <c:ser>
          <c:idx val="1"/>
          <c:order val="1"/>
          <c:tx>
            <c:strRef>
              <c:f>Sheet1!$C$1</c:f>
              <c:strCache>
                <c:ptCount val="1"/>
                <c:pt idx="0">
                  <c:v>Rakstveida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Sheet1!$C$2:$C$4</c:f>
              <c:numCache>
                <c:formatCode>General</c:formatCode>
                <c:ptCount val="3"/>
                <c:pt idx="0">
                  <c:v>13</c:v>
                </c:pt>
                <c:pt idx="1">
                  <c:v>0</c:v>
                </c:pt>
                <c:pt idx="2">
                  <c:v>3</c:v>
                </c:pt>
              </c:numCache>
            </c:numRef>
          </c:val>
          <c:extLst>
            <c:ext xmlns:c16="http://schemas.microsoft.com/office/drawing/2014/chart" uri="{C3380CC4-5D6E-409C-BE32-E72D297353CC}">
              <c16:uniqueId val="{00000001-8FA5-42DC-BCAA-94215C8CEEE2}"/>
            </c:ext>
          </c:extLst>
        </c:ser>
        <c:dLbls>
          <c:showLegendKey val="0"/>
          <c:showVal val="0"/>
          <c:showCatName val="0"/>
          <c:showSerName val="0"/>
          <c:showPercent val="0"/>
          <c:showBubbleSize val="0"/>
        </c:dLbls>
        <c:gapWidth val="219"/>
        <c:overlap val="-27"/>
        <c:axId val="410994192"/>
        <c:axId val="410995832"/>
      </c:barChart>
      <c:catAx>
        <c:axId val="41099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410995832"/>
        <c:crosses val="autoZero"/>
        <c:auto val="1"/>
        <c:lblAlgn val="ctr"/>
        <c:lblOffset val="100"/>
        <c:noMultiLvlLbl val="0"/>
      </c:catAx>
      <c:valAx>
        <c:axId val="410995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41099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ln>
                  <a:noFill/>
                </a:ln>
                <a:solidFill>
                  <a:schemeClr val="tx2"/>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Kriminālvājāšanai saņemti  kriminālprocesi</a:t>
            </a:r>
          </a:p>
        </c:rich>
      </c:tx>
      <c:layout>
        <c:manualLayout>
          <c:xMode val="edge"/>
          <c:yMode val="edge"/>
          <c:x val="0.14346451826401801"/>
          <c:y val="5.1271891725278115E-2"/>
        </c:manualLayout>
      </c:layout>
      <c:overlay val="0"/>
      <c:spPr>
        <a:noFill/>
        <a:ln>
          <a:noFill/>
        </a:ln>
        <a:effectLst/>
      </c:spPr>
      <c:txPr>
        <a:bodyPr rot="0" spcFirstLastPara="1" vertOverflow="ellipsis" vert="horz" wrap="square" anchor="ctr" anchorCtr="1"/>
        <a:lstStyle/>
        <a:p>
          <a:pPr>
            <a:defRPr sz="1800" b="1" i="0" u="none" strike="noStrike" kern="1200" baseline="0">
              <a:ln>
                <a:noFill/>
              </a:ln>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1"/>
          <c:order val="0"/>
          <c:tx>
            <c:strRef>
              <c:f>I_tiesas_apgabala_prok!$B$5:$B$7</c:f>
              <c:strCache>
                <c:ptCount val="3"/>
                <c:pt idx="0">
                  <c:v>2018</c:v>
                </c:pt>
                <c:pt idx="1">
                  <c:v>2019</c:v>
                </c:pt>
                <c:pt idx="2">
                  <c:v>2020</c:v>
                </c:pt>
              </c:strCache>
            </c:strRef>
          </c:tx>
          <c:spPr>
            <a:solidFill>
              <a:schemeClr val="accent3"/>
            </a:solidFill>
            <a:ln w="6350" cap="flat" cmpd="sng" algn="ctr">
              <a:solidFill>
                <a:schemeClr val="accent1">
                  <a:shade val="50000"/>
                </a:schemeClr>
              </a:solidFill>
              <a:prstDash val="solid"/>
              <a:round/>
            </a:ln>
            <a:effectLst/>
          </c:spPr>
          <c:invertIfNegative val="0"/>
          <c:dPt>
            <c:idx val="1"/>
            <c:invertIfNegative val="0"/>
            <c:bubble3D val="0"/>
            <c:spPr>
              <a:solidFill>
                <a:schemeClr val="accent3"/>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DDD9-45E0-9990-EAC28254660E}"/>
              </c:ext>
            </c:extLst>
          </c:dPt>
          <c:dPt>
            <c:idx val="2"/>
            <c:invertIfNegative val="0"/>
            <c:bubble3D val="0"/>
            <c:spPr>
              <a:solidFill>
                <a:schemeClr val="accent3"/>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3-DDD9-45E0-9990-EAC28254660E}"/>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I_tiesas_apgabala_prok!$C$5:$C$7</c:f>
              <c:numCache>
                <c:formatCode>General</c:formatCode>
                <c:ptCount val="3"/>
                <c:pt idx="0">
                  <c:v>177</c:v>
                </c:pt>
                <c:pt idx="1">
                  <c:v>187</c:v>
                </c:pt>
                <c:pt idx="2">
                  <c:v>187</c:v>
                </c:pt>
              </c:numCache>
            </c:numRef>
          </c:val>
          <c:extLst>
            <c:ext xmlns:c16="http://schemas.microsoft.com/office/drawing/2014/chart" uri="{C3380CC4-5D6E-409C-BE32-E72D297353CC}">
              <c16:uniqueId val="{00000004-DDD9-45E0-9990-EAC28254660E}"/>
            </c:ext>
          </c:extLst>
        </c:ser>
        <c:dLbls>
          <c:showLegendKey val="0"/>
          <c:showVal val="0"/>
          <c:showCatName val="0"/>
          <c:showSerName val="0"/>
          <c:showPercent val="0"/>
          <c:showBubbleSize val="0"/>
        </c:dLbls>
        <c:gapWidth val="150"/>
        <c:axId val="211601664"/>
        <c:axId val="237375488"/>
      </c:barChart>
      <c:catAx>
        <c:axId val="211601664"/>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lv-LV"/>
          </a:p>
        </c:txPr>
        <c:crossAx val="237375488"/>
        <c:crosses val="autoZero"/>
        <c:auto val="1"/>
        <c:lblAlgn val="ctr"/>
        <c:lblOffset val="100"/>
        <c:noMultiLvlLbl val="0"/>
      </c:catAx>
      <c:valAx>
        <c:axId val="237375488"/>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211601664"/>
        <c:crosses val="autoZero"/>
        <c:crossBetween val="between"/>
      </c:valAx>
      <c:spPr>
        <a:solidFill>
          <a:schemeClr val="accent1">
            <a:tint val="20000"/>
          </a:schemeClr>
        </a:solidFill>
        <a:ln>
          <a:noFill/>
        </a:ln>
        <a:effectLst/>
      </c:spPr>
    </c:plotArea>
    <c:plotVisOnly val="1"/>
    <c:dispBlanksAs val="gap"/>
    <c:showDLblsOverMax val="0"/>
  </c:chart>
  <c:spPr>
    <a:solidFill>
      <a:schemeClr val="lt1"/>
    </a:solidFill>
    <a:ln w="6350" cap="flat" cmpd="sng" algn="ctr">
      <a:solidFill>
        <a:schemeClr val="tx2"/>
      </a:solidFill>
      <a:prstDash val="solid"/>
      <a:round/>
    </a:ln>
    <a:effectLst/>
  </c:spPr>
  <c:txPr>
    <a:bodyPr/>
    <a:lstStyle/>
    <a:p>
      <a:pPr>
        <a:defRPr>
          <a:ln>
            <a:noFill/>
          </a:ln>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lv-LV" sz="1200" b="1">
                <a:solidFill>
                  <a:schemeClr val="tx1"/>
                </a:solidFill>
                <a:latin typeface="Times New Roman" panose="02020603050405020304" pitchFamily="18" charset="0"/>
                <a:cs typeface="Times New Roman" panose="02020603050405020304" pitchFamily="18" charset="0"/>
              </a:rPr>
              <a:t>Atzinumi</a:t>
            </a:r>
            <a:r>
              <a:rPr lang="lv-LV" sz="1200" b="1" baseline="0">
                <a:solidFill>
                  <a:schemeClr val="tx1"/>
                </a:solidFill>
                <a:latin typeface="Times New Roman" panose="02020603050405020304" pitchFamily="18" charset="0"/>
                <a:cs typeface="Times New Roman" panose="02020603050405020304" pitchFamily="18" charset="0"/>
              </a:rPr>
              <a:t> par apsūdzēto attaisnošanas iemesliem</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0-3B7A-40F4-B301-D16EF219F33E}"/>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1-3B7A-40F4-B301-D16EF219F33E}"/>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2-3B7A-40F4-B301-D16EF219F33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56</c:v>
                </c:pt>
                <c:pt idx="1">
                  <c:v>39</c:v>
                </c:pt>
                <c:pt idx="2">
                  <c:v>50</c:v>
                </c:pt>
              </c:numCache>
            </c:numRef>
          </c:val>
          <c:extLst>
            <c:ext xmlns:c16="http://schemas.microsoft.com/office/drawing/2014/chart" uri="{C3380CC4-5D6E-409C-BE32-E72D297353CC}">
              <c16:uniqueId val="{00000003-3B7A-40F4-B301-D16EF219F33E}"/>
            </c:ext>
          </c:extLst>
        </c:ser>
        <c:dLbls>
          <c:showLegendKey val="0"/>
          <c:showVal val="0"/>
          <c:showCatName val="0"/>
          <c:showSerName val="0"/>
          <c:showPercent val="0"/>
          <c:showBubbleSize val="0"/>
        </c:dLbls>
        <c:gapWidth val="219"/>
        <c:overlap val="-27"/>
        <c:axId val="505948448"/>
        <c:axId val="505946152"/>
      </c:barChart>
      <c:catAx>
        <c:axId val="50594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5946152"/>
        <c:crosses val="autoZero"/>
        <c:auto val="1"/>
        <c:lblAlgn val="ctr"/>
        <c:lblOffset val="100"/>
        <c:noMultiLvlLbl val="0"/>
      </c:catAx>
      <c:valAx>
        <c:axId val="50594615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594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lv-LV"/>
              <a:t>Apsūdzēto</a:t>
            </a:r>
            <a:r>
              <a:rPr lang="lv-LV" baseline="0"/>
              <a:t> a</a:t>
            </a:r>
            <a:r>
              <a:rPr lang="lv-LV"/>
              <a:t>ttaisnošanas iemesli</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7.6766496757174882E-2"/>
          <c:y val="0.16940933536045749"/>
          <c:w val="0.33024554235506454"/>
          <c:h val="0.75566271074905267"/>
        </c:manualLayout>
      </c:layout>
      <c:pieChart>
        <c:varyColors val="1"/>
        <c:ser>
          <c:idx val="0"/>
          <c:order val="0"/>
          <c:tx>
            <c:strRef>
              <c:f>Sheet1!$B$1</c:f>
              <c:strCache>
                <c:ptCount val="1"/>
                <c:pt idx="0">
                  <c:v>Attaisnošanas iemesli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167-40B3-AD8B-77BF9782C77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167-40B3-AD8B-77BF9782C77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167-40B3-AD8B-77BF9782C77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167-40B3-AD8B-77BF9782C772}"/>
              </c:ext>
            </c:extLst>
          </c:dPt>
          <c:dLbls>
            <c:dLbl>
              <c:idx val="0"/>
              <c:layout>
                <c:manualLayout>
                  <c:x val="-0.11843285214348206"/>
                  <c:y val="-0.29769026267549903"/>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0"/>
              <c:showSerName val="0"/>
              <c:showPercent val="1"/>
              <c:showBubbleSize val="0"/>
              <c:extLst>
                <c:ext xmlns:c15="http://schemas.microsoft.com/office/drawing/2012/chart" uri="{CE6537A1-D6FC-4f65-9D91-7224C49458BB}">
                  <c15:layout>
                    <c:manualLayout>
                      <c:w val="0.13062499999999999"/>
                      <c:h val="0.1197256592925884"/>
                    </c:manualLayout>
                  </c15:layout>
                </c:ext>
                <c:ext xmlns:c16="http://schemas.microsoft.com/office/drawing/2014/chart" uri="{C3380CC4-5D6E-409C-BE32-E72D297353CC}">
                  <c16:uniqueId val="{00000001-7167-40B3-AD8B-77BF9782C772}"/>
                </c:ext>
              </c:extLst>
            </c:dLbl>
            <c:dLbl>
              <c:idx val="1"/>
              <c:layout>
                <c:manualLayout>
                  <c:x val="0.10185166958296879"/>
                  <c:y val="0.1653798483522893"/>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0"/>
              <c:showSerName val="0"/>
              <c:showPercent val="1"/>
              <c:showBubbleSize val="0"/>
              <c:extLst>
                <c:ext xmlns:c15="http://schemas.microsoft.com/office/drawing/2012/chart" uri="{CE6537A1-D6FC-4f65-9D91-7224C49458BB}">
                  <c15:layout>
                    <c:manualLayout>
                      <c:w val="7.9699074074074075E-2"/>
                      <c:h val="0.1031912677581969"/>
                    </c:manualLayout>
                  </c15:layout>
                </c:ext>
                <c:ext xmlns:c16="http://schemas.microsoft.com/office/drawing/2014/chart" uri="{C3380CC4-5D6E-409C-BE32-E72D297353CC}">
                  <c16:uniqueId val="{00000003-7167-40B3-AD8B-77BF9782C772}"/>
                </c:ext>
              </c:extLst>
            </c:dLbl>
            <c:dLbl>
              <c:idx val="2"/>
              <c:layout>
                <c:manualLayout>
                  <c:x val="8.6697475158174272E-3"/>
                  <c:y val="8.263995098595382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167-40B3-AD8B-77BF9782C772}"/>
                </c:ext>
              </c:extLst>
            </c:dLbl>
            <c:dLbl>
              <c:idx val="3"/>
              <c:layout>
                <c:manualLayout>
                  <c:x val="1.6136773835260517E-2"/>
                  <c:y val="8.83891170664185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167-40B3-AD8B-77BF9782C77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Dažāds prokuroru un tiesu pierādījumu vērtējums un no tiem izdarītie secinājumi</c:v>
                </c:pt>
                <c:pt idx="1">
                  <c:v>Trūkumi un nepilnības pirmstiesas procesā</c:v>
                </c:pt>
                <c:pt idx="2">
                  <c:v>Judikatūras atziņu neievērošana</c:v>
                </c:pt>
                <c:pt idx="3">
                  <c:v>Trūkumi apsūdzībā</c:v>
                </c:pt>
              </c:strCache>
            </c:strRef>
          </c:cat>
          <c:val>
            <c:numRef>
              <c:f>Sheet1!$B$2:$B$5</c:f>
              <c:numCache>
                <c:formatCode>General</c:formatCode>
                <c:ptCount val="4"/>
                <c:pt idx="0">
                  <c:v>32</c:v>
                </c:pt>
                <c:pt idx="1">
                  <c:v>5</c:v>
                </c:pt>
                <c:pt idx="2">
                  <c:v>1</c:v>
                </c:pt>
                <c:pt idx="3">
                  <c:v>1</c:v>
                </c:pt>
              </c:numCache>
            </c:numRef>
          </c:val>
          <c:extLst>
            <c:ext xmlns:c16="http://schemas.microsoft.com/office/drawing/2014/chart" uri="{C3380CC4-5D6E-409C-BE32-E72D297353CC}">
              <c16:uniqueId val="{00000008-7167-40B3-AD8B-77BF9782C77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44285013852435112"/>
          <c:y val="0.20062084458462867"/>
          <c:w val="0.52745373767825621"/>
          <c:h val="0.64578320361251673"/>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lv-LV" sz="1200">
                <a:latin typeface="Times New Roman" panose="02020603050405020304" pitchFamily="18" charset="0"/>
                <a:cs typeface="Times New Roman" panose="02020603050405020304" pitchFamily="18" charset="0"/>
              </a:rPr>
              <a:t>Atteikšanās no apsūdzības iemesli</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9.1805035777371924E-2"/>
          <c:y val="0.15863162999053271"/>
          <c:w val="0.32756703891101063"/>
          <c:h val="0.75791904311081348"/>
        </c:manualLayout>
      </c:layout>
      <c:pieChart>
        <c:varyColors val="1"/>
        <c:ser>
          <c:idx val="0"/>
          <c:order val="0"/>
          <c:tx>
            <c:strRef>
              <c:f>Sheet1!$B$1</c:f>
              <c:strCache>
                <c:ptCount val="1"/>
                <c:pt idx="0">
                  <c:v>Atteikšanās no apsūdzības iemesli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27-4C84-8296-F9AA43BC843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27-4C84-8296-F9AA43BC843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D27-4C84-8296-F9AA43BC8439}"/>
              </c:ext>
            </c:extLst>
          </c:dPt>
          <c:dLbls>
            <c:dLbl>
              <c:idx val="0"/>
              <c:layout>
                <c:manualLayout>
                  <c:x val="-0.1558131992056126"/>
                  <c:y val="-0.10439397787886485"/>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0"/>
              <c:showSerName val="0"/>
              <c:showPercent val="1"/>
              <c:showBubbleSize val="0"/>
              <c:extLst>
                <c:ext xmlns:c15="http://schemas.microsoft.com/office/drawing/2012/chart" uri="{CE6537A1-D6FC-4f65-9D91-7224C49458BB}">
                  <c15:layout>
                    <c:manualLayout>
                      <c:w val="0.13062499999999999"/>
                      <c:h val="0.1197256592925884"/>
                    </c:manualLayout>
                  </c15:layout>
                </c:ext>
                <c:ext xmlns:c16="http://schemas.microsoft.com/office/drawing/2014/chart" uri="{C3380CC4-5D6E-409C-BE32-E72D297353CC}">
                  <c16:uniqueId val="{00000001-2D27-4C84-8296-F9AA43BC8439}"/>
                </c:ext>
              </c:extLst>
            </c:dLbl>
            <c:dLbl>
              <c:idx val="1"/>
              <c:layout>
                <c:manualLayout>
                  <c:x val="0.10416648439778362"/>
                  <c:y val="-7.2715389742948805E-2"/>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0"/>
              <c:showSerName val="0"/>
              <c:showPercent val="1"/>
              <c:showBubbleSize val="0"/>
              <c:extLst>
                <c:ext xmlns:c15="http://schemas.microsoft.com/office/drawing/2012/chart" uri="{CE6537A1-D6FC-4f65-9D91-7224C49458BB}">
                  <c15:layout>
                    <c:manualLayout>
                      <c:w val="7.9699074074074075E-2"/>
                      <c:h val="0.1031912677581969"/>
                    </c:manualLayout>
                  </c15:layout>
                </c:ext>
                <c:ext xmlns:c16="http://schemas.microsoft.com/office/drawing/2014/chart" uri="{C3380CC4-5D6E-409C-BE32-E72D297353CC}">
                  <c16:uniqueId val="{00000003-2D27-4C84-8296-F9AA43BC8439}"/>
                </c:ext>
              </c:extLst>
            </c:dLbl>
            <c:dLbl>
              <c:idx val="2"/>
              <c:layout>
                <c:manualLayout>
                  <c:x val="9.5746391076115503E-2"/>
                  <c:y val="0.1653118880973211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D27-4C84-8296-F9AA43BC843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3"/>
                <c:pt idx="0">
                  <c:v>Trūkumi pirmstiesas procesā, nepietiekami pierādījumi</c:v>
                </c:pt>
                <c:pt idx="1">
                  <c:v>Grozījumi Krimināllikumā</c:v>
                </c:pt>
                <c:pt idx="2">
                  <c:v>Konstatēti jauni apstākļi iztiesāšanā</c:v>
                </c:pt>
              </c:strCache>
            </c:strRef>
          </c:cat>
          <c:val>
            <c:numRef>
              <c:f>Sheet1!$B$2:$B$4</c:f>
              <c:numCache>
                <c:formatCode>General</c:formatCode>
                <c:ptCount val="3"/>
                <c:pt idx="0">
                  <c:v>6</c:v>
                </c:pt>
                <c:pt idx="1">
                  <c:v>2</c:v>
                </c:pt>
                <c:pt idx="2">
                  <c:v>2</c:v>
                </c:pt>
              </c:numCache>
            </c:numRef>
          </c:val>
          <c:extLst>
            <c:ext xmlns:c16="http://schemas.microsoft.com/office/drawing/2014/chart" uri="{C3380CC4-5D6E-409C-BE32-E72D297353CC}">
              <c16:uniqueId val="{00000006-2D27-4C84-8296-F9AA43BC843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0477967505246679"/>
          <c:y val="0.27448772715727249"/>
          <c:w val="0.40311128409329061"/>
          <c:h val="0.4934223104809846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lv-LV" sz="1200" b="1">
                <a:solidFill>
                  <a:schemeClr val="tx1"/>
                </a:solidFill>
                <a:latin typeface="Times New Roman" panose="02020603050405020304" pitchFamily="18" charset="0"/>
                <a:cs typeface="Times New Roman" panose="02020603050405020304" pitchFamily="18" charset="0"/>
              </a:rPr>
              <a:t>Izvērtētas apsūdzības</a:t>
            </a:r>
            <a:endParaRPr lang="en-US" sz="12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5904145213088795"/>
          <c:y val="2.928257686676427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0-B355-4DF6-86A9-646266C9F1E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1-B355-4DF6-86A9-646266C9F1E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6="http://schemas.microsoft.com/office/drawing/2014/chart" uri="{C3380CC4-5D6E-409C-BE32-E72D297353CC}">
                  <c16:uniqueId val="{00000002-B355-4DF6-86A9-646266C9F1E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241</c:v>
                </c:pt>
                <c:pt idx="1">
                  <c:v>348</c:v>
                </c:pt>
                <c:pt idx="2">
                  <c:v>376</c:v>
                </c:pt>
              </c:numCache>
            </c:numRef>
          </c:val>
          <c:extLst>
            <c:ext xmlns:c16="http://schemas.microsoft.com/office/drawing/2014/chart" uri="{C3380CC4-5D6E-409C-BE32-E72D297353CC}">
              <c16:uniqueId val="{00000003-B355-4DF6-86A9-646266C9F1ED}"/>
            </c:ext>
          </c:extLst>
        </c:ser>
        <c:dLbls>
          <c:showLegendKey val="0"/>
          <c:showVal val="0"/>
          <c:showCatName val="0"/>
          <c:showSerName val="0"/>
          <c:showPercent val="0"/>
          <c:showBubbleSize val="0"/>
        </c:dLbls>
        <c:gapWidth val="219"/>
        <c:overlap val="-27"/>
        <c:axId val="505948448"/>
        <c:axId val="505946152"/>
      </c:barChart>
      <c:catAx>
        <c:axId val="50594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5946152"/>
        <c:crosses val="autoZero"/>
        <c:auto val="1"/>
        <c:lblAlgn val="ctr"/>
        <c:lblOffset val="100"/>
        <c:noMultiLvlLbl val="0"/>
      </c:catAx>
      <c:valAx>
        <c:axId val="50594615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594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Sheet1!$B$1</c:f>
              <c:strCache>
                <c:ptCount val="1"/>
                <c:pt idx="0">
                  <c:v>Nebija nepiciešama iesaiste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Saņemtā informācija un reagēšanas nepieciešamība</c:v>
                </c:pt>
              </c:strCache>
            </c:strRef>
          </c:cat>
          <c:val>
            <c:numRef>
              <c:f>Sheet1!$B$2</c:f>
              <c:numCache>
                <c:formatCode>General</c:formatCode>
                <c:ptCount val="1"/>
                <c:pt idx="0">
                  <c:v>99</c:v>
                </c:pt>
              </c:numCache>
            </c:numRef>
          </c:val>
          <c:extLst>
            <c:ext xmlns:c16="http://schemas.microsoft.com/office/drawing/2014/chart" uri="{C3380CC4-5D6E-409C-BE32-E72D297353CC}">
              <c16:uniqueId val="{00000000-A057-463C-98AD-0DECF227FE5D}"/>
            </c:ext>
          </c:extLst>
        </c:ser>
        <c:ser>
          <c:idx val="1"/>
          <c:order val="1"/>
          <c:tx>
            <c:strRef>
              <c:f>Sheet1!$C$1</c:f>
              <c:strCache>
                <c:ptCount val="1"/>
                <c:pt idx="0">
                  <c:v>Bija nepieciešama iesaiste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4.0498554769261529E-2"/>
                  <c:y val="-3.205091179641396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C2D-4A83-877F-0B09BAA7CCD2}"/>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Saņemtā informācija un reagēšanas nepieciešamība</c:v>
                </c:pt>
              </c:strCache>
            </c:strRef>
          </c:cat>
          <c:val>
            <c:numRef>
              <c:f>Sheet1!$C$2</c:f>
              <c:numCache>
                <c:formatCode>General</c:formatCode>
                <c:ptCount val="1"/>
                <c:pt idx="0">
                  <c:v>7</c:v>
                </c:pt>
              </c:numCache>
            </c:numRef>
          </c:val>
          <c:extLst>
            <c:ext xmlns:c16="http://schemas.microsoft.com/office/drawing/2014/chart" uri="{C3380CC4-5D6E-409C-BE32-E72D297353CC}">
              <c16:uniqueId val="{00000001-A057-463C-98AD-0DECF227FE5D}"/>
            </c:ext>
          </c:extLst>
        </c:ser>
        <c:dLbls>
          <c:dLblPos val="ctr"/>
          <c:showLegendKey val="0"/>
          <c:showVal val="1"/>
          <c:showCatName val="0"/>
          <c:showSerName val="0"/>
          <c:showPercent val="0"/>
          <c:showBubbleSize val="0"/>
        </c:dLbls>
        <c:gapWidth val="150"/>
        <c:axId val="848099304"/>
        <c:axId val="848105864"/>
      </c:barChart>
      <c:catAx>
        <c:axId val="8480993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mn-cs"/>
              </a:defRPr>
            </a:pPr>
            <a:endParaRPr lang="lv-LV"/>
          </a:p>
        </c:txPr>
        <c:crossAx val="848105864"/>
        <c:crosses val="autoZero"/>
        <c:auto val="1"/>
        <c:lblAlgn val="ctr"/>
        <c:lblOffset val="100"/>
        <c:noMultiLvlLbl val="0"/>
      </c:catAx>
      <c:valAx>
        <c:axId val="848105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lv-LV"/>
          </a:p>
        </c:txPr>
        <c:crossAx val="848099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aseline="0">
          <a:solidFill>
            <a:schemeClr val="tx1"/>
          </a:solidFill>
          <a:latin typeface="Times New Roman" panose="02020603050405020304" pitchFamily="18" charset="0"/>
        </a:defRPr>
      </a:pPr>
      <a:endParaRPr lang="lv-LV"/>
    </a:p>
  </c:txPr>
  <c:externalData r:id="rId3">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v-LV" sz="1200" b="1">
                <a:solidFill>
                  <a:sysClr val="windowText" lastClr="000000"/>
                </a:solidFill>
                <a:latin typeface="Times New Roman" panose="02020603050405020304" pitchFamily="18" charset="0"/>
                <a:cs typeface="Times New Roman" panose="02020603050405020304" pitchFamily="18" charset="0"/>
              </a:rPr>
              <a:t>Protesti par tiesu nolēmumiem</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stacked"/>
        <c:varyColors val="0"/>
        <c:ser>
          <c:idx val="0"/>
          <c:order val="0"/>
          <c:tx>
            <c:strRef>
              <c:f>Sheet1!$B$1</c:f>
              <c:strCache>
                <c:ptCount val="1"/>
                <c:pt idx="0">
                  <c:v>Apmierināti</c:v>
                </c:pt>
              </c:strCache>
            </c:strRef>
          </c:tx>
          <c:spPr>
            <a:solidFill>
              <a:schemeClr val="accent1"/>
            </a:solidFill>
            <a:ln>
              <a:noFill/>
            </a:ln>
            <a:effectLst/>
          </c:spPr>
          <c:invertIfNegative val="0"/>
          <c:dLbls>
            <c:dLbl>
              <c:idx val="1"/>
              <c:layout>
                <c:manualLayout>
                  <c:x val="-1.5151515151515152E-2"/>
                  <c:y val="2.5974025974025976E-2"/>
                </c:manualLayout>
              </c:layout>
              <c:showLegendKey val="0"/>
              <c:showVal val="1"/>
              <c:showCatName val="0"/>
              <c:showSerName val="0"/>
              <c:showPercent val="0"/>
              <c:showBubbleSize val="0"/>
              <c:extLst>
                <c:ext xmlns:c15="http://schemas.microsoft.com/office/drawing/2012/chart" uri="{CE6537A1-D6FC-4f65-9D91-7224C49458BB}">
                  <c15:layout>
                    <c:manualLayout>
                      <c:w val="0.12373737373737374"/>
                      <c:h val="9.4155844155844159E-2"/>
                    </c:manualLayout>
                  </c15:layout>
                </c:ext>
                <c:ext xmlns:c16="http://schemas.microsoft.com/office/drawing/2014/chart" uri="{C3380CC4-5D6E-409C-BE32-E72D297353CC}">
                  <c16:uniqueId val="{00000001-090F-4304-97FE-45950A7A79F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Apelācijas</c:v>
                </c:pt>
                <c:pt idx="1">
                  <c:v>Kasācijas</c:v>
                </c:pt>
              </c:strCache>
            </c:strRef>
          </c:cat>
          <c:val>
            <c:numRef>
              <c:f>Sheet1!$B$2:$B$3</c:f>
              <c:numCache>
                <c:formatCode>General</c:formatCode>
                <c:ptCount val="2"/>
                <c:pt idx="0">
                  <c:v>2</c:v>
                </c:pt>
                <c:pt idx="1">
                  <c:v>0</c:v>
                </c:pt>
              </c:numCache>
            </c:numRef>
          </c:val>
          <c:extLst>
            <c:ext xmlns:c16="http://schemas.microsoft.com/office/drawing/2014/chart" uri="{C3380CC4-5D6E-409C-BE32-E72D297353CC}">
              <c16:uniqueId val="{00000000-63B6-46CA-9376-A5946FB6C578}"/>
            </c:ext>
          </c:extLst>
        </c:ser>
        <c:ser>
          <c:idx val="1"/>
          <c:order val="1"/>
          <c:tx>
            <c:strRef>
              <c:f>Sheet1!$C$1</c:f>
              <c:strCache>
                <c:ptCount val="1"/>
                <c:pt idx="0">
                  <c:v>Noraidīti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Apelācijas</c:v>
                </c:pt>
                <c:pt idx="1">
                  <c:v>Kasācijas</c:v>
                </c:pt>
              </c:strCache>
            </c:strRef>
          </c:cat>
          <c:val>
            <c:numRef>
              <c:f>Sheet1!$C$2:$C$3</c:f>
              <c:numCache>
                <c:formatCode>General</c:formatCode>
                <c:ptCount val="2"/>
                <c:pt idx="0">
                  <c:v>6</c:v>
                </c:pt>
                <c:pt idx="1">
                  <c:v>2</c:v>
                </c:pt>
              </c:numCache>
            </c:numRef>
          </c:val>
          <c:extLst>
            <c:ext xmlns:c16="http://schemas.microsoft.com/office/drawing/2014/chart" uri="{C3380CC4-5D6E-409C-BE32-E72D297353CC}">
              <c16:uniqueId val="{00000001-63B6-46CA-9376-A5946FB6C578}"/>
            </c:ext>
          </c:extLst>
        </c:ser>
        <c:ser>
          <c:idx val="2"/>
          <c:order val="2"/>
          <c:tx>
            <c:strRef>
              <c:f>Sheet1!$D$1</c:f>
              <c:strCache>
                <c:ptCount val="1"/>
                <c:pt idx="0">
                  <c:v>Vēl nav izskatīti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Apelācijas</c:v>
                </c:pt>
                <c:pt idx="1">
                  <c:v>Kasācijas</c:v>
                </c:pt>
              </c:strCache>
            </c:strRef>
          </c:cat>
          <c:val>
            <c:numRef>
              <c:f>Sheet1!$D$2:$D$3</c:f>
              <c:numCache>
                <c:formatCode>General</c:formatCode>
                <c:ptCount val="2"/>
                <c:pt idx="0">
                  <c:v>4</c:v>
                </c:pt>
                <c:pt idx="1">
                  <c:v>3</c:v>
                </c:pt>
              </c:numCache>
            </c:numRef>
          </c:val>
          <c:extLst>
            <c:ext xmlns:c16="http://schemas.microsoft.com/office/drawing/2014/chart" uri="{C3380CC4-5D6E-409C-BE32-E72D297353CC}">
              <c16:uniqueId val="{00000002-63B6-46CA-9376-A5946FB6C578}"/>
            </c:ext>
          </c:extLst>
        </c:ser>
        <c:dLbls>
          <c:showLegendKey val="0"/>
          <c:showVal val="0"/>
          <c:showCatName val="0"/>
          <c:showSerName val="0"/>
          <c:showPercent val="0"/>
          <c:showBubbleSize val="0"/>
        </c:dLbls>
        <c:gapWidth val="188"/>
        <c:overlap val="100"/>
        <c:axId val="887643928"/>
        <c:axId val="751255592"/>
      </c:barChart>
      <c:catAx>
        <c:axId val="887643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751255592"/>
        <c:crosses val="autoZero"/>
        <c:auto val="1"/>
        <c:lblAlgn val="ctr"/>
        <c:lblOffset val="100"/>
        <c:noMultiLvlLbl val="0"/>
      </c:catAx>
      <c:valAx>
        <c:axId val="751255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887643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Izstrādāti atzinumi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116</c:v>
                </c:pt>
                <c:pt idx="1">
                  <c:v>84</c:v>
                </c:pt>
                <c:pt idx="2">
                  <c:v>72</c:v>
                </c:pt>
              </c:numCache>
            </c:numRef>
          </c:val>
          <c:extLst>
            <c:ext xmlns:c16="http://schemas.microsoft.com/office/drawing/2014/chart" uri="{C3380CC4-5D6E-409C-BE32-E72D297353CC}">
              <c16:uniqueId val="{00000000-ACDF-408B-8FF1-9DB9A3214460}"/>
            </c:ext>
          </c:extLst>
        </c:ser>
        <c:ser>
          <c:idx val="1"/>
          <c:order val="1"/>
          <c:tx>
            <c:strRef>
              <c:f>Sheet1!$C$1</c:f>
              <c:strCache>
                <c:ptCount val="1"/>
                <c:pt idx="0">
                  <c:v>Sagatavotas vēstules, iekšējie normatīvie akti, u.c. dokumenti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Sheet1!$C$2:$C$4</c:f>
              <c:numCache>
                <c:formatCode>General</c:formatCode>
                <c:ptCount val="3"/>
                <c:pt idx="0">
                  <c:v>342</c:v>
                </c:pt>
                <c:pt idx="1">
                  <c:v>425</c:v>
                </c:pt>
                <c:pt idx="2">
                  <c:v>399</c:v>
                </c:pt>
              </c:numCache>
            </c:numRef>
          </c:val>
          <c:extLst>
            <c:ext xmlns:c16="http://schemas.microsoft.com/office/drawing/2014/chart" uri="{C3380CC4-5D6E-409C-BE32-E72D297353CC}">
              <c16:uniqueId val="{00000001-ACDF-408B-8FF1-9DB9A3214460}"/>
            </c:ext>
          </c:extLst>
        </c:ser>
        <c:ser>
          <c:idx val="2"/>
          <c:order val="2"/>
          <c:tx>
            <c:strRef>
              <c:f>Sheet1!$D$1</c:f>
              <c:strCache>
                <c:ptCount val="1"/>
                <c:pt idx="0">
                  <c:v>Dalība sanāksmēs, darba grupās un apmācību pasākumos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Sheet1!$D$2:$D$4</c:f>
              <c:numCache>
                <c:formatCode>General</c:formatCode>
                <c:ptCount val="3"/>
                <c:pt idx="0">
                  <c:v>426</c:v>
                </c:pt>
                <c:pt idx="1">
                  <c:v>510</c:v>
                </c:pt>
                <c:pt idx="2">
                  <c:v>569</c:v>
                </c:pt>
              </c:numCache>
            </c:numRef>
          </c:val>
          <c:extLst>
            <c:ext xmlns:c16="http://schemas.microsoft.com/office/drawing/2014/chart" uri="{C3380CC4-5D6E-409C-BE32-E72D297353CC}">
              <c16:uniqueId val="{00000002-ACDF-408B-8FF1-9DB9A3214460}"/>
            </c:ext>
          </c:extLst>
        </c:ser>
        <c:dLbls>
          <c:showLegendKey val="0"/>
          <c:showVal val="0"/>
          <c:showCatName val="0"/>
          <c:showSerName val="0"/>
          <c:showPercent val="0"/>
          <c:showBubbleSize val="0"/>
        </c:dLbls>
        <c:gapWidth val="219"/>
        <c:overlap val="-27"/>
        <c:axId val="698983103"/>
        <c:axId val="481531887"/>
      </c:barChart>
      <c:catAx>
        <c:axId val="69898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481531887"/>
        <c:crosses val="autoZero"/>
        <c:auto val="1"/>
        <c:lblAlgn val="ctr"/>
        <c:lblOffset val="100"/>
        <c:noMultiLvlLbl val="0"/>
      </c:catAx>
      <c:valAx>
        <c:axId val="4815318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98983103"/>
        <c:crosses val="autoZero"/>
        <c:crossBetween val="between"/>
      </c:valAx>
      <c:spPr>
        <a:noFill/>
        <a:ln>
          <a:noFill/>
        </a:ln>
        <a:effectLst/>
      </c:spPr>
    </c:plotArea>
    <c:legend>
      <c:legendPos val="b"/>
      <c:layout>
        <c:manualLayout>
          <c:xMode val="edge"/>
          <c:yMode val="edge"/>
          <c:x val="0.10229283839520062"/>
          <c:y val="0.73538414222855963"/>
          <c:w val="0.79541448623269917"/>
          <c:h val="0.2630801975318997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Tiesiskā palīdzība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2018.gads</c:v>
                </c:pt>
                <c:pt idx="1">
                  <c:v>2019.gads</c:v>
                </c:pt>
                <c:pt idx="2">
                  <c:v>2020.gads</c:v>
                </c:pt>
              </c:strCache>
            </c:strRef>
          </c:cat>
          <c:val>
            <c:numRef>
              <c:f>Sheet1!$B$2:$B$4</c:f>
              <c:numCache>
                <c:formatCode>General</c:formatCode>
                <c:ptCount val="3"/>
                <c:pt idx="0">
                  <c:v>1130</c:v>
                </c:pt>
                <c:pt idx="1">
                  <c:v>1480</c:v>
                </c:pt>
                <c:pt idx="2">
                  <c:v>1664</c:v>
                </c:pt>
              </c:numCache>
            </c:numRef>
          </c:val>
          <c:extLst>
            <c:ext xmlns:c16="http://schemas.microsoft.com/office/drawing/2014/chart" uri="{C3380CC4-5D6E-409C-BE32-E72D297353CC}">
              <c16:uniqueId val="{00000000-BBF3-4AEB-83E2-593EE85E56E1}"/>
            </c:ext>
          </c:extLst>
        </c:ser>
        <c:ser>
          <c:idx val="1"/>
          <c:order val="1"/>
          <c:tx>
            <c:strRef>
              <c:f>Sheet1!$C$1</c:f>
              <c:strCache>
                <c:ptCount val="1"/>
                <c:pt idx="0">
                  <c:v>Izdošana un izsludināšana starptautiskā meklēšanā</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2018.gads</c:v>
                </c:pt>
                <c:pt idx="1">
                  <c:v>2019.gads</c:v>
                </c:pt>
                <c:pt idx="2">
                  <c:v>2020.gads</c:v>
                </c:pt>
              </c:strCache>
            </c:strRef>
          </c:cat>
          <c:val>
            <c:numRef>
              <c:f>Sheet1!$C$2:$C$4</c:f>
              <c:numCache>
                <c:formatCode>General</c:formatCode>
                <c:ptCount val="3"/>
                <c:pt idx="0">
                  <c:v>339</c:v>
                </c:pt>
                <c:pt idx="1">
                  <c:v>287</c:v>
                </c:pt>
                <c:pt idx="2">
                  <c:v>218</c:v>
                </c:pt>
              </c:numCache>
            </c:numRef>
          </c:val>
          <c:extLst>
            <c:ext xmlns:c16="http://schemas.microsoft.com/office/drawing/2014/chart" uri="{C3380CC4-5D6E-409C-BE32-E72D297353CC}">
              <c16:uniqueId val="{00000001-BBF3-4AEB-83E2-593EE85E56E1}"/>
            </c:ext>
          </c:extLst>
        </c:ser>
        <c:ser>
          <c:idx val="2"/>
          <c:order val="2"/>
          <c:tx>
            <c:strRef>
              <c:f>Sheet1!$D$1</c:f>
              <c:strCache>
                <c:ptCount val="1"/>
                <c:pt idx="0">
                  <c:v>Kriminālprocesa nodošana/pārņemšana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2018.gads</c:v>
                </c:pt>
                <c:pt idx="1">
                  <c:v>2019.gads</c:v>
                </c:pt>
                <c:pt idx="2">
                  <c:v>2020.gads</c:v>
                </c:pt>
              </c:strCache>
            </c:strRef>
          </c:cat>
          <c:val>
            <c:numRef>
              <c:f>Sheet1!$D$2:$D$4</c:f>
              <c:numCache>
                <c:formatCode>General</c:formatCode>
                <c:ptCount val="3"/>
                <c:pt idx="0">
                  <c:v>61</c:v>
                </c:pt>
                <c:pt idx="1">
                  <c:v>59</c:v>
                </c:pt>
                <c:pt idx="2">
                  <c:v>76</c:v>
                </c:pt>
              </c:numCache>
            </c:numRef>
          </c:val>
          <c:extLst>
            <c:ext xmlns:c16="http://schemas.microsoft.com/office/drawing/2014/chart" uri="{C3380CC4-5D6E-409C-BE32-E72D297353CC}">
              <c16:uniqueId val="{00000002-BBF3-4AEB-83E2-593EE85E56E1}"/>
            </c:ext>
          </c:extLst>
        </c:ser>
        <c:dLbls>
          <c:showLegendKey val="0"/>
          <c:showVal val="0"/>
          <c:showCatName val="0"/>
          <c:showSerName val="0"/>
          <c:showPercent val="0"/>
          <c:showBubbleSize val="0"/>
        </c:dLbls>
        <c:gapWidth val="219"/>
        <c:overlap val="-27"/>
        <c:axId val="476959632"/>
        <c:axId val="476958648"/>
      </c:barChart>
      <c:catAx>
        <c:axId val="47695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476958648"/>
        <c:crosses val="autoZero"/>
        <c:auto val="1"/>
        <c:lblAlgn val="ctr"/>
        <c:lblOffset val="100"/>
        <c:noMultiLvlLbl val="0"/>
      </c:catAx>
      <c:valAx>
        <c:axId val="476958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76959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Starptautiskās tiesiskās palīdzības lūgumu pēc Krimināllikuma 195. panta skaits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'[Chart in Microsoft Word]Sheet1'!$B$1</c:f>
              <c:strCache>
                <c:ptCount val="1"/>
                <c:pt idx="0">
                  <c:v>Latvijas sagatavotie tiesiskās palīdzības lūgumi pēc KL 195.panta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Word]Sheet1'!$A$2:$A$4</c:f>
              <c:strCache>
                <c:ptCount val="3"/>
                <c:pt idx="0">
                  <c:v>2018.gads</c:v>
                </c:pt>
                <c:pt idx="1">
                  <c:v>2019.gads</c:v>
                </c:pt>
                <c:pt idx="2">
                  <c:v>2020.gads</c:v>
                </c:pt>
              </c:strCache>
            </c:strRef>
          </c:cat>
          <c:val>
            <c:numRef>
              <c:f>'[Chart in Microsoft Word]Sheet1'!$B$2:$B$4</c:f>
              <c:numCache>
                <c:formatCode>General</c:formatCode>
                <c:ptCount val="3"/>
                <c:pt idx="0">
                  <c:v>88</c:v>
                </c:pt>
                <c:pt idx="1">
                  <c:v>237</c:v>
                </c:pt>
                <c:pt idx="2">
                  <c:v>374</c:v>
                </c:pt>
              </c:numCache>
            </c:numRef>
          </c:val>
          <c:extLst>
            <c:ext xmlns:c16="http://schemas.microsoft.com/office/drawing/2014/chart" uri="{C3380CC4-5D6E-409C-BE32-E72D297353CC}">
              <c16:uniqueId val="{00000000-5B91-4973-8CDB-D8BFBED499B8}"/>
            </c:ext>
          </c:extLst>
        </c:ser>
        <c:ser>
          <c:idx val="1"/>
          <c:order val="1"/>
          <c:tx>
            <c:strRef>
              <c:f>'[Chart in Microsoft Word]Sheet1'!$C$1</c:f>
              <c:strCache>
                <c:ptCount val="1"/>
                <c:pt idx="0">
                  <c:v>No ārvalstīm saņemtie tiesiskās palīdzības lūgumi pēc KL 195.panta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Word]Sheet1'!$A$2:$A$4</c:f>
              <c:strCache>
                <c:ptCount val="3"/>
                <c:pt idx="0">
                  <c:v>2018.gads</c:v>
                </c:pt>
                <c:pt idx="1">
                  <c:v>2019.gads</c:v>
                </c:pt>
                <c:pt idx="2">
                  <c:v>2020.gads</c:v>
                </c:pt>
              </c:strCache>
            </c:strRef>
          </c:cat>
          <c:val>
            <c:numRef>
              <c:f>'[Chart in Microsoft Word]Sheet1'!$C$2:$C$4</c:f>
              <c:numCache>
                <c:formatCode>General</c:formatCode>
                <c:ptCount val="3"/>
                <c:pt idx="0">
                  <c:v>161</c:v>
                </c:pt>
                <c:pt idx="1">
                  <c:v>234</c:v>
                </c:pt>
                <c:pt idx="2">
                  <c:v>225</c:v>
                </c:pt>
              </c:numCache>
            </c:numRef>
          </c:val>
          <c:extLst>
            <c:ext xmlns:c16="http://schemas.microsoft.com/office/drawing/2014/chart" uri="{C3380CC4-5D6E-409C-BE32-E72D297353CC}">
              <c16:uniqueId val="{00000001-5B91-4973-8CDB-D8BFBED499B8}"/>
            </c:ext>
          </c:extLst>
        </c:ser>
        <c:dLbls>
          <c:showLegendKey val="0"/>
          <c:showVal val="0"/>
          <c:showCatName val="0"/>
          <c:showSerName val="0"/>
          <c:showPercent val="0"/>
          <c:showBubbleSize val="0"/>
        </c:dLbls>
        <c:gapWidth val="219"/>
        <c:overlap val="-27"/>
        <c:axId val="700977728"/>
        <c:axId val="700972480"/>
      </c:barChart>
      <c:catAx>
        <c:axId val="70097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700972480"/>
        <c:crosses val="autoZero"/>
        <c:auto val="1"/>
        <c:lblAlgn val="ctr"/>
        <c:lblOffset val="100"/>
        <c:noMultiLvlLbl val="0"/>
      </c:catAx>
      <c:valAx>
        <c:axId val="700972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70097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effectLst/>
                <a:latin typeface="Times New Roman" panose="02020603050405020304" pitchFamily="18" charset="0"/>
                <a:cs typeface="Times New Roman" panose="02020603050405020304" pitchFamily="18" charset="0"/>
              </a:rPr>
              <a:t>Amatpersonu lēmumi par operatīvās darbības pasākumiem, kurus izskatīja ģenerālprokurora īpaši pilnvaroti prokurori</a:t>
            </a:r>
            <a:endParaRPr lang="lv-LV" sz="1200" b="1"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1558352528841517"/>
          <c:y val="1.899583027415991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manualLayout>
          <c:layoutTarget val="inner"/>
          <c:xMode val="edge"/>
          <c:yMode val="edge"/>
          <c:x val="4.8375065740527169E-2"/>
          <c:y val="0.16812390677858458"/>
          <c:w val="0.93229538593857686"/>
          <c:h val="0.70142204726795154"/>
        </c:manualLayout>
      </c:layout>
      <c:barChart>
        <c:barDir val="col"/>
        <c:grouping val="clustered"/>
        <c:varyColors val="0"/>
        <c:ser>
          <c:idx val="0"/>
          <c:order val="0"/>
          <c:tx>
            <c:strRef>
              <c:f>Sheet1!$B$15</c:f>
              <c:strCache>
                <c:ptCount val="1"/>
                <c:pt idx="0">
                  <c:v>Akcepts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Sheet1!$A$16:$A$25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Sheet1!$B$16:$B$25</c:f>
              <c:numCache>
                <c:formatCode>General</c:formatCode>
                <c:ptCount val="10"/>
                <c:pt idx="0">
                  <c:v>303</c:v>
                </c:pt>
                <c:pt idx="1">
                  <c:v>244</c:v>
                </c:pt>
                <c:pt idx="2">
                  <c:v>150</c:v>
                </c:pt>
                <c:pt idx="3">
                  <c:v>192</c:v>
                </c:pt>
                <c:pt idx="4">
                  <c:v>183</c:v>
                </c:pt>
                <c:pt idx="5">
                  <c:v>161</c:v>
                </c:pt>
                <c:pt idx="6">
                  <c:v>157</c:v>
                </c:pt>
                <c:pt idx="7">
                  <c:v>152</c:v>
                </c:pt>
                <c:pt idx="8">
                  <c:v>108</c:v>
                </c:pt>
                <c:pt idx="9">
                  <c:v>141</c:v>
                </c:pt>
              </c:numCache>
            </c:numRef>
          </c:val>
          <c:extLst>
            <c:ext xmlns:c16="http://schemas.microsoft.com/office/drawing/2014/chart" uri="{C3380CC4-5D6E-409C-BE32-E72D297353CC}">
              <c16:uniqueId val="{00000000-7032-4A86-BC7F-15CF13E849B8}"/>
            </c:ext>
          </c:extLst>
        </c:ser>
        <c:ser>
          <c:idx val="1"/>
          <c:order val="1"/>
          <c:tx>
            <c:strRef>
              <c:f>Sheet1!$C$15</c:f>
              <c:strCache>
                <c:ptCount val="1"/>
                <c:pt idx="0">
                  <c:v>Atteikums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Sheet1!$A$16:$A$25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Sheet1!$C$16:$C$25</c:f>
              <c:numCache>
                <c:formatCode>General</c:formatCode>
                <c:ptCount val="10"/>
                <c:pt idx="0">
                  <c:v>5</c:v>
                </c:pt>
                <c:pt idx="1">
                  <c:v>19</c:v>
                </c:pt>
                <c:pt idx="2">
                  <c:v>5</c:v>
                </c:pt>
                <c:pt idx="3">
                  <c:v>4</c:v>
                </c:pt>
                <c:pt idx="4">
                  <c:v>4</c:v>
                </c:pt>
                <c:pt idx="5">
                  <c:v>12</c:v>
                </c:pt>
                <c:pt idx="6">
                  <c:v>9</c:v>
                </c:pt>
                <c:pt idx="7">
                  <c:v>6</c:v>
                </c:pt>
                <c:pt idx="8">
                  <c:v>3</c:v>
                </c:pt>
                <c:pt idx="9">
                  <c:v>2</c:v>
                </c:pt>
              </c:numCache>
            </c:numRef>
          </c:val>
          <c:extLst>
            <c:ext xmlns:c16="http://schemas.microsoft.com/office/drawing/2014/chart" uri="{C3380CC4-5D6E-409C-BE32-E72D297353CC}">
              <c16:uniqueId val="{00000001-7032-4A86-BC7F-15CF13E849B8}"/>
            </c:ext>
          </c:extLst>
        </c:ser>
        <c:ser>
          <c:idx val="2"/>
          <c:order val="2"/>
          <c:tx>
            <c:strRef>
              <c:f>Sheet1!$D$15</c:f>
              <c:strCache>
                <c:ptCount val="1"/>
                <c:pt idx="0">
                  <c:v>Uzziņa KPL 127.p.4.d.</c:v>
                </c:pt>
              </c:strCache>
            </c:strRef>
          </c:tx>
          <c:spPr>
            <a:solidFill>
              <a:srgbClr val="00B050"/>
            </a:solidFill>
            <a:ln>
              <a:noFill/>
            </a:ln>
            <a:effectLst/>
          </c:spPr>
          <c:invertIfNegative val="0"/>
          <c:dLbls>
            <c:dLbl>
              <c:idx val="5"/>
              <c:layout>
                <c:manualLayout>
                  <c:x val="1.0765711209796797E-2"/>
                  <c:y val="4.4065804935369095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manualLayout>
                      <c:w val="6.4594267258780785E-2"/>
                      <c:h val="5.1410105757931847E-2"/>
                    </c:manualLayout>
                  </c15:layout>
                </c:ext>
                <c:ext xmlns:c16="http://schemas.microsoft.com/office/drawing/2014/chart" uri="{C3380CC4-5D6E-409C-BE32-E72D297353CC}">
                  <c16:uniqueId val="{00000000-8ECB-4D1B-9574-49F1FE6B1EC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Sheet1!$A$16:$A$25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Sheet1!$D$16:$D$25</c:f>
              <c:numCache>
                <c:formatCode>General</c:formatCode>
                <c:ptCount val="10"/>
                <c:pt idx="0">
                  <c:v>55</c:v>
                </c:pt>
                <c:pt idx="1">
                  <c:v>44</c:v>
                </c:pt>
                <c:pt idx="2">
                  <c:v>25</c:v>
                </c:pt>
                <c:pt idx="3">
                  <c:v>8</c:v>
                </c:pt>
                <c:pt idx="4">
                  <c:v>12</c:v>
                </c:pt>
                <c:pt idx="5">
                  <c:v>10</c:v>
                </c:pt>
                <c:pt idx="6">
                  <c:v>10</c:v>
                </c:pt>
                <c:pt idx="7">
                  <c:v>3</c:v>
                </c:pt>
                <c:pt idx="8">
                  <c:v>1</c:v>
                </c:pt>
                <c:pt idx="9">
                  <c:v>4</c:v>
                </c:pt>
              </c:numCache>
            </c:numRef>
          </c:val>
          <c:extLst>
            <c:ext xmlns:c16="http://schemas.microsoft.com/office/drawing/2014/chart" uri="{C3380CC4-5D6E-409C-BE32-E72D297353CC}">
              <c16:uniqueId val="{00000002-7032-4A86-BC7F-15CF13E849B8}"/>
            </c:ext>
          </c:extLst>
        </c:ser>
        <c:dLbls>
          <c:dLblPos val="outEnd"/>
          <c:showLegendKey val="0"/>
          <c:showVal val="1"/>
          <c:showCatName val="0"/>
          <c:showSerName val="0"/>
          <c:showPercent val="0"/>
          <c:showBubbleSize val="0"/>
        </c:dLbls>
        <c:gapWidth val="219"/>
        <c:overlap val="-27"/>
        <c:axId val="657391743"/>
        <c:axId val="657398399"/>
      </c:barChart>
      <c:catAx>
        <c:axId val="657391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657398399"/>
        <c:crosses val="autoZero"/>
        <c:auto val="1"/>
        <c:lblAlgn val="ctr"/>
        <c:lblOffset val="100"/>
        <c:noMultiLvlLbl val="0"/>
      </c:catAx>
      <c:valAx>
        <c:axId val="6573983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57391743"/>
        <c:crosses val="autoZero"/>
        <c:crossBetween val="between"/>
      </c:valAx>
      <c:spPr>
        <a:noFill/>
        <a:ln>
          <a:noFill/>
        </a:ln>
        <a:effectLst/>
      </c:spPr>
    </c:plotArea>
    <c:legend>
      <c:legendPos val="b"/>
      <c:overlay val="0"/>
      <c:spPr>
        <a:solidFill>
          <a:schemeClr val="bg1"/>
        </a:solid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Tiesai nodotas kimināllietas, no tām vienošanās procesa kārtībā</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3.3794162826420893E-2"/>
          <c:y val="0.30647482014388489"/>
          <c:w val="0.93241167434715821"/>
          <c:h val="0.48838101172605225"/>
        </c:manualLayout>
      </c:layout>
      <c:barChart>
        <c:barDir val="col"/>
        <c:grouping val="clustered"/>
        <c:varyColors val="0"/>
        <c:ser>
          <c:idx val="1"/>
          <c:order val="0"/>
          <c:tx>
            <c:strRef>
              <c:f>I_tiesas_apgabala_prok!$E$5:$E$7</c:f>
              <c:strCache>
                <c:ptCount val="3"/>
                <c:pt idx="0">
                  <c:v>2018</c:v>
                </c:pt>
                <c:pt idx="1">
                  <c:v>2019</c:v>
                </c:pt>
                <c:pt idx="2">
                  <c:v>2020</c:v>
                </c:pt>
              </c:strCache>
            </c:strRef>
          </c:tx>
          <c:spPr>
            <a:solidFill>
              <a:schemeClr val="accent3"/>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I_tiesas_apgabala_prok!$F$5:$F$7</c:f>
              <c:numCache>
                <c:formatCode>General</c:formatCode>
                <c:ptCount val="3"/>
                <c:pt idx="0">
                  <c:v>161</c:v>
                </c:pt>
                <c:pt idx="1">
                  <c:v>168</c:v>
                </c:pt>
                <c:pt idx="2">
                  <c:v>131</c:v>
                </c:pt>
              </c:numCache>
            </c:numRef>
          </c:val>
          <c:extLst>
            <c:ext xmlns:c16="http://schemas.microsoft.com/office/drawing/2014/chart" uri="{C3380CC4-5D6E-409C-BE32-E72D297353CC}">
              <c16:uniqueId val="{00000000-4127-43BD-BBC1-C9A880DDDA12}"/>
            </c:ext>
          </c:extLst>
        </c:ser>
        <c:ser>
          <c:idx val="0"/>
          <c:order val="1"/>
          <c:tx>
            <c:strRef>
              <c:f>I_tiesas_apgabala_prok!$E$5:$E$7</c:f>
              <c:strCache>
                <c:ptCount val="3"/>
                <c:pt idx="0">
                  <c:v>2018</c:v>
                </c:pt>
                <c:pt idx="1">
                  <c:v>2019</c:v>
                </c:pt>
                <c:pt idx="2">
                  <c:v>2020</c:v>
                </c:pt>
              </c:strCache>
            </c:strRef>
          </c:tx>
          <c:spPr>
            <a:solidFill>
              <a:schemeClr val="accent1"/>
            </a:solidFill>
            <a:ln w="6350" cap="flat" cmpd="sng" algn="ctr">
              <a:solidFill>
                <a:schemeClr val="accent1">
                  <a:shade val="50000"/>
                </a:schemeClr>
              </a:solidFill>
              <a:prstDash val="solid"/>
              <a:round/>
            </a:ln>
            <a:effectLst/>
          </c:spPr>
          <c:invertIfNegative val="0"/>
          <c:dLbls>
            <c:dLbl>
              <c:idx val="0"/>
              <c:layout>
                <c:manualLayout>
                  <c:x val="4.5442519685039368E-3"/>
                  <c:y val="8.1737948224097884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7.7955023622047245E-2"/>
                      <c:h val="0.21223021582733814"/>
                    </c:manualLayout>
                  </c15:layout>
                </c:ext>
                <c:ext xmlns:c16="http://schemas.microsoft.com/office/drawing/2014/chart" uri="{C3380CC4-5D6E-409C-BE32-E72D297353CC}">
                  <c16:uniqueId val="{00000000-4B7E-449D-A67C-27750A85480F}"/>
                </c:ext>
              </c:extLst>
            </c:dLbl>
            <c:dLbl>
              <c:idx val="1"/>
              <c:layout>
                <c:manualLayout>
                  <c:x val="0"/>
                  <c:y val="3.22704356200079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7E-449D-A67C-27750A85480F}"/>
                </c:ext>
              </c:extLst>
            </c:dLbl>
            <c:dLbl>
              <c:idx val="2"/>
              <c:layout>
                <c:manualLayout>
                  <c:x val="2.508976377952752E-3"/>
                  <c:y val="8.0451481334617408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0572976377952746E-2"/>
                      <c:h val="0.19784172661870503"/>
                    </c:manualLayout>
                  </c15:layout>
                </c:ext>
                <c:ext xmlns:c16="http://schemas.microsoft.com/office/drawing/2014/chart" uri="{C3380CC4-5D6E-409C-BE32-E72D297353CC}">
                  <c16:uniqueId val="{00000002-4B7E-449D-A67C-27750A85480F}"/>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I_tiesas_apgabala_prok!$G$5:$G$7</c:f>
              <c:numCache>
                <c:formatCode>General</c:formatCode>
                <c:ptCount val="3"/>
                <c:pt idx="0">
                  <c:v>32</c:v>
                </c:pt>
                <c:pt idx="1">
                  <c:v>25</c:v>
                </c:pt>
                <c:pt idx="2">
                  <c:v>30</c:v>
                </c:pt>
              </c:numCache>
            </c:numRef>
          </c:val>
          <c:extLst>
            <c:ext xmlns:c16="http://schemas.microsoft.com/office/drawing/2014/chart" uri="{C3380CC4-5D6E-409C-BE32-E72D297353CC}">
              <c16:uniqueId val="{00000001-4127-43BD-BBC1-C9A880DDDA12}"/>
            </c:ext>
          </c:extLst>
        </c:ser>
        <c:dLbls>
          <c:showLegendKey val="0"/>
          <c:showVal val="0"/>
          <c:showCatName val="0"/>
          <c:showSerName val="0"/>
          <c:showPercent val="0"/>
          <c:showBubbleSize val="0"/>
        </c:dLbls>
        <c:gapWidth val="150"/>
        <c:axId val="51186688"/>
        <c:axId val="139997952"/>
      </c:barChart>
      <c:catAx>
        <c:axId val="51186688"/>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39997952"/>
        <c:crosses val="autoZero"/>
        <c:auto val="1"/>
        <c:lblAlgn val="ctr"/>
        <c:lblOffset val="100"/>
        <c:noMultiLvlLbl val="0"/>
      </c:catAx>
      <c:valAx>
        <c:axId val="139997952"/>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51186688"/>
        <c:crosses val="autoZero"/>
        <c:crossBetween val="between"/>
      </c:valAx>
      <c:spPr>
        <a:solidFill>
          <a:schemeClr val="accent1">
            <a:tint val="20000"/>
          </a:schemeClr>
        </a:solidFill>
        <a:ln>
          <a:noFill/>
        </a:ln>
        <a:effectLst/>
      </c:spPr>
    </c:plotArea>
    <c:plotVisOnly val="1"/>
    <c:dispBlanksAs val="gap"/>
    <c:showDLblsOverMax val="0"/>
  </c:chart>
  <c:spPr>
    <a:solidFill>
      <a:schemeClr val="lt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Ar prokuroru profesionālās darbības novērtēšanu saistīti jautājumi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2983508245877063E-2"/>
          <c:y val="0.2397984886649874"/>
          <c:w val="0.94002998500749635"/>
          <c:h val="0.3956841666831948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18C-48DA-95A5-84D096B3981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18C-48DA-95A5-84D096B3981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18C-48DA-95A5-84D096B3981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18C-48DA-95A5-84D096B39812}"/>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Sheet1!$B$2:$B$5</c:f>
              <c:strCache>
                <c:ptCount val="4"/>
                <c:pt idx="0">
                  <c:v>Negatīvi novērtēta prokurora profesionālā darbība</c:v>
                </c:pt>
                <c:pt idx="1">
                  <c:v>Noteikts konkrēts uzdevums profesionālās darbības uzlabošanai</c:v>
                </c:pt>
                <c:pt idx="2">
                  <c:v>Uzdots veikt papildu pārbaudi par prokurora darba kvalitāti</c:v>
                </c:pt>
                <c:pt idx="3">
                  <c:v>Profesionālā darbība novērtēta pozitīvi</c:v>
                </c:pt>
              </c:strCache>
            </c:strRef>
          </c:cat>
          <c:val>
            <c:numRef>
              <c:f>Sheet1!$C$2:$C$5</c:f>
              <c:numCache>
                <c:formatCode>General</c:formatCode>
                <c:ptCount val="4"/>
                <c:pt idx="0">
                  <c:v>5</c:v>
                </c:pt>
                <c:pt idx="1">
                  <c:v>5</c:v>
                </c:pt>
                <c:pt idx="2">
                  <c:v>6</c:v>
                </c:pt>
                <c:pt idx="3">
                  <c:v>115</c:v>
                </c:pt>
              </c:numCache>
            </c:numRef>
          </c:val>
          <c:extLst>
            <c:ext xmlns:c16="http://schemas.microsoft.com/office/drawing/2014/chart" uri="{C3380CC4-5D6E-409C-BE32-E72D297353CC}">
              <c16:uniqueId val="{00000008-E18C-48DA-95A5-84D096B3981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i="0" baseline="0">
                <a:solidFill>
                  <a:schemeClr val="tx1"/>
                </a:solidFill>
                <a:latin typeface="Times New Roman" panose="02020603050405020304" pitchFamily="18" charset="0"/>
              </a:rPr>
              <a:t>Prokurora karjeras jautājumi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99094216671192"/>
          <c:y val="0.17306426517044654"/>
          <c:w val="0.67927950040727669"/>
          <c:h val="0.3929327172426799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EB6-46C7-84DB-EA0F1703CB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EB6-46C7-84DB-EA0F1703CB3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EB6-46C7-84DB-EA0F1703CB3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EB6-46C7-84DB-EA0F1703CB36}"/>
              </c:ext>
            </c:extLst>
          </c:dPt>
          <c:dLbls>
            <c:dLbl>
              <c:idx val="2"/>
              <c:layout>
                <c:manualLayout>
                  <c:x val="4.3824146981627295E-2"/>
                  <c:y val="3.506415864683581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EB6-46C7-84DB-EA0F1703CB3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mn-cs"/>
                  </a:defRPr>
                </a:pPr>
                <a:endParaRPr lang="lv-LV"/>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Sheet1!$F$2:$F$5</c:f>
              <c:strCache>
                <c:ptCount val="4"/>
                <c:pt idx="0">
                  <c:v>Prokurora paaugstināšana amatā</c:v>
                </c:pt>
                <c:pt idx="1">
                  <c:v>Atbilst prokurora amata kandidāta statusam (uzsāk stažēties)</c:v>
                </c:pt>
                <c:pt idx="2">
                  <c:v>Neatbilst prokurora amata kandidāta statusam (netiek pielaisti stažēties)</c:v>
                </c:pt>
                <c:pt idx="3">
                  <c:v>Atbilst prokurora amatam (pēc stažēšanās tiek iecelti amatā)</c:v>
                </c:pt>
              </c:strCache>
            </c:strRef>
          </c:cat>
          <c:val>
            <c:numRef>
              <c:f>Sheet1!$G$2:$G$5</c:f>
              <c:numCache>
                <c:formatCode>General</c:formatCode>
                <c:ptCount val="4"/>
                <c:pt idx="0">
                  <c:v>34</c:v>
                </c:pt>
                <c:pt idx="1">
                  <c:v>44</c:v>
                </c:pt>
                <c:pt idx="2">
                  <c:v>3</c:v>
                </c:pt>
                <c:pt idx="3">
                  <c:v>9</c:v>
                </c:pt>
              </c:numCache>
            </c:numRef>
          </c:val>
          <c:extLst>
            <c:ext xmlns:c16="http://schemas.microsoft.com/office/drawing/2014/chart" uri="{C3380CC4-5D6E-409C-BE32-E72D297353CC}">
              <c16:uniqueId val="{00000008-5EB6-46C7-84DB-EA0F1703CB36}"/>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mn-cs"/>
              </a:defRPr>
            </a:pPr>
            <a:r>
              <a:rPr lang="lv-LV" sz="1200" b="1" i="0" baseline="0">
                <a:solidFill>
                  <a:schemeClr val="tx1"/>
                </a:solidFill>
                <a:latin typeface="Times New Roman" panose="02020603050405020304" pitchFamily="18" charset="0"/>
              </a:rPr>
              <a:t>Disciplināratbildības jautājumi</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mn-cs"/>
            </a:defRPr>
          </a:pPr>
          <a:endParaRPr lang="lv-LV"/>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761320928419017E-2"/>
          <c:y val="0.20031559102397664"/>
          <c:w val="0.90723867907158096"/>
          <c:h val="0.3966124199448799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978-446A-A57E-A005C16DF54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978-446A-A57E-A005C16DF54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978-446A-A57E-A005C16DF549}"/>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mn-cs"/>
                  </a:defRPr>
                </a:pPr>
                <a:endParaRPr lang="lv-LV"/>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Sheet1!$B$11:$B$13</c:f>
              <c:strCache>
                <c:ptCount val="3"/>
                <c:pt idx="0">
                  <c:v>Atzinums piemērot disciplinārsodu</c:v>
                </c:pt>
                <c:pt idx="1">
                  <c:v>Konstatēts pārkāpums, bet tā smagums nav uzskatāms par tādu, lai piemērotu disciplinārsodu</c:v>
                </c:pt>
                <c:pt idx="2">
                  <c:v>Nav konstatēts pārkāpums</c:v>
                </c:pt>
              </c:strCache>
            </c:strRef>
          </c:cat>
          <c:val>
            <c:numRef>
              <c:f>Sheet1!$C$11:$C$13</c:f>
              <c:numCache>
                <c:formatCode>General</c:formatCode>
                <c:ptCount val="3"/>
                <c:pt idx="0">
                  <c:v>2</c:v>
                </c:pt>
                <c:pt idx="1">
                  <c:v>5</c:v>
                </c:pt>
                <c:pt idx="2">
                  <c:v>1</c:v>
                </c:pt>
              </c:numCache>
            </c:numRef>
          </c:val>
          <c:extLst>
            <c:ext xmlns:c16="http://schemas.microsoft.com/office/drawing/2014/chart" uri="{C3380CC4-5D6E-409C-BE32-E72D297353CC}">
              <c16:uniqueId val="{00000006-5978-446A-A57E-A005C16DF549}"/>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5.1341986069312964E-2"/>
          <c:y val="0.62674564978852254"/>
          <c:w val="0.8557013790906195"/>
          <c:h val="0.3685512165620278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lv-LV" sz="1200" baseline="0">
                <a:solidFill>
                  <a:schemeClr val="tx2"/>
                </a:solidFill>
                <a:latin typeface="Times New Roman" panose="02020603050405020304" pitchFamily="18" charset="0"/>
                <a:cs typeface="Times New Roman" panose="02020603050405020304" pitchFamily="18" charset="0"/>
              </a:rPr>
              <a:t>Kopējais prokurora amata pretendentu skaits</a:t>
            </a:r>
            <a:endParaRPr lang="en-US" sz="1200" baseline="0">
              <a:solidFill>
                <a:schemeClr val="tx2"/>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lv-LV"/>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bar"/>
        <c:grouping val="clustered"/>
        <c:varyColors val="0"/>
        <c:ser>
          <c:idx val="0"/>
          <c:order val="0"/>
          <c:tx>
            <c:strRef>
              <c:f>Sheet1!$B$1</c:f>
              <c:strCache>
                <c:ptCount val="1"/>
                <c:pt idx="0">
                  <c:v>prokurora amata pretendenti</c:v>
                </c:pt>
              </c:strCache>
            </c:strRef>
          </c:tx>
          <c:spPr>
            <a:gradFill rotWithShape="1">
              <a:gsLst>
                <a:gs pos="73000">
                  <a:srgbClr val="D60093"/>
                </a:gs>
                <a:gs pos="92000">
                  <a:srgbClr val="990099"/>
                </a:gs>
                <a:gs pos="1000">
                  <a:schemeClr val="accent1">
                    <a:lumMod val="0"/>
                    <a:lumOff val="100000"/>
                  </a:schemeClr>
                </a:gs>
                <a:gs pos="43000">
                  <a:schemeClr val="accent1">
                    <a:lumMod val="100000"/>
                  </a:schemeClr>
                </a:gs>
              </a:gsLst>
              <a:lin ang="2700000" scaled="1"/>
            </a:gradFill>
            <a:ln>
              <a:noFill/>
            </a:ln>
            <a:effectLst/>
            <a:sp3d/>
          </c:spPr>
          <c:invertIfNegative val="0"/>
          <c:dLbls>
            <c:dLbl>
              <c:idx val="0"/>
              <c:layout>
                <c:manualLayout>
                  <c:x val="-8.8423537757707629E-2"/>
                  <c:y val="3.6997179257516411E-3"/>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fld id="{31131342-02D1-454C-B101-86C8BD700F72}" type="VALUE">
                      <a:rPr lang="en-US" sz="1200" baseline="0">
                        <a:solidFill>
                          <a:schemeClr val="bg1"/>
                        </a:solidFill>
                        <a:latin typeface="Times New Roman" panose="02020603050405020304" pitchFamily="18" charset="0"/>
                      </a:rPr>
                      <a:pPr>
                        <a:defRPr sz="1200" b="1">
                          <a:solidFill>
                            <a:schemeClr val="bg1"/>
                          </a:solidFill>
                          <a:latin typeface="Times New Roman" panose="02020603050405020304" pitchFamily="18" charset="0"/>
                        </a:defRPr>
                      </a:pPr>
                      <a:t>[VALUE]</a:t>
                    </a:fld>
                    <a:endParaRPr lang="lv-LV"/>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46B-4165-A17E-5E00A2E24543}"/>
                </c:ext>
              </c:extLst>
            </c:dLbl>
            <c:dLbl>
              <c:idx val="1"/>
              <c:layout>
                <c:manualLayout>
                  <c:x val="-0.10474920048895558"/>
                  <c:y val="0"/>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fld id="{9255A2F0-2D67-4DBC-8368-91DDD41AD00A}" type="VALUE">
                      <a:rPr lang="en-US" sz="1200" baseline="0">
                        <a:solidFill>
                          <a:schemeClr val="bg1"/>
                        </a:solidFill>
                        <a:latin typeface="Times New Roman" panose="02020603050405020304" pitchFamily="18" charset="0"/>
                      </a:rPr>
                      <a:pPr>
                        <a:defRPr sz="1200" b="1">
                          <a:solidFill>
                            <a:schemeClr val="bg1"/>
                          </a:solidFill>
                          <a:latin typeface="Times New Roman" panose="02020603050405020304" pitchFamily="18" charset="0"/>
                        </a:defRPr>
                      </a:pPr>
                      <a:t>[VALUE]</a:t>
                    </a:fld>
                    <a:endParaRPr lang="lv-LV"/>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46B-4165-A17E-5E00A2E24543}"/>
                </c:ext>
              </c:extLst>
            </c:dLbl>
            <c:dLbl>
              <c:idx val="2"/>
              <c:layout>
                <c:manualLayout>
                  <c:x val="-0.10427855212697598"/>
                  <c:y val="5.4476424742319282E-4"/>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fld id="{33E6E104-E556-4588-9574-6525CE2F4CFB}" type="VALUE">
                      <a:rPr lang="en-US" sz="1200" baseline="0">
                        <a:solidFill>
                          <a:schemeClr val="bg1"/>
                        </a:solidFill>
                        <a:latin typeface="Times New Roman" panose="02020603050405020304" pitchFamily="18" charset="0"/>
                      </a:rPr>
                      <a:pPr>
                        <a:defRPr sz="1200" b="1">
                          <a:solidFill>
                            <a:schemeClr val="bg1"/>
                          </a:solidFill>
                          <a:latin typeface="Times New Roman" panose="02020603050405020304" pitchFamily="18" charset="0"/>
                        </a:defRPr>
                      </a:pPr>
                      <a:t>[VALUE]</a:t>
                    </a:fld>
                    <a:endParaRPr lang="lv-LV"/>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F46B-4165-A17E-5E00A2E2454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2"/>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66</c:v>
                </c:pt>
                <c:pt idx="1">
                  <c:v>154</c:v>
                </c:pt>
                <c:pt idx="2">
                  <c:v>152</c:v>
                </c:pt>
              </c:numCache>
            </c:numRef>
          </c:val>
          <c:extLst>
            <c:ext xmlns:c16="http://schemas.microsoft.com/office/drawing/2014/chart" uri="{C3380CC4-5D6E-409C-BE32-E72D297353CC}">
              <c16:uniqueId val="{00000003-F46B-4165-A17E-5E00A2E24543}"/>
            </c:ext>
          </c:extLst>
        </c:ser>
        <c:dLbls>
          <c:showLegendKey val="0"/>
          <c:showVal val="0"/>
          <c:showCatName val="0"/>
          <c:showSerName val="0"/>
          <c:showPercent val="0"/>
          <c:showBubbleSize val="0"/>
        </c:dLbls>
        <c:gapWidth val="150"/>
        <c:shape val="box"/>
        <c:axId val="1218446760"/>
        <c:axId val="1218445776"/>
        <c:axId val="0"/>
      </c:bar3DChart>
      <c:catAx>
        <c:axId val="121844676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mn-cs"/>
              </a:defRPr>
            </a:pPr>
            <a:endParaRPr lang="lv-LV"/>
          </a:p>
        </c:txPr>
        <c:crossAx val="1218445776"/>
        <c:crosses val="autoZero"/>
        <c:auto val="1"/>
        <c:lblAlgn val="ctr"/>
        <c:lblOffset val="100"/>
        <c:noMultiLvlLbl val="0"/>
      </c:catAx>
      <c:valAx>
        <c:axId val="1218445776"/>
        <c:scaling>
          <c:orientation val="minMax"/>
        </c:scaling>
        <c:delete val="1"/>
        <c:axPos val="b"/>
        <c:numFmt formatCode="General" sourceLinked="1"/>
        <c:majorTickMark val="none"/>
        <c:minorTickMark val="none"/>
        <c:tickLblPos val="nextTo"/>
        <c:crossAx val="1218446760"/>
        <c:crosses val="autoZero"/>
        <c:crossBetween val="between"/>
      </c:valAx>
      <c:spPr>
        <a:noFill/>
        <a:ln>
          <a:noFill/>
        </a:ln>
        <a:effectLst>
          <a:glow rad="38100">
            <a:schemeClr val="accent1">
              <a:alpha val="37000"/>
            </a:schemeClr>
          </a:glow>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lv-LV" sz="1200" baseline="0">
                <a:solidFill>
                  <a:schemeClr val="tx1"/>
                </a:solidFill>
                <a:latin typeface="Times New Roman" panose="02020603050405020304" pitchFamily="18" charset="0"/>
              </a:rPr>
              <a:t>Pārbaudīti prokurora amata kandidātu stažēšanās apstākļi un stažēšanās programmas izpildes apjoms un kvalitāte</a:t>
            </a:r>
            <a:endParaRPr lang="en-US" sz="1200" baseline="0">
              <a:solidFill>
                <a:schemeClr val="tx1"/>
              </a:solidFill>
              <a:latin typeface="Times New Roman" panose="02020603050405020304" pitchFamily="18" charset="0"/>
            </a:endParaRPr>
          </a:p>
        </c:rich>
      </c:tx>
      <c:layout>
        <c:manualLayout>
          <c:xMode val="edge"/>
          <c:yMode val="edge"/>
          <c:x val="0.14619539595767089"/>
          <c:y val="0"/>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lv-LV"/>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6.7458430775172176E-2"/>
          <c:y val="0.16934341207349085"/>
          <c:w val="0.8825648290471837"/>
          <c:h val="0.66370265898426539"/>
        </c:manualLayout>
      </c:layout>
      <c:bar3DChart>
        <c:barDir val="col"/>
        <c:grouping val="clustered"/>
        <c:varyColors val="0"/>
        <c:ser>
          <c:idx val="0"/>
          <c:order val="0"/>
          <c:tx>
            <c:strRef>
              <c:f>Sheet1!$B$1</c:f>
              <c:strCache>
                <c:ptCount val="1"/>
                <c:pt idx="0">
                  <c:v>Prokurora amata kandidātem pārbaudīti stažēšanās apstākļi un stažēšanās programmas izpildes apjoms un kvalitāte</c:v>
                </c:pt>
              </c:strCache>
            </c:strRef>
          </c:tx>
          <c:spPr>
            <a:solidFill>
              <a:srgbClr val="FF9900"/>
            </a:solidFill>
            <a:ln>
              <a:noFill/>
            </a:ln>
            <a:effectLst/>
            <a:sp3d/>
          </c:spPr>
          <c:invertIfNegative val="0"/>
          <c:dLbls>
            <c:dLbl>
              <c:idx val="0"/>
              <c:layout>
                <c:manualLayout>
                  <c:x val="-4.1244367935992781E-17"/>
                  <c:y val="0.138063894686145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0A-49E5-A680-C330D85D55B7}"/>
                </c:ext>
              </c:extLst>
            </c:dLbl>
            <c:dLbl>
              <c:idx val="1"/>
              <c:layout>
                <c:manualLayout>
                  <c:x val="0"/>
                  <c:y val="0.15732862417723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0A-49E5-A680-C330D85D55B7}"/>
                </c:ext>
              </c:extLst>
            </c:dLbl>
            <c:dLbl>
              <c:idx val="2"/>
              <c:layout>
                <c:manualLayout>
                  <c:x val="0"/>
                  <c:y val="0.157442845506380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0A-49E5-A680-C330D85D55B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10</c:v>
                </c:pt>
                <c:pt idx="1">
                  <c:v>23</c:v>
                </c:pt>
                <c:pt idx="2">
                  <c:v>18</c:v>
                </c:pt>
              </c:numCache>
            </c:numRef>
          </c:val>
          <c:extLst>
            <c:ext xmlns:c16="http://schemas.microsoft.com/office/drawing/2014/chart" uri="{C3380CC4-5D6E-409C-BE32-E72D297353CC}">
              <c16:uniqueId val="{00000003-320A-49E5-A680-C330D85D55B7}"/>
            </c:ext>
          </c:extLst>
        </c:ser>
        <c:dLbls>
          <c:showLegendKey val="0"/>
          <c:showVal val="0"/>
          <c:showCatName val="0"/>
          <c:showSerName val="0"/>
          <c:showPercent val="0"/>
          <c:showBubbleSize val="0"/>
        </c:dLbls>
        <c:gapWidth val="150"/>
        <c:shape val="box"/>
        <c:axId val="622193224"/>
        <c:axId val="622191912"/>
        <c:axId val="0"/>
      </c:bar3DChart>
      <c:catAx>
        <c:axId val="6221932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622191912"/>
        <c:crosses val="autoZero"/>
        <c:auto val="1"/>
        <c:lblAlgn val="ctr"/>
        <c:lblOffset val="100"/>
        <c:noMultiLvlLbl val="0"/>
      </c:catAx>
      <c:valAx>
        <c:axId val="622191912"/>
        <c:scaling>
          <c:orientation val="minMax"/>
        </c:scaling>
        <c:delete val="1"/>
        <c:axPos val="l"/>
        <c:numFmt formatCode="General" sourceLinked="1"/>
        <c:majorTickMark val="none"/>
        <c:minorTickMark val="none"/>
        <c:tickLblPos val="nextTo"/>
        <c:crossAx val="622193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lv-LV" sz="1200" baseline="0">
                <a:solidFill>
                  <a:schemeClr val="tx1"/>
                </a:solidFill>
                <a:latin typeface="Times New Roman" panose="02020603050405020304" pitchFamily="18" charset="0"/>
              </a:rPr>
              <a:t>Izvērtēta prokurora amata kandidātu stažēšanās programmas izpilde </a:t>
            </a:r>
            <a:endParaRPr lang="en-US" sz="1200" baseline="0">
              <a:solidFill>
                <a:schemeClr val="tx1"/>
              </a:solidFill>
              <a:latin typeface="Times New Roman" panose="02020603050405020304" pitchFamily="18" charset="0"/>
            </a:endParaRPr>
          </a:p>
        </c:rich>
      </c:tx>
      <c:layout>
        <c:manualLayout>
          <c:xMode val="edge"/>
          <c:yMode val="edge"/>
          <c:x val="0.19858839017362578"/>
          <c:y val="2.5466888754290325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lv-L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008943261872791E-2"/>
          <c:y val="0.19601018675721563"/>
          <c:w val="0.8825648290471837"/>
          <c:h val="0.66370265898426539"/>
        </c:manualLayout>
      </c:layout>
      <c:bar3DChart>
        <c:barDir val="col"/>
        <c:grouping val="clustered"/>
        <c:varyColors val="0"/>
        <c:ser>
          <c:idx val="0"/>
          <c:order val="0"/>
          <c:tx>
            <c:strRef>
              <c:f>Sheet1!$B$1</c:f>
              <c:strCache>
                <c:ptCount val="1"/>
                <c:pt idx="0">
                  <c:v>Series 1</c:v>
                </c:pt>
              </c:strCache>
            </c:strRef>
          </c:tx>
          <c:spPr>
            <a:solidFill>
              <a:srgbClr val="00CC00"/>
            </a:solidFill>
            <a:ln>
              <a:solidFill>
                <a:srgbClr val="00CC00"/>
              </a:solidFill>
            </a:ln>
            <a:effectLst/>
            <a:sp3d>
              <a:contourClr>
                <a:srgbClr val="00CC00"/>
              </a:contourClr>
            </a:sp3d>
          </c:spPr>
          <c:invertIfNegative val="0"/>
          <c:dLbls>
            <c:dLbl>
              <c:idx val="0"/>
              <c:layout>
                <c:manualLayout>
                  <c:x val="-4.1244367935992781E-17"/>
                  <c:y val="0.138063894686145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66-45E5-89C6-AEB41A39453B}"/>
                </c:ext>
              </c:extLst>
            </c:dLbl>
            <c:dLbl>
              <c:idx val="1"/>
              <c:layout>
                <c:manualLayout>
                  <c:x val="0"/>
                  <c:y val="0.15732862417723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66-45E5-89C6-AEB41A39453B}"/>
                </c:ext>
              </c:extLst>
            </c:dLbl>
            <c:dLbl>
              <c:idx val="2"/>
              <c:layout>
                <c:manualLayout>
                  <c:x val="3.1545741324921135E-3"/>
                  <c:y val="0.167137966449845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66-45E5-89C6-AEB41A39453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21</c:v>
                </c:pt>
                <c:pt idx="1">
                  <c:v>25</c:v>
                </c:pt>
                <c:pt idx="2">
                  <c:v>16</c:v>
                </c:pt>
              </c:numCache>
            </c:numRef>
          </c:val>
          <c:extLst>
            <c:ext xmlns:c16="http://schemas.microsoft.com/office/drawing/2014/chart" uri="{C3380CC4-5D6E-409C-BE32-E72D297353CC}">
              <c16:uniqueId val="{00000003-3D66-45E5-89C6-AEB41A39453B}"/>
            </c:ext>
          </c:extLst>
        </c:ser>
        <c:dLbls>
          <c:showLegendKey val="0"/>
          <c:showVal val="0"/>
          <c:showCatName val="0"/>
          <c:showSerName val="0"/>
          <c:showPercent val="0"/>
          <c:showBubbleSize val="0"/>
        </c:dLbls>
        <c:gapWidth val="150"/>
        <c:shape val="box"/>
        <c:axId val="622193224"/>
        <c:axId val="622191912"/>
        <c:axId val="0"/>
      </c:bar3DChart>
      <c:catAx>
        <c:axId val="6221932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622191912"/>
        <c:crosses val="autoZero"/>
        <c:auto val="1"/>
        <c:lblAlgn val="ctr"/>
        <c:lblOffset val="100"/>
        <c:noMultiLvlLbl val="0"/>
      </c:catAx>
      <c:valAx>
        <c:axId val="622191912"/>
        <c:scaling>
          <c:orientation val="minMax"/>
        </c:scaling>
        <c:delete val="1"/>
        <c:axPos val="l"/>
        <c:numFmt formatCode="General" sourceLinked="1"/>
        <c:majorTickMark val="none"/>
        <c:minorTickMark val="none"/>
        <c:tickLblPos val="nextTo"/>
        <c:crossAx val="622193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mn-lt"/>
                <a:ea typeface="+mn-ea"/>
                <a:cs typeface="+mn-cs"/>
              </a:defRPr>
            </a:pPr>
            <a:r>
              <a:rPr lang="lv-LV" sz="1200" baseline="0">
                <a:solidFill>
                  <a:schemeClr val="tx1"/>
                </a:solidFill>
                <a:latin typeface="Times New Roman" panose="02020603050405020304" pitchFamily="18" charset="0"/>
              </a:rPr>
              <a:t>Pieņemts prokurora amata kandidātu kvalifikācijas eksāmens </a:t>
            </a:r>
            <a:endParaRPr lang="en-US" sz="1200" baseline="0">
              <a:solidFill>
                <a:schemeClr val="tx1"/>
              </a:solidFill>
              <a:latin typeface="Times New Roman" panose="02020603050405020304" pitchFamily="18" charset="0"/>
            </a:endParaRPr>
          </a:p>
        </c:rich>
      </c:tx>
      <c:layout>
        <c:manualLayout>
          <c:xMode val="edge"/>
          <c:yMode val="edge"/>
          <c:x val="0.17121971532404603"/>
          <c:y val="2.5466754155730537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2"/>
              </a:solidFill>
              <a:latin typeface="+mn-lt"/>
              <a:ea typeface="+mn-ea"/>
              <a:cs typeface="+mn-cs"/>
            </a:defRPr>
          </a:pPr>
          <a:endParaRPr lang="lv-L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008943261872791E-2"/>
          <c:y val="0.19601018675721563"/>
          <c:w val="0.8825648290471837"/>
          <c:h val="0.66370265898426539"/>
        </c:manualLayout>
      </c:layout>
      <c:bar3DChart>
        <c:barDir val="col"/>
        <c:grouping val="clustered"/>
        <c:varyColors val="0"/>
        <c:ser>
          <c:idx val="0"/>
          <c:order val="0"/>
          <c:tx>
            <c:strRef>
              <c:f>Sheet1!$B$1</c:f>
              <c:strCache>
                <c:ptCount val="1"/>
                <c:pt idx="0">
                  <c:v>Pieņemts kvalifikācijas eksāmens prokurora amata kandidātiem</c:v>
                </c:pt>
              </c:strCache>
            </c:strRef>
          </c:tx>
          <c:spPr>
            <a:solidFill>
              <a:srgbClr val="3333CC"/>
            </a:solidFill>
            <a:ln>
              <a:noFill/>
            </a:ln>
            <a:effectLst/>
            <a:sp3d/>
          </c:spPr>
          <c:invertIfNegative val="0"/>
          <c:dLbls>
            <c:dLbl>
              <c:idx val="0"/>
              <c:layout>
                <c:manualLayout>
                  <c:x val="-4.1244367935992781E-17"/>
                  <c:y val="0.138063894686145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47-4A30-ADBE-7F369FA82869}"/>
                </c:ext>
              </c:extLst>
            </c:dLbl>
            <c:dLbl>
              <c:idx val="1"/>
              <c:layout>
                <c:manualLayout>
                  <c:x val="0"/>
                  <c:y val="0.15732862417723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47-4A30-ADBE-7F369FA82869}"/>
                </c:ext>
              </c:extLst>
            </c:dLbl>
            <c:dLbl>
              <c:idx val="2"/>
              <c:layout>
                <c:manualLayout>
                  <c:x val="-8.2488735871985561E-17"/>
                  <c:y val="0.109166800449510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47-4A30-ADBE-7F369FA8286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21</c:v>
                </c:pt>
                <c:pt idx="1">
                  <c:v>23</c:v>
                </c:pt>
                <c:pt idx="2">
                  <c:v>11</c:v>
                </c:pt>
              </c:numCache>
            </c:numRef>
          </c:val>
          <c:extLst>
            <c:ext xmlns:c16="http://schemas.microsoft.com/office/drawing/2014/chart" uri="{C3380CC4-5D6E-409C-BE32-E72D297353CC}">
              <c16:uniqueId val="{00000003-3747-4A30-ADBE-7F369FA82869}"/>
            </c:ext>
          </c:extLst>
        </c:ser>
        <c:dLbls>
          <c:showLegendKey val="0"/>
          <c:showVal val="0"/>
          <c:showCatName val="0"/>
          <c:showSerName val="0"/>
          <c:showPercent val="0"/>
          <c:showBubbleSize val="0"/>
        </c:dLbls>
        <c:gapWidth val="150"/>
        <c:shape val="box"/>
        <c:axId val="622193224"/>
        <c:axId val="622191912"/>
        <c:axId val="0"/>
      </c:bar3DChart>
      <c:catAx>
        <c:axId val="6221932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622191912"/>
        <c:crosses val="autoZero"/>
        <c:auto val="1"/>
        <c:lblAlgn val="ctr"/>
        <c:lblOffset val="100"/>
        <c:noMultiLvlLbl val="0"/>
      </c:catAx>
      <c:valAx>
        <c:axId val="622191912"/>
        <c:scaling>
          <c:orientation val="minMax"/>
        </c:scaling>
        <c:delete val="1"/>
        <c:axPos val="l"/>
        <c:numFmt formatCode="General" sourceLinked="1"/>
        <c:majorTickMark val="none"/>
        <c:minorTickMark val="none"/>
        <c:tickLblPos val="nextTo"/>
        <c:crossAx val="622193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mn-lt"/>
                <a:ea typeface="+mn-ea"/>
                <a:cs typeface="+mn-cs"/>
              </a:defRPr>
            </a:pPr>
            <a:r>
              <a:rPr lang="lv-LV" sz="1200" baseline="0">
                <a:solidFill>
                  <a:schemeClr val="tx1"/>
                </a:solidFill>
                <a:latin typeface="Times New Roman" panose="02020603050405020304" pitchFamily="18" charset="0"/>
              </a:rPr>
              <a:t>Kopumā notikušas Prokuroru kvalifikācijas komisijas sēdēs</a:t>
            </a:r>
            <a:endParaRPr lang="en-US" sz="1200" baseline="0">
              <a:solidFill>
                <a:schemeClr val="tx1"/>
              </a:solidFill>
              <a:latin typeface="Times New Roman" panose="02020603050405020304" pitchFamily="18" charset="0"/>
            </a:endParaRPr>
          </a:p>
        </c:rich>
      </c:tx>
      <c:layout>
        <c:manualLayout>
          <c:xMode val="edge"/>
          <c:yMode val="edge"/>
          <c:x val="0.10070691853053658"/>
          <c:y val="2.5466893039049237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2"/>
              </a:solidFill>
              <a:latin typeface="+mn-lt"/>
              <a:ea typeface="+mn-ea"/>
              <a:cs typeface="+mn-cs"/>
            </a:defRPr>
          </a:pPr>
          <a:endParaRPr lang="lv-LV"/>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6.2008943261872791E-2"/>
          <c:y val="0.19601018675721563"/>
          <c:w val="0.8825648290471837"/>
          <c:h val="0.66370265898426539"/>
        </c:manualLayout>
      </c:layout>
      <c:bar3DChart>
        <c:barDir val="col"/>
        <c:grouping val="clustered"/>
        <c:varyColors val="0"/>
        <c:ser>
          <c:idx val="0"/>
          <c:order val="0"/>
          <c:tx>
            <c:strRef>
              <c:f>Sheet1!$B$1</c:f>
              <c:strCache>
                <c:ptCount val="1"/>
                <c:pt idx="0">
                  <c:v>Kopumā notikušas Prokuroru kvalifikācijas komisijas sēdes</c:v>
                </c:pt>
              </c:strCache>
            </c:strRef>
          </c:tx>
          <c:spPr>
            <a:solidFill>
              <a:srgbClr val="CC00CC"/>
            </a:solidFill>
            <a:ln>
              <a:noFill/>
            </a:ln>
            <a:effectLst/>
            <a:sp3d/>
          </c:spPr>
          <c:invertIfNegative val="0"/>
          <c:dLbls>
            <c:dLbl>
              <c:idx val="0"/>
              <c:layout>
                <c:manualLayout>
                  <c:x val="-4.1244367935992781E-17"/>
                  <c:y val="0.138063894686145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4B-4EF1-98A2-DC3FE4D6083D}"/>
                </c:ext>
              </c:extLst>
            </c:dLbl>
            <c:dLbl>
              <c:idx val="1"/>
              <c:layout>
                <c:manualLayout>
                  <c:x val="0"/>
                  <c:y val="0.15732862417723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4B-4EF1-98A2-DC3FE4D6083D}"/>
                </c:ext>
              </c:extLst>
            </c:dLbl>
            <c:dLbl>
              <c:idx val="2"/>
              <c:layout>
                <c:manualLayout>
                  <c:x val="0"/>
                  <c:y val="0.163641655687980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4B-4EF1-98A2-DC3FE4D6083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26</c:v>
                </c:pt>
                <c:pt idx="1">
                  <c:v>40</c:v>
                </c:pt>
                <c:pt idx="2">
                  <c:v>44</c:v>
                </c:pt>
              </c:numCache>
            </c:numRef>
          </c:val>
          <c:extLst>
            <c:ext xmlns:c16="http://schemas.microsoft.com/office/drawing/2014/chart" uri="{C3380CC4-5D6E-409C-BE32-E72D297353CC}">
              <c16:uniqueId val="{00000003-C04B-4EF1-98A2-DC3FE4D6083D}"/>
            </c:ext>
          </c:extLst>
        </c:ser>
        <c:dLbls>
          <c:showLegendKey val="0"/>
          <c:showVal val="0"/>
          <c:showCatName val="0"/>
          <c:showSerName val="0"/>
          <c:showPercent val="0"/>
          <c:showBubbleSize val="0"/>
        </c:dLbls>
        <c:gapWidth val="150"/>
        <c:shape val="box"/>
        <c:axId val="622193224"/>
        <c:axId val="622191912"/>
        <c:axId val="0"/>
      </c:bar3DChart>
      <c:catAx>
        <c:axId val="6221932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622191912"/>
        <c:crosses val="autoZero"/>
        <c:auto val="1"/>
        <c:lblAlgn val="ctr"/>
        <c:lblOffset val="100"/>
        <c:noMultiLvlLbl val="0"/>
      </c:catAx>
      <c:valAx>
        <c:axId val="622191912"/>
        <c:scaling>
          <c:orientation val="minMax"/>
        </c:scaling>
        <c:delete val="1"/>
        <c:axPos val="l"/>
        <c:numFmt formatCode="General" sourceLinked="1"/>
        <c:majorTickMark val="none"/>
        <c:minorTickMark val="none"/>
        <c:tickLblPos val="nextTo"/>
        <c:crossAx val="622193224"/>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lv-LV" sz="1200" b="1" baseline="0">
                <a:solidFill>
                  <a:schemeClr val="tx1"/>
                </a:solidFill>
                <a:latin typeface="Times New Roman" panose="02020603050405020304" pitchFamily="18" charset="0"/>
              </a:rPr>
              <a:t>Prokurora amata vienības</a:t>
            </a:r>
          </a:p>
        </c:rich>
      </c:tx>
      <c:layout>
        <c:manualLayout>
          <c:xMode val="edge"/>
          <c:yMode val="edge"/>
          <c:x val="0.35649980891580341"/>
          <c:y val="4.5439792275235313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lv-LV"/>
        </a:p>
      </c:txPr>
    </c:title>
    <c:autoTitleDeleted val="0"/>
    <c:plotArea>
      <c:layout>
        <c:manualLayout>
          <c:layoutTarget val="inner"/>
          <c:xMode val="edge"/>
          <c:yMode val="edge"/>
          <c:x val="1.2269794049957995E-2"/>
          <c:y val="0.19973906620971307"/>
          <c:w val="0.96966563254050331"/>
          <c:h val="0.7334478272981213"/>
        </c:manualLayout>
      </c:layout>
      <c:barChart>
        <c:barDir val="col"/>
        <c:grouping val="clustered"/>
        <c:varyColors val="0"/>
        <c:ser>
          <c:idx val="0"/>
          <c:order val="0"/>
          <c:tx>
            <c:strRef>
              <c:f>'[Chart in Microsoft PowerPoint]33'!$A$2</c:f>
              <c:strCache>
                <c:ptCount val="1"/>
                <c:pt idx="0">
                  <c:v>Prokuroru štata vienības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PowerPoint]33'!$B$1:$Q$1</c:f>
              <c:strCache>
                <c:ptCount val="16"/>
                <c:pt idx="0">
                  <c:v>2005.g.</c:v>
                </c:pt>
                <c:pt idx="1">
                  <c:v>2006.g.</c:v>
                </c:pt>
                <c:pt idx="2">
                  <c:v>2007.g.</c:v>
                </c:pt>
                <c:pt idx="3">
                  <c:v>2008.g.</c:v>
                </c:pt>
                <c:pt idx="4">
                  <c:v>2009.g.</c:v>
                </c:pt>
                <c:pt idx="5">
                  <c:v>2010.g.</c:v>
                </c:pt>
                <c:pt idx="6">
                  <c:v>2011.g.</c:v>
                </c:pt>
                <c:pt idx="7">
                  <c:v>2012.g.</c:v>
                </c:pt>
                <c:pt idx="8">
                  <c:v>2013.g.</c:v>
                </c:pt>
                <c:pt idx="9">
                  <c:v>2014.g.</c:v>
                </c:pt>
                <c:pt idx="10">
                  <c:v>2015.g.</c:v>
                </c:pt>
                <c:pt idx="11">
                  <c:v>2016.g.</c:v>
                </c:pt>
                <c:pt idx="12">
                  <c:v>2017.g.</c:v>
                </c:pt>
                <c:pt idx="13">
                  <c:v>2018.g.</c:v>
                </c:pt>
                <c:pt idx="14">
                  <c:v>2019.g.</c:v>
                </c:pt>
                <c:pt idx="15">
                  <c:v>2020.g.</c:v>
                </c:pt>
              </c:strCache>
            </c:strRef>
          </c:cat>
          <c:val>
            <c:numRef>
              <c:f>'[Chart in Microsoft PowerPoint]33'!$B$2:$Q$2</c:f>
              <c:numCache>
                <c:formatCode>General</c:formatCode>
                <c:ptCount val="16"/>
                <c:pt idx="0">
                  <c:v>605</c:v>
                </c:pt>
                <c:pt idx="1">
                  <c:v>574</c:v>
                </c:pt>
                <c:pt idx="2">
                  <c:v>549</c:v>
                </c:pt>
                <c:pt idx="3">
                  <c:v>533</c:v>
                </c:pt>
                <c:pt idx="4">
                  <c:v>523</c:v>
                </c:pt>
                <c:pt idx="5">
                  <c:v>506</c:v>
                </c:pt>
                <c:pt idx="6">
                  <c:v>506</c:v>
                </c:pt>
                <c:pt idx="7">
                  <c:v>504</c:v>
                </c:pt>
                <c:pt idx="8">
                  <c:v>504</c:v>
                </c:pt>
                <c:pt idx="9">
                  <c:v>504</c:v>
                </c:pt>
                <c:pt idx="10">
                  <c:v>504</c:v>
                </c:pt>
                <c:pt idx="11">
                  <c:v>504</c:v>
                </c:pt>
                <c:pt idx="12">
                  <c:v>499</c:v>
                </c:pt>
                <c:pt idx="13">
                  <c:v>499</c:v>
                </c:pt>
                <c:pt idx="14">
                  <c:v>499</c:v>
                </c:pt>
                <c:pt idx="15">
                  <c:v>497</c:v>
                </c:pt>
              </c:numCache>
            </c:numRef>
          </c:val>
          <c:extLst>
            <c:ext xmlns:c16="http://schemas.microsoft.com/office/drawing/2014/chart" uri="{C3380CC4-5D6E-409C-BE32-E72D297353CC}">
              <c16:uniqueId val="{00000000-E6CE-4DE6-89F0-BCF344D70157}"/>
            </c:ext>
          </c:extLst>
        </c:ser>
        <c:dLbls>
          <c:dLblPos val="inEnd"/>
          <c:showLegendKey val="0"/>
          <c:showVal val="1"/>
          <c:showCatName val="0"/>
          <c:showSerName val="0"/>
          <c:showPercent val="0"/>
          <c:showBubbleSize val="0"/>
        </c:dLbls>
        <c:gapWidth val="41"/>
        <c:axId val="316876696"/>
        <c:axId val="1"/>
      </c:barChart>
      <c:catAx>
        <c:axId val="316876696"/>
        <c:scaling>
          <c:orientation val="minMax"/>
        </c:scaling>
        <c:delete val="0"/>
        <c:axPos val="b"/>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solidFill>
                <a:effectLst/>
                <a:latin typeface="Times New Roman" panose="02020603050405020304" pitchFamily="18" charset="0"/>
                <a:ea typeface="+mn-ea"/>
                <a:cs typeface="+mn-cs"/>
              </a:defRPr>
            </a:pPr>
            <a:endParaRPr lang="lv-LV"/>
          </a:p>
        </c:txPr>
        <c:crossAx val="1"/>
        <c:crosses val="autoZero"/>
        <c:auto val="1"/>
        <c:lblAlgn val="ctr"/>
        <c:lblOffset val="100"/>
        <c:noMultiLvlLbl val="0"/>
      </c:catAx>
      <c:valAx>
        <c:axId val="1"/>
        <c:scaling>
          <c:orientation val="minMax"/>
          <c:min val="450"/>
        </c:scaling>
        <c:delete val="1"/>
        <c:axPos val="l"/>
        <c:numFmt formatCode="General" sourceLinked="1"/>
        <c:majorTickMark val="none"/>
        <c:minorTickMark val="none"/>
        <c:tickLblPos val="nextTo"/>
        <c:crossAx val="316876696"/>
        <c:crosses val="autoZero"/>
        <c:crossBetween val="between"/>
      </c:valAx>
      <c:spPr>
        <a:gradFill flip="none" rotWithShape="1">
          <a:gsLst>
            <a:gs pos="0">
              <a:schemeClr val="accent3">
                <a:lumMod val="0"/>
                <a:lumOff val="100000"/>
              </a:schemeClr>
            </a:gs>
            <a:gs pos="35000">
              <a:schemeClr val="accent3">
                <a:lumMod val="0"/>
                <a:lumOff val="100000"/>
              </a:schemeClr>
            </a:gs>
            <a:gs pos="100000">
              <a:schemeClr val="accent3">
                <a:lumMod val="100000"/>
              </a:schemeClr>
            </a:gs>
          </a:gsLst>
          <a:path path="circle">
            <a:fillToRect l="50000" t="-80000" r="50000" b="180000"/>
          </a:path>
          <a:tileRect/>
        </a:grad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3">
    <c:autoUpdate val="0"/>
  </c:externalData>
  <c:userShapes r:id="rId4"/>
</c:chartSpace>
</file>

<file path=word/charts/chart1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sz="1200" baseline="0">
                <a:solidFill>
                  <a:schemeClr val="tx1"/>
                </a:solidFill>
                <a:latin typeface="Times New Roman" panose="02020603050405020304" pitchFamily="18" charset="0"/>
              </a:rPr>
              <a:t>Apgabala un rajona līmeņa (statusa) p</a:t>
            </a:r>
            <a:r>
              <a:rPr lang="en-US" sz="1200" baseline="0">
                <a:solidFill>
                  <a:schemeClr val="tx1"/>
                </a:solidFill>
                <a:latin typeface="Times New Roman" panose="02020603050405020304" pitchFamily="18" charset="0"/>
              </a:rPr>
              <a:t>rokurat</a:t>
            </a:r>
            <a:r>
              <a:rPr lang="lv-LV" sz="1200" baseline="0">
                <a:solidFill>
                  <a:schemeClr val="tx1"/>
                </a:solidFill>
                <a:latin typeface="Times New Roman" panose="02020603050405020304" pitchFamily="18" charset="0"/>
              </a:rPr>
              <a:t>ūru struktūra un štati</a:t>
            </a:r>
          </a:p>
          <a:p>
            <a:pPr>
              <a:defRPr/>
            </a:pPr>
            <a:r>
              <a:rPr lang="lv-LV" sz="1000" baseline="0">
                <a:solidFill>
                  <a:schemeClr val="tx1"/>
                </a:solidFill>
                <a:latin typeface="Times New Roman" panose="02020603050405020304" pitchFamily="18" charset="0"/>
              </a:rPr>
              <a:t>(01.01.2020./01.01.2021.)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barChart>
        <c:barDir val="col"/>
        <c:grouping val="stacked"/>
        <c:varyColors val="0"/>
        <c:ser>
          <c:idx val="0"/>
          <c:order val="0"/>
          <c:tx>
            <c:strRef>
              <c:f>'2020'!$A$2</c:f>
              <c:strCache>
                <c:ptCount val="1"/>
                <c:pt idx="0">
                  <c:v>01.01.2020.</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'2020'!$B$1:$AM$1</c:f>
              <c:strCache>
                <c:ptCount val="38"/>
                <c:pt idx="0">
                  <c:v>Rīgas tiesas apgabala prokuratūra </c:v>
                </c:pt>
                <c:pt idx="1">
                  <c:v>Rīgas Austrumu prokuratūra (Rīgas pilsētas Centra rajona un Rīgas pilsētas Latgales priekšpilsētas prokuratūra)</c:v>
                </c:pt>
                <c:pt idx="2">
                  <c:v>Rīgas Pārdaugavas prokuratūra (Rīgas pilsētas Kurzemes rajona un Rīgas pilsētas Zemgales priekšpilsētas prokuratūra)</c:v>
                </c:pt>
                <c:pt idx="3">
                  <c:v>Rīgas Ziemeļu prokuratūra (Rīgas pilsētas Vidzemes priekšpilsētas un Rīgas pilsētas Ziemeļu rajona prokuratūra)</c:v>
                </c:pt>
                <c:pt idx="4">
                  <c:v>Pierīgas prokuratūra (Jūrmalas pilsētas un Rīgas rajona prokuratūra)</c:v>
                </c:pt>
                <c:pt idx="5">
                  <c:v>Kurzemes tiesas apgabala prokuratūra </c:v>
                </c:pt>
                <c:pt idx="6">
                  <c:v>Kuldīgas rajona prokuratūra</c:v>
                </c:pt>
                <c:pt idx="7">
                  <c:v>Liepājas prokuratūra </c:v>
                </c:pt>
                <c:pt idx="8">
                  <c:v>Saldus rajona prokuratūra </c:v>
                </c:pt>
                <c:pt idx="9">
                  <c:v>Talsu rajona prokuratūra </c:v>
                </c:pt>
                <c:pt idx="10">
                  <c:v>Ventspils prokuratūra</c:v>
                </c:pt>
                <c:pt idx="11">
                  <c:v>Latgales tiesas apgabala prokuratūra </c:v>
                </c:pt>
                <c:pt idx="12">
                  <c:v>Balvu rajona prokuratūra </c:v>
                </c:pt>
                <c:pt idx="13">
                  <c:v>Daugavpils prokuratūra </c:v>
                </c:pt>
                <c:pt idx="14">
                  <c:v>Krāslavas rajona prokuratūra</c:v>
                </c:pt>
                <c:pt idx="15">
                  <c:v>Ludzas rajona prokuratūra</c:v>
                </c:pt>
                <c:pt idx="16">
                  <c:v>Preiļu rajona prokuratūra</c:v>
                </c:pt>
                <c:pt idx="17">
                  <c:v>Rēzeknes prokuratūra</c:v>
                </c:pt>
                <c:pt idx="18">
                  <c:v>Vidzemes tiesas apgabala prokuratūra</c:v>
                </c:pt>
                <c:pt idx="19">
                  <c:v>Alūksnes rajona prokuratūra </c:v>
                </c:pt>
                <c:pt idx="20">
                  <c:v>Cēsu rajona prokuratūra </c:v>
                </c:pt>
                <c:pt idx="21">
                  <c:v>Gulbenes rajona prokuratūra</c:v>
                </c:pt>
                <c:pt idx="22">
                  <c:v>Limbažu rajona prokuratūra</c:v>
                </c:pt>
                <c:pt idx="23">
                  <c:v>Madonas rajona prokuratūra </c:v>
                </c:pt>
                <c:pt idx="24">
                  <c:v>Valkas rajona prokuratūra</c:v>
                </c:pt>
                <c:pt idx="25">
                  <c:v>Valmieras rajona prokuratūra</c:v>
                </c:pt>
                <c:pt idx="26">
                  <c:v>Zemgales tiesas apgabala prokuratūra </c:v>
                </c:pt>
                <c:pt idx="27">
                  <c:v>Aizkraukles rajona prokuratūra</c:v>
                </c:pt>
                <c:pt idx="28">
                  <c:v>Bauskas rajona prokuratūra</c:v>
                </c:pt>
                <c:pt idx="29">
                  <c:v>Dobeles rajona prokuratūra</c:v>
                </c:pt>
                <c:pt idx="30">
                  <c:v>Jelgavas prokuratūra</c:v>
                </c:pt>
                <c:pt idx="31">
                  <c:v>Jēkabpils rajona prokuratūra</c:v>
                </c:pt>
                <c:pt idx="32">
                  <c:v>Tukuma rajona prokuratūra </c:v>
                </c:pt>
                <c:pt idx="33">
                  <c:v>Ogres rajona prokuratūra</c:v>
                </c:pt>
                <c:pt idx="34">
                  <c:v>Organizētās noziedzības un citu nozaru specializētā prokuratūra </c:v>
                </c:pt>
                <c:pt idx="35">
                  <c:v>Daudznozaru specializētā prokuratūra (Specializētā vairāku nozaru prokuratūra +Rīgas Autotransporta prokuratūra+Narkotiku nelikumīgas aprites noziegumu izmeklēšanas prokuratūra )</c:v>
                </c:pt>
                <c:pt idx="36">
                  <c:v>Nodokļu un muitas lietu prokuratūra (Finanšu un ekonomisko noziegumu izmeklēšanas prokuratūra)</c:v>
                </c:pt>
                <c:pt idx="37">
                  <c:v>Noziedzīgu nodarījumu valsts institūciju dienestā izmeklēšanas prokuratūra</c:v>
                </c:pt>
              </c:strCache>
            </c:strRef>
          </c:cat>
          <c:val>
            <c:numRef>
              <c:f>'2020'!$B$2:$AM$2</c:f>
              <c:numCache>
                <c:formatCode>General</c:formatCode>
                <c:ptCount val="38"/>
                <c:pt idx="0">
                  <c:v>38</c:v>
                </c:pt>
                <c:pt idx="1">
                  <c:v>30</c:v>
                </c:pt>
                <c:pt idx="2">
                  <c:v>21</c:v>
                </c:pt>
                <c:pt idx="3">
                  <c:v>27</c:v>
                </c:pt>
                <c:pt idx="4">
                  <c:v>22</c:v>
                </c:pt>
                <c:pt idx="5">
                  <c:v>6</c:v>
                </c:pt>
                <c:pt idx="6">
                  <c:v>6</c:v>
                </c:pt>
                <c:pt idx="7">
                  <c:v>12</c:v>
                </c:pt>
                <c:pt idx="8">
                  <c:v>5</c:v>
                </c:pt>
                <c:pt idx="9">
                  <c:v>5</c:v>
                </c:pt>
                <c:pt idx="10">
                  <c:v>7</c:v>
                </c:pt>
                <c:pt idx="11">
                  <c:v>9</c:v>
                </c:pt>
                <c:pt idx="12">
                  <c:v>5</c:v>
                </c:pt>
                <c:pt idx="13">
                  <c:v>15</c:v>
                </c:pt>
                <c:pt idx="14">
                  <c:v>5</c:v>
                </c:pt>
                <c:pt idx="15">
                  <c:v>5</c:v>
                </c:pt>
                <c:pt idx="16">
                  <c:v>5</c:v>
                </c:pt>
                <c:pt idx="17">
                  <c:v>9</c:v>
                </c:pt>
                <c:pt idx="18">
                  <c:v>7</c:v>
                </c:pt>
                <c:pt idx="19">
                  <c:v>4</c:v>
                </c:pt>
                <c:pt idx="20">
                  <c:v>6</c:v>
                </c:pt>
                <c:pt idx="21">
                  <c:v>4</c:v>
                </c:pt>
                <c:pt idx="22">
                  <c:v>4</c:v>
                </c:pt>
                <c:pt idx="23">
                  <c:v>6</c:v>
                </c:pt>
                <c:pt idx="24">
                  <c:v>4</c:v>
                </c:pt>
                <c:pt idx="25">
                  <c:v>9</c:v>
                </c:pt>
                <c:pt idx="26">
                  <c:v>8</c:v>
                </c:pt>
                <c:pt idx="27">
                  <c:v>5</c:v>
                </c:pt>
                <c:pt idx="28">
                  <c:v>7</c:v>
                </c:pt>
                <c:pt idx="29">
                  <c:v>5</c:v>
                </c:pt>
                <c:pt idx="30">
                  <c:v>12</c:v>
                </c:pt>
                <c:pt idx="31">
                  <c:v>7</c:v>
                </c:pt>
                <c:pt idx="32">
                  <c:v>5</c:v>
                </c:pt>
                <c:pt idx="33">
                  <c:v>7</c:v>
                </c:pt>
                <c:pt idx="34">
                  <c:v>27</c:v>
                </c:pt>
                <c:pt idx="35">
                  <c:v>36</c:v>
                </c:pt>
                <c:pt idx="36">
                  <c:v>16</c:v>
                </c:pt>
              </c:numCache>
            </c:numRef>
          </c:val>
          <c:extLst>
            <c:ext xmlns:c16="http://schemas.microsoft.com/office/drawing/2014/chart" uri="{C3380CC4-5D6E-409C-BE32-E72D297353CC}">
              <c16:uniqueId val="{00000000-4E1D-43A5-BE44-418EA9336215}"/>
            </c:ext>
          </c:extLst>
        </c:ser>
        <c:ser>
          <c:idx val="1"/>
          <c:order val="1"/>
          <c:tx>
            <c:strRef>
              <c:f>'2020'!$A$3</c:f>
              <c:strCache>
                <c:ptCount val="1"/>
                <c:pt idx="0">
                  <c:v>01.01.2021.</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'2020'!$B$1:$AM$1</c:f>
              <c:strCache>
                <c:ptCount val="38"/>
                <c:pt idx="0">
                  <c:v>Rīgas tiesas apgabala prokuratūra </c:v>
                </c:pt>
                <c:pt idx="1">
                  <c:v>Rīgas Austrumu prokuratūra (Rīgas pilsētas Centra rajona un Rīgas pilsētas Latgales priekšpilsētas prokuratūra)</c:v>
                </c:pt>
                <c:pt idx="2">
                  <c:v>Rīgas Pārdaugavas prokuratūra (Rīgas pilsētas Kurzemes rajona un Rīgas pilsētas Zemgales priekšpilsētas prokuratūra)</c:v>
                </c:pt>
                <c:pt idx="3">
                  <c:v>Rīgas Ziemeļu prokuratūra (Rīgas pilsētas Vidzemes priekšpilsētas un Rīgas pilsētas Ziemeļu rajona prokuratūra)</c:v>
                </c:pt>
                <c:pt idx="4">
                  <c:v>Pierīgas prokuratūra (Jūrmalas pilsētas un Rīgas rajona prokuratūra)</c:v>
                </c:pt>
                <c:pt idx="5">
                  <c:v>Kurzemes tiesas apgabala prokuratūra </c:v>
                </c:pt>
                <c:pt idx="6">
                  <c:v>Kuldīgas rajona prokuratūra</c:v>
                </c:pt>
                <c:pt idx="7">
                  <c:v>Liepājas prokuratūra </c:v>
                </c:pt>
                <c:pt idx="8">
                  <c:v>Saldus rajona prokuratūra </c:v>
                </c:pt>
                <c:pt idx="9">
                  <c:v>Talsu rajona prokuratūra </c:v>
                </c:pt>
                <c:pt idx="10">
                  <c:v>Ventspils prokuratūra</c:v>
                </c:pt>
                <c:pt idx="11">
                  <c:v>Latgales tiesas apgabala prokuratūra </c:v>
                </c:pt>
                <c:pt idx="12">
                  <c:v>Balvu rajona prokuratūra </c:v>
                </c:pt>
                <c:pt idx="13">
                  <c:v>Daugavpils prokuratūra </c:v>
                </c:pt>
                <c:pt idx="14">
                  <c:v>Krāslavas rajona prokuratūra</c:v>
                </c:pt>
                <c:pt idx="15">
                  <c:v>Ludzas rajona prokuratūra</c:v>
                </c:pt>
                <c:pt idx="16">
                  <c:v>Preiļu rajona prokuratūra</c:v>
                </c:pt>
                <c:pt idx="17">
                  <c:v>Rēzeknes prokuratūra</c:v>
                </c:pt>
                <c:pt idx="18">
                  <c:v>Vidzemes tiesas apgabala prokuratūra</c:v>
                </c:pt>
                <c:pt idx="19">
                  <c:v>Alūksnes rajona prokuratūra </c:v>
                </c:pt>
                <c:pt idx="20">
                  <c:v>Cēsu rajona prokuratūra </c:v>
                </c:pt>
                <c:pt idx="21">
                  <c:v>Gulbenes rajona prokuratūra</c:v>
                </c:pt>
                <c:pt idx="22">
                  <c:v>Limbažu rajona prokuratūra</c:v>
                </c:pt>
                <c:pt idx="23">
                  <c:v>Madonas rajona prokuratūra </c:v>
                </c:pt>
                <c:pt idx="24">
                  <c:v>Valkas rajona prokuratūra</c:v>
                </c:pt>
                <c:pt idx="25">
                  <c:v>Valmieras rajona prokuratūra</c:v>
                </c:pt>
                <c:pt idx="26">
                  <c:v>Zemgales tiesas apgabala prokuratūra </c:v>
                </c:pt>
                <c:pt idx="27">
                  <c:v>Aizkraukles rajona prokuratūra</c:v>
                </c:pt>
                <c:pt idx="28">
                  <c:v>Bauskas rajona prokuratūra</c:v>
                </c:pt>
                <c:pt idx="29">
                  <c:v>Dobeles rajona prokuratūra</c:v>
                </c:pt>
                <c:pt idx="30">
                  <c:v>Jelgavas prokuratūra</c:v>
                </c:pt>
                <c:pt idx="31">
                  <c:v>Jēkabpils rajona prokuratūra</c:v>
                </c:pt>
                <c:pt idx="32">
                  <c:v>Tukuma rajona prokuratūra </c:v>
                </c:pt>
                <c:pt idx="33">
                  <c:v>Ogres rajona prokuratūra</c:v>
                </c:pt>
                <c:pt idx="34">
                  <c:v>Organizētās noziedzības un citu nozaru specializētā prokuratūra </c:v>
                </c:pt>
                <c:pt idx="35">
                  <c:v>Daudznozaru specializētā prokuratūra (Specializētā vairāku nozaru prokuratūra +Rīgas Autotransporta prokuratūra+Narkotiku nelikumīgas aprites noziegumu izmeklēšanas prokuratūra )</c:v>
                </c:pt>
                <c:pt idx="36">
                  <c:v>Nodokļu un muitas lietu prokuratūra (Finanšu un ekonomisko noziegumu izmeklēšanas prokuratūra)</c:v>
                </c:pt>
                <c:pt idx="37">
                  <c:v>Noziedzīgu nodarījumu valsts institūciju dienestā izmeklēšanas prokuratūra</c:v>
                </c:pt>
              </c:strCache>
            </c:strRef>
          </c:cat>
          <c:val>
            <c:numRef>
              <c:f>'2020'!$B$3:$AM$3</c:f>
              <c:numCache>
                <c:formatCode>General</c:formatCode>
                <c:ptCount val="38"/>
                <c:pt idx="0">
                  <c:v>41</c:v>
                </c:pt>
                <c:pt idx="1">
                  <c:v>32</c:v>
                </c:pt>
                <c:pt idx="2">
                  <c:v>20</c:v>
                </c:pt>
                <c:pt idx="3">
                  <c:v>28</c:v>
                </c:pt>
                <c:pt idx="4">
                  <c:v>22</c:v>
                </c:pt>
                <c:pt idx="5">
                  <c:v>6</c:v>
                </c:pt>
                <c:pt idx="6">
                  <c:v>6</c:v>
                </c:pt>
                <c:pt idx="7">
                  <c:v>12</c:v>
                </c:pt>
                <c:pt idx="8">
                  <c:v>5</c:v>
                </c:pt>
                <c:pt idx="9">
                  <c:v>5</c:v>
                </c:pt>
                <c:pt idx="10">
                  <c:v>7</c:v>
                </c:pt>
                <c:pt idx="11">
                  <c:v>9</c:v>
                </c:pt>
                <c:pt idx="12">
                  <c:v>5</c:v>
                </c:pt>
                <c:pt idx="13">
                  <c:v>15</c:v>
                </c:pt>
                <c:pt idx="14">
                  <c:v>5</c:v>
                </c:pt>
                <c:pt idx="15">
                  <c:v>5</c:v>
                </c:pt>
                <c:pt idx="16">
                  <c:v>5</c:v>
                </c:pt>
                <c:pt idx="17">
                  <c:v>9</c:v>
                </c:pt>
                <c:pt idx="18">
                  <c:v>7</c:v>
                </c:pt>
                <c:pt idx="19">
                  <c:v>4</c:v>
                </c:pt>
                <c:pt idx="20">
                  <c:v>6</c:v>
                </c:pt>
                <c:pt idx="21">
                  <c:v>4</c:v>
                </c:pt>
                <c:pt idx="22">
                  <c:v>4</c:v>
                </c:pt>
                <c:pt idx="23">
                  <c:v>6</c:v>
                </c:pt>
                <c:pt idx="24">
                  <c:v>4</c:v>
                </c:pt>
                <c:pt idx="25">
                  <c:v>9</c:v>
                </c:pt>
                <c:pt idx="26">
                  <c:v>9</c:v>
                </c:pt>
                <c:pt idx="27">
                  <c:v>5</c:v>
                </c:pt>
                <c:pt idx="28">
                  <c:v>7</c:v>
                </c:pt>
                <c:pt idx="29">
                  <c:v>5</c:v>
                </c:pt>
                <c:pt idx="30">
                  <c:v>12</c:v>
                </c:pt>
                <c:pt idx="31">
                  <c:v>7</c:v>
                </c:pt>
                <c:pt idx="32">
                  <c:v>5</c:v>
                </c:pt>
                <c:pt idx="33">
                  <c:v>7</c:v>
                </c:pt>
                <c:pt idx="34">
                  <c:v>27</c:v>
                </c:pt>
                <c:pt idx="35">
                  <c:v>36</c:v>
                </c:pt>
                <c:pt idx="36">
                  <c:v>16</c:v>
                </c:pt>
                <c:pt idx="37">
                  <c:v>10</c:v>
                </c:pt>
              </c:numCache>
            </c:numRef>
          </c:val>
          <c:extLst>
            <c:ext xmlns:c16="http://schemas.microsoft.com/office/drawing/2014/chart" uri="{C3380CC4-5D6E-409C-BE32-E72D297353CC}">
              <c16:uniqueId val="{00000001-4E1D-43A5-BE44-418EA9336215}"/>
            </c:ext>
          </c:extLst>
        </c:ser>
        <c:dLbls>
          <c:dLblPos val="ctr"/>
          <c:showLegendKey val="0"/>
          <c:showVal val="1"/>
          <c:showCatName val="0"/>
          <c:showSerName val="0"/>
          <c:showPercent val="0"/>
          <c:showBubbleSize val="0"/>
        </c:dLbls>
        <c:gapWidth val="150"/>
        <c:overlap val="100"/>
        <c:axId val="415524528"/>
        <c:axId val="415525512"/>
      </c:barChart>
      <c:catAx>
        <c:axId val="4155245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v-LV"/>
          </a:p>
        </c:txPr>
        <c:crossAx val="415525512"/>
        <c:crosses val="autoZero"/>
        <c:auto val="1"/>
        <c:lblAlgn val="ctr"/>
        <c:lblOffset val="100"/>
        <c:noMultiLvlLbl val="0"/>
      </c:catAx>
      <c:valAx>
        <c:axId val="4155255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55245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Arial" panose="020B0604020202020204" pitchFamily="34" charset="0"/>
                <a:ea typeface="+mn-ea"/>
                <a:cs typeface="+mn-cs"/>
              </a:defRPr>
            </a:pPr>
            <a:r>
              <a:rPr lang="lv-LV" sz="1200" b="1" i="0" baseline="0">
                <a:solidFill>
                  <a:schemeClr val="tx1"/>
                </a:solidFill>
                <a:latin typeface="Times New Roman" panose="02020603050405020304" pitchFamily="18" charset="0"/>
                <a:cs typeface="Times New Roman" panose="02020603050405020304" pitchFamily="18" charset="0"/>
              </a:rPr>
              <a:t>Prokuratūrā pabeigti kriminālprocesi, nenododot krimināllietu tiesai</a:t>
            </a:r>
            <a:endParaRPr lang="lv-LV"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Arial" panose="020B0604020202020204" pitchFamily="34" charset="0"/>
              <a:ea typeface="+mn-ea"/>
              <a:cs typeface="+mn-cs"/>
            </a:defRPr>
          </a:pPr>
          <a:endParaRPr lang="lv-LV"/>
        </a:p>
      </c:txPr>
    </c:title>
    <c:autoTitleDeleted val="0"/>
    <c:plotArea>
      <c:layout/>
      <c:barChart>
        <c:barDir val="col"/>
        <c:grouping val="clustered"/>
        <c:varyColors val="1"/>
        <c:ser>
          <c:idx val="1"/>
          <c:order val="0"/>
          <c:tx>
            <c:strRef>
              <c:f>I_tiesas_apgabala_prok!$I$5:$I$7</c:f>
              <c:strCache>
                <c:ptCount val="3"/>
                <c:pt idx="0">
                  <c:v>2018</c:v>
                </c:pt>
                <c:pt idx="1">
                  <c:v>2019</c:v>
                </c:pt>
                <c:pt idx="2">
                  <c:v>2020</c:v>
                </c:pt>
              </c:strCache>
            </c:strRef>
          </c:tx>
          <c:invertIfNegative val="0"/>
          <c:dPt>
            <c:idx val="0"/>
            <c:invertIfNegative val="0"/>
            <c:bubble3D val="0"/>
            <c:spPr>
              <a:solidFill>
                <a:schemeClr val="accent5">
                  <a:tint val="65000"/>
                </a:schemeClr>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1-30AC-4918-9379-D95E36FA6CB6}"/>
              </c:ext>
            </c:extLst>
          </c:dPt>
          <c:dPt>
            <c:idx val="1"/>
            <c:invertIfNegative val="0"/>
            <c:bubble3D val="0"/>
            <c:spPr>
              <a:solidFill>
                <a:schemeClr val="accent5"/>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3-30AC-4918-9379-D95E36FA6CB6}"/>
              </c:ext>
            </c:extLst>
          </c:dPt>
          <c:dPt>
            <c:idx val="2"/>
            <c:invertIfNegative val="0"/>
            <c:bubble3D val="0"/>
            <c:spPr>
              <a:solidFill>
                <a:schemeClr val="accent5">
                  <a:shade val="65000"/>
                </a:schemeClr>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5-30AC-4918-9379-D95E36FA6CB6}"/>
              </c:ext>
            </c:extLst>
          </c:dPt>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I_tiesas_apgabala_prok!$J$5:$J$7</c:f>
              <c:numCache>
                <c:formatCode>General</c:formatCode>
                <c:ptCount val="3"/>
                <c:pt idx="0">
                  <c:v>16</c:v>
                </c:pt>
                <c:pt idx="1">
                  <c:v>29</c:v>
                </c:pt>
                <c:pt idx="2">
                  <c:v>31</c:v>
                </c:pt>
              </c:numCache>
            </c:numRef>
          </c:val>
          <c:extLst>
            <c:ext xmlns:c16="http://schemas.microsoft.com/office/drawing/2014/chart" uri="{C3380CC4-5D6E-409C-BE32-E72D297353CC}">
              <c16:uniqueId val="{00000000-26BC-4F02-8772-00D3BA1FE1CE}"/>
            </c:ext>
          </c:extLst>
        </c:ser>
        <c:dLbls>
          <c:showLegendKey val="0"/>
          <c:showVal val="0"/>
          <c:showCatName val="0"/>
          <c:showSerName val="0"/>
          <c:showPercent val="0"/>
          <c:showBubbleSize val="0"/>
        </c:dLbls>
        <c:gapWidth val="150"/>
        <c:axId val="166366592"/>
        <c:axId val="166438400"/>
      </c:barChart>
      <c:catAx>
        <c:axId val="166366592"/>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66438400"/>
        <c:crosses val="autoZero"/>
        <c:auto val="1"/>
        <c:lblAlgn val="ctr"/>
        <c:lblOffset val="100"/>
        <c:noMultiLvlLbl val="0"/>
      </c:catAx>
      <c:valAx>
        <c:axId val="166438400"/>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166366592"/>
        <c:crosses val="autoZero"/>
        <c:crossBetween val="between"/>
      </c:valAx>
      <c:spPr>
        <a:solidFill>
          <a:schemeClr val="accent5">
            <a:tint val="20000"/>
          </a:schemeClr>
        </a:solidFill>
        <a:ln>
          <a:noFill/>
        </a:ln>
        <a:effectLst/>
      </c:spPr>
    </c:plotArea>
    <c:plotVisOnly val="1"/>
    <c:dispBlanksAs val="gap"/>
    <c:showDLblsOverMax val="0"/>
  </c:chart>
  <c:spPr>
    <a:solidFill>
      <a:schemeClr val="bg1">
        <a:lumMod val="95000"/>
      </a:schemeClr>
    </a:solidFill>
    <a:ln w="6350" cap="flat" cmpd="sng" algn="ctr">
      <a:solidFill>
        <a:schemeClr val="tx2"/>
      </a:solidFill>
      <a:prstDash val="solid"/>
      <a:round/>
    </a:ln>
    <a:effectLst/>
  </c:spPr>
  <c:txPr>
    <a:bodyPr/>
    <a:lstStyle/>
    <a:p>
      <a:pPr>
        <a:defRPr baseline="0">
          <a:latin typeface="Arial" panose="020B0604020202020204" pitchFamily="34" charset="0"/>
        </a:defRPr>
      </a:pPr>
      <a:endParaRPr lang="lv-LV"/>
    </a:p>
  </c:txPr>
  <c:externalData r:id="rId3">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mn-cs"/>
              </a:defRPr>
            </a:pPr>
            <a:r>
              <a:rPr lang="lv-LV" sz="1200" baseline="0">
                <a:solidFill>
                  <a:schemeClr val="tx1"/>
                </a:solidFill>
              </a:rPr>
              <a:t>Apgabala un rajona līmeņa (statusa) p</a:t>
            </a:r>
            <a:r>
              <a:rPr lang="en-US" sz="1200" baseline="0">
                <a:solidFill>
                  <a:schemeClr val="tx1"/>
                </a:solidFill>
              </a:rPr>
              <a:t>rokurat</a:t>
            </a:r>
            <a:r>
              <a:rPr lang="lv-LV" sz="1200" baseline="0">
                <a:solidFill>
                  <a:schemeClr val="tx1"/>
                </a:solidFill>
              </a:rPr>
              <a:t>ūru struktūra un štati</a:t>
            </a:r>
          </a:p>
          <a:p>
            <a:pPr>
              <a:defRPr/>
            </a:pPr>
            <a:r>
              <a:rPr lang="lv-LV" sz="1000" baseline="0">
                <a:solidFill>
                  <a:schemeClr val="tx1"/>
                </a:solidFill>
              </a:rPr>
              <a:t>(01.01.2020./01.03.2021.) </a:t>
            </a:r>
            <a:endParaRPr lang="en-US" sz="1000" baseline="0">
              <a:solidFill>
                <a:schemeClr val="tx1"/>
              </a:solidFill>
            </a:endParaRPr>
          </a:p>
        </c:rich>
      </c:tx>
      <c:layout>
        <c:manualLayout>
          <c:xMode val="edge"/>
          <c:yMode val="edge"/>
          <c:x val="0.21955091563799226"/>
          <c:y val="1.817717645411434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mn-cs"/>
            </a:defRPr>
          </a:pPr>
          <a:endParaRPr lang="lv-LV"/>
        </a:p>
      </c:txPr>
    </c:title>
    <c:autoTitleDeleted val="0"/>
    <c:plotArea>
      <c:layout>
        <c:manualLayout>
          <c:layoutTarget val="inner"/>
          <c:xMode val="edge"/>
          <c:yMode val="edge"/>
          <c:x val="6.79337238228582E-2"/>
          <c:y val="0.10763255276239464"/>
          <c:w val="0.91847193142455885"/>
          <c:h val="0.38472823460502703"/>
        </c:manualLayout>
      </c:layout>
      <c:barChart>
        <c:barDir val="col"/>
        <c:grouping val="clustered"/>
        <c:varyColors val="0"/>
        <c:ser>
          <c:idx val="0"/>
          <c:order val="0"/>
          <c:tx>
            <c:strRef>
              <c:f>'2021'!$A$2</c:f>
              <c:strCache>
                <c:ptCount val="1"/>
                <c:pt idx="0">
                  <c:v>01.01.2020.</c:v>
                </c:pt>
              </c:strCache>
            </c:strRef>
          </c:tx>
          <c:spPr>
            <a:solidFill>
              <a:schemeClr val="accent1"/>
            </a:solidFill>
            <a:ln>
              <a:noFill/>
            </a:ln>
            <a:effectLst/>
          </c:spPr>
          <c:invertIfNegative val="0"/>
          <c:dLbls>
            <c:dLbl>
              <c:idx val="0"/>
              <c:layout>
                <c:manualLayout>
                  <c:x val="-1.3594344752582926E-3"/>
                  <c:y val="7.59054435046627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5731-4615-9BB6-B90B3C111286}"/>
                </c:ext>
              </c:extLst>
            </c:dLbl>
            <c:dLbl>
              <c:idx val="1"/>
              <c:layout>
                <c:manualLayout>
                  <c:x val="-2.7188689505165853E-3"/>
                  <c:y val="9.75927130774235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5731-4615-9BB6-B90B3C111286}"/>
                </c:ext>
              </c:extLst>
            </c:dLbl>
            <c:dLbl>
              <c:idx val="2"/>
              <c:layout>
                <c:manualLayout>
                  <c:x val="-1.3594344752583174E-3"/>
                  <c:y val="3.25309043591407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5731-4615-9BB6-B90B3C111286}"/>
                </c:ext>
              </c:extLst>
            </c:dLbl>
            <c:dLbl>
              <c:idx val="3"/>
              <c:layout>
                <c:manualLayout>
                  <c:x val="-1.3594344752582926E-3"/>
                  <c:y val="9.75927130774235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5731-4615-9BB6-B90B3C111286}"/>
                </c:ext>
              </c:extLst>
            </c:dLbl>
            <c:dLbl>
              <c:idx val="4"/>
              <c:layout>
                <c:manualLayout>
                  <c:x val="0"/>
                  <c:y val="9.75927130774235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5731-4615-9BB6-B90B3C111286}"/>
                </c:ext>
              </c:extLst>
            </c:dLbl>
            <c:dLbl>
              <c:idx val="5"/>
              <c:layout>
                <c:manualLayout>
                  <c:x val="-2.7188689505166347E-3"/>
                  <c:y val="9.75927130774235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5731-4615-9BB6-B90B3C111286}"/>
                </c:ext>
              </c:extLst>
            </c:dLbl>
            <c:dLbl>
              <c:idx val="6"/>
              <c:layout>
                <c:manualLayout>
                  <c:x val="-1.3594344752582926E-3"/>
                  <c:y val="-1.08436347863803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5731-4615-9BB6-B90B3C111286}"/>
                </c:ext>
              </c:extLst>
            </c:dLbl>
            <c:dLbl>
              <c:idx val="7"/>
              <c:layout>
                <c:manualLayout>
                  <c:x val="-1.3594344752582926E-3"/>
                  <c:y val="1.08436347863799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731-4615-9BB6-B90B3C111286}"/>
                </c:ext>
              </c:extLst>
            </c:dLbl>
            <c:dLbl>
              <c:idx val="8"/>
              <c:layout>
                <c:manualLayout>
                  <c:x val="-1.3594344752582926E-3"/>
                  <c:y val="7.59054435046627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731-4615-9BB6-B90B3C111286}"/>
                </c:ext>
              </c:extLst>
            </c:dLbl>
            <c:dLbl>
              <c:idx val="9"/>
              <c:layout>
                <c:manualLayout>
                  <c:x val="-2.7188689505166347E-3"/>
                  <c:y val="1.08436347863807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731-4615-9BB6-B90B3C111286}"/>
                </c:ext>
              </c:extLst>
            </c:dLbl>
            <c:dLbl>
              <c:idx val="10"/>
              <c:layout>
                <c:manualLayout>
                  <c:x val="-2.7188689505166846E-3"/>
                  <c:y val="5.42181739319015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731-4615-9BB6-B90B3C111286}"/>
                </c:ext>
              </c:extLst>
            </c:dLbl>
            <c:dLbl>
              <c:idx val="11"/>
              <c:layout>
                <c:manualLayout>
                  <c:x val="-9.9690709883353942E-17"/>
                  <c:y val="5.42181739319019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731-4615-9BB6-B90B3C111286}"/>
                </c:ext>
              </c:extLst>
            </c:dLbl>
            <c:dLbl>
              <c:idx val="12"/>
              <c:dLblPos val="inEnd"/>
              <c:showLegendKey val="0"/>
              <c:showVal val="1"/>
              <c:showCatName val="0"/>
              <c:showSerName val="0"/>
              <c:showPercent val="0"/>
              <c:showBubbleSize val="0"/>
              <c:extLst>
                <c:ext xmlns:c15="http://schemas.microsoft.com/office/drawing/2012/chart" uri="{CE6537A1-D6FC-4f65-9D91-7224C49458BB}">
                  <c15:layout>
                    <c:manualLayout>
                      <c:w val="2.1750951604132682E-2"/>
                      <c:h val="9.6508349598785514E-2"/>
                    </c:manualLayout>
                  </c15:layout>
                </c:ext>
                <c:ext xmlns:c16="http://schemas.microsoft.com/office/drawing/2014/chart" uri="{C3380CC4-5D6E-409C-BE32-E72D297353CC}">
                  <c16:uniqueId val="{00000007-5731-4615-9BB6-B90B3C111286}"/>
                </c:ext>
              </c:extLst>
            </c:dLbl>
            <c:dLbl>
              <c:idx val="13"/>
              <c:layout>
                <c:manualLayout>
                  <c:x val="-1.3594344752582926E-3"/>
                  <c:y val="5.4218173931901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5731-4615-9BB6-B90B3C111286}"/>
                </c:ext>
              </c:extLst>
            </c:dLbl>
            <c:dLbl>
              <c:idx val="14"/>
              <c:layout>
                <c:manualLayout>
                  <c:x val="-4.0783034257748773E-3"/>
                  <c:y val="9.759271307742315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731-4615-9BB6-B90B3C111286}"/>
                </c:ext>
              </c:extLst>
            </c:dLbl>
            <c:dLbl>
              <c:idx val="15"/>
              <c:layout>
                <c:manualLayout>
                  <c:x val="-1.3594344752583922E-3"/>
                  <c:y val="9.759271307742315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31-4615-9BB6-B90B3C111286}"/>
                </c:ext>
              </c:extLst>
            </c:dLbl>
            <c:dLbl>
              <c:idx val="16"/>
              <c:layout>
                <c:manualLayout>
                  <c:x val="-2.7188689505165853E-3"/>
                  <c:y val="1.626545217957059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1750951604132682E-2"/>
                      <c:h val="6.3977445239644326E-2"/>
                    </c:manualLayout>
                  </c15:layout>
                </c:ext>
                <c:ext xmlns:c16="http://schemas.microsoft.com/office/drawing/2014/chart" uri="{C3380CC4-5D6E-409C-BE32-E72D297353CC}">
                  <c16:uniqueId val="{00000010-5731-4615-9BB6-B90B3C111286}"/>
                </c:ext>
              </c:extLst>
            </c:dLbl>
            <c:dLbl>
              <c:idx val="17"/>
              <c:layout>
                <c:manualLayout>
                  <c:x val="-4.078303425774977E-3"/>
                  <c:y val="7.59054435046625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731-4615-9BB6-B90B3C111286}"/>
                </c:ext>
              </c:extLst>
            </c:dLbl>
            <c:dLbl>
              <c:idx val="18"/>
              <c:layout>
                <c:manualLayout>
                  <c:x val="-1.3594344752583922E-3"/>
                  <c:y val="9.7592713077423159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1750951604132682E-2"/>
                      <c:h val="5.9639991325092172E-2"/>
                    </c:manualLayout>
                  </c15:layout>
                </c:ext>
                <c:ext xmlns:c16="http://schemas.microsoft.com/office/drawing/2014/chart" uri="{C3380CC4-5D6E-409C-BE32-E72D297353CC}">
                  <c16:uniqueId val="{00000014-5731-4615-9BB6-B90B3C111286}"/>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'2021'!$B$1:$W$1</c:f>
              <c:strCache>
                <c:ptCount val="20"/>
                <c:pt idx="0">
                  <c:v>Rīgas tiesas apgabala prokuratūra </c:v>
                </c:pt>
                <c:pt idx="1">
                  <c:v>Rīgas Austrumu prokuratūra (Rīgas pilsētas Centra rajona un Rīgas pilsētas Latgales priekšpilsētas prokuratūra)</c:v>
                </c:pt>
                <c:pt idx="2">
                  <c:v>Rīgas Pārdaugavas prokuratūra (Rīgas pilsētas Kurzemes rajona un Rīgas pilsētas Zemgales priekšpilsētas prokuratūra)</c:v>
                </c:pt>
                <c:pt idx="3">
                  <c:v>Rīgas Ziemeļu prokuratūra (Rīgas pilsētas Vidzemes priekšpilsētas un Rīgas pilsētas Ziemeļu rajona prokuratūra)</c:v>
                </c:pt>
                <c:pt idx="4">
                  <c:v>Pierīgas prokuratūra (Jūrmalas pilsētas un Rīgas rajona prokuratūra)</c:v>
                </c:pt>
                <c:pt idx="5">
                  <c:v>Kurzemes tiesas apgabala prokuratūra </c:v>
                </c:pt>
                <c:pt idx="6">
                  <c:v>Ziemeļkurzemes prokuratūra (Kuldīgas rajona, Talsu rajona, Ventspils prokuratūra)</c:v>
                </c:pt>
                <c:pt idx="7">
                  <c:v>Dienvidkurzemes prokuratūra (Liepājas, Saldus rajona prokuratūra)</c:v>
                </c:pt>
                <c:pt idx="8">
                  <c:v>Latgales tiesas apgabala prokuratūra </c:v>
                </c:pt>
                <c:pt idx="9">
                  <c:v>Austrumlatgales prokuratūra (Balvu rajona, Ludzas rajona, Rēzeknes prokuratūra) </c:v>
                </c:pt>
                <c:pt idx="10">
                  <c:v>Dienvidlatgales prokuratūra (Daugavpils, Krāslavas rajona, Preiļu rajona prokuratūra)</c:v>
                </c:pt>
                <c:pt idx="11">
                  <c:v>Vidzemes tiesas apgabala prokuratūra</c:v>
                </c:pt>
                <c:pt idx="12">
                  <c:v>Vidzemes prokuratūra (Alūksnes, Cēsu, Gulbenes, Limbažu, Madonas, Valkas, Valmieras rajona prokuratūra) </c:v>
                </c:pt>
                <c:pt idx="13">
                  <c:v>Zemgales tiesas apgabala prokuratūra </c:v>
                </c:pt>
                <c:pt idx="14">
                  <c:v>Austrumzemgales prokuratūra (Aizkraukles, Bauskas, Jēkabpils, Ogres rajona prokuratūra)</c:v>
                </c:pt>
                <c:pt idx="15">
                  <c:v>Rietumzemgales prokuratūra (Dobeles rajona, Jelgavas, Tukuma rajona prokuratūra)</c:v>
                </c:pt>
                <c:pt idx="16">
                  <c:v>Organizētās noziedzības un citu nozaru specializētā prokuratūra </c:v>
                </c:pt>
                <c:pt idx="17">
                  <c:v>Daudznozaru specializētā prokuratūra (Specializētā vairāku nozaru, Rīgas Autotransporta, Narkotiku nelikumīgas aprites noziegumu izmeklēšanas prokuratūra)</c:v>
                </c:pt>
                <c:pt idx="18">
                  <c:v>Nodokļu un muitas lietu prokuratūra (Finanšu un ekonomisko noziegumu izmeklēšanas prokuratūra)</c:v>
                </c:pt>
                <c:pt idx="19">
                  <c:v>Noziedzīgu nodarījumu valsts institūciju dienestā izmeklēšanas prokuratūra</c:v>
                </c:pt>
              </c:strCache>
            </c:strRef>
          </c:cat>
          <c:val>
            <c:numRef>
              <c:f>'2021'!$B$2:$W$2</c:f>
              <c:numCache>
                <c:formatCode>General</c:formatCode>
                <c:ptCount val="22"/>
                <c:pt idx="0">
                  <c:v>38</c:v>
                </c:pt>
                <c:pt idx="1">
                  <c:v>30</c:v>
                </c:pt>
                <c:pt idx="2">
                  <c:v>21</c:v>
                </c:pt>
                <c:pt idx="3">
                  <c:v>27</c:v>
                </c:pt>
                <c:pt idx="4">
                  <c:v>22</c:v>
                </c:pt>
                <c:pt idx="5">
                  <c:v>6</c:v>
                </c:pt>
                <c:pt idx="6">
                  <c:v>18</c:v>
                </c:pt>
                <c:pt idx="7">
                  <c:v>17</c:v>
                </c:pt>
                <c:pt idx="8">
                  <c:v>9</c:v>
                </c:pt>
                <c:pt idx="9">
                  <c:v>19</c:v>
                </c:pt>
                <c:pt idx="10">
                  <c:v>25</c:v>
                </c:pt>
                <c:pt idx="11">
                  <c:v>7</c:v>
                </c:pt>
                <c:pt idx="12">
                  <c:v>37</c:v>
                </c:pt>
                <c:pt idx="13">
                  <c:v>8</c:v>
                </c:pt>
                <c:pt idx="14">
                  <c:v>26</c:v>
                </c:pt>
                <c:pt idx="15">
                  <c:v>22</c:v>
                </c:pt>
                <c:pt idx="16">
                  <c:v>27</c:v>
                </c:pt>
                <c:pt idx="17">
                  <c:v>36</c:v>
                </c:pt>
                <c:pt idx="18">
                  <c:v>16</c:v>
                </c:pt>
              </c:numCache>
            </c:numRef>
          </c:val>
          <c:extLst>
            <c:ext xmlns:c16="http://schemas.microsoft.com/office/drawing/2014/chart" uri="{C3380CC4-5D6E-409C-BE32-E72D297353CC}">
              <c16:uniqueId val="{00000000-5731-4615-9BB6-B90B3C111286}"/>
            </c:ext>
          </c:extLst>
        </c:ser>
        <c:ser>
          <c:idx val="1"/>
          <c:order val="1"/>
          <c:tx>
            <c:strRef>
              <c:f>'2021'!$A$3</c:f>
              <c:strCache>
                <c:ptCount val="1"/>
                <c:pt idx="0">
                  <c:v>01.03.2021.</c:v>
                </c:pt>
              </c:strCache>
            </c:strRef>
          </c:tx>
          <c:spPr>
            <a:solidFill>
              <a:schemeClr val="accent2"/>
            </a:solidFill>
            <a:ln>
              <a:noFill/>
            </a:ln>
            <a:effectLst/>
          </c:spPr>
          <c:invertIfNegative val="0"/>
          <c:dLbls>
            <c:dLbl>
              <c:idx val="0"/>
              <c:layout>
                <c:manualLayout>
                  <c:x val="2.7188689505165727E-3"/>
                  <c:y val="9.75927130774235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5731-4615-9BB6-B90B3C111286}"/>
                </c:ext>
              </c:extLst>
            </c:dLbl>
            <c:dLbl>
              <c:idx val="1"/>
              <c:layout>
                <c:manualLayout>
                  <c:x val="2.7188689505165853E-3"/>
                  <c:y val="9.75927130774235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5731-4615-9BB6-B90B3C111286}"/>
                </c:ext>
              </c:extLst>
            </c:dLbl>
            <c:dLbl>
              <c:idx val="2"/>
              <c:layout>
                <c:manualLayout>
                  <c:x val="2.7188689505165853E-3"/>
                  <c:y val="-1.08436347863803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5731-4615-9BB6-B90B3C111286}"/>
                </c:ext>
              </c:extLst>
            </c:dLbl>
            <c:dLbl>
              <c:idx val="3"/>
              <c:layout>
                <c:manualLayout>
                  <c:x val="5.4377379010331706E-3"/>
                  <c:y val="5.42181739319015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5731-4615-9BB6-B90B3C111286}"/>
                </c:ext>
              </c:extLst>
            </c:dLbl>
            <c:dLbl>
              <c:idx val="4"/>
              <c:layout>
                <c:manualLayout>
                  <c:x val="8.1566068515497546E-3"/>
                  <c:y val="1.1927998265018435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1750951604132682E-2"/>
                      <c:h val="4.6627629581435695E-2"/>
                    </c:manualLayout>
                  </c15:layout>
                </c:ext>
                <c:ext xmlns:c16="http://schemas.microsoft.com/office/drawing/2014/chart" uri="{C3380CC4-5D6E-409C-BE32-E72D297353CC}">
                  <c16:uniqueId val="{00000023-5731-4615-9BB6-B90B3C111286}"/>
                </c:ext>
              </c:extLst>
            </c:dLbl>
            <c:dLbl>
              <c:idx val="5"/>
              <c:layout>
                <c:manualLayout>
                  <c:x val="1.3594344752582926E-3"/>
                  <c:y val="1.08436347863803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5731-4615-9BB6-B90B3C111286}"/>
                </c:ext>
              </c:extLst>
            </c:dLbl>
            <c:dLbl>
              <c:idx val="6"/>
              <c:layout>
                <c:manualLayout>
                  <c:x val="4.0783034257748773E-3"/>
                  <c:y val="7.59054435046623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5731-4615-9BB6-B90B3C111286}"/>
                </c:ext>
              </c:extLst>
            </c:dLbl>
            <c:dLbl>
              <c:idx val="7"/>
              <c:layout>
                <c:manualLayout>
                  <c:x val="5.4377379010331706E-3"/>
                  <c:y val="1.626545217957055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1750951604132682E-2"/>
                      <c:h val="6.1808718282368252E-2"/>
                    </c:manualLayout>
                  </c15:layout>
                </c:ext>
                <c:ext xmlns:c16="http://schemas.microsoft.com/office/drawing/2014/chart" uri="{C3380CC4-5D6E-409C-BE32-E72D297353CC}">
                  <c16:uniqueId val="{0000000C-5731-4615-9BB6-B90B3C111286}"/>
                </c:ext>
              </c:extLst>
            </c:dLbl>
            <c:dLbl>
              <c:idx val="8"/>
              <c:layout>
                <c:manualLayout>
                  <c:x val="2.7188689505165354E-3"/>
                  <c:y val="9.759271307742435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731-4615-9BB6-B90B3C111286}"/>
                </c:ext>
              </c:extLst>
            </c:dLbl>
            <c:dLbl>
              <c:idx val="9"/>
              <c:layout>
                <c:manualLayout>
                  <c:x val="4.0783034257747776E-3"/>
                  <c:y val="9.7592713077423558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1750951604132682E-2"/>
                      <c:h val="4.6627629581435695E-2"/>
                    </c:manualLayout>
                  </c15:layout>
                </c:ext>
                <c:ext xmlns:c16="http://schemas.microsoft.com/office/drawing/2014/chart" uri="{C3380CC4-5D6E-409C-BE32-E72D297353CC}">
                  <c16:uniqueId val="{0000000A-5731-4615-9BB6-B90B3C111286}"/>
                </c:ext>
              </c:extLst>
            </c:dLbl>
            <c:dLbl>
              <c:idx val="10"/>
              <c:layout>
                <c:manualLayout>
                  <c:x val="1.3594344752582926E-3"/>
                  <c:y val="3.25309043591407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731-4615-9BB6-B90B3C111286}"/>
                </c:ext>
              </c:extLst>
            </c:dLbl>
            <c:dLbl>
              <c:idx val="11"/>
              <c:layout>
                <c:manualLayout>
                  <c:x val="0"/>
                  <c:y val="3.2530904359141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5731-4615-9BB6-B90B3C111286}"/>
                </c:ext>
              </c:extLst>
            </c:dLbl>
            <c:dLbl>
              <c:idx val="12"/>
              <c:layout>
                <c:manualLayout>
                  <c:x val="1.3594344752582926E-3"/>
                  <c:y val="2.2771633051398808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1750951604132682E-2"/>
                      <c:h val="6.1808718282368252E-2"/>
                    </c:manualLayout>
                  </c15:layout>
                </c:ext>
                <c:ext xmlns:c16="http://schemas.microsoft.com/office/drawing/2014/chart" uri="{C3380CC4-5D6E-409C-BE32-E72D297353CC}">
                  <c16:uniqueId val="{00000006-5731-4615-9BB6-B90B3C111286}"/>
                </c:ext>
              </c:extLst>
            </c:dLbl>
            <c:dLbl>
              <c:idx val="13"/>
              <c:layout>
                <c:manualLayout>
                  <c:x val="0"/>
                  <c:y val="7.59054435046627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5731-4615-9BB6-B90B3C111286}"/>
                </c:ext>
              </c:extLst>
            </c:dLbl>
            <c:dLbl>
              <c:idx val="14"/>
              <c:layout>
                <c:manualLayout>
                  <c:x val="2.7188689505164856E-3"/>
                  <c:y val="3.795272175233138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1750951604132682E-2"/>
                      <c:h val="9.8677076556061588E-2"/>
                    </c:manualLayout>
                  </c15:layout>
                </c:ext>
                <c:ext xmlns:c16="http://schemas.microsoft.com/office/drawing/2014/chart" uri="{C3380CC4-5D6E-409C-BE32-E72D297353CC}">
                  <c16:uniqueId val="{00000003-5731-4615-9BB6-B90B3C111286}"/>
                </c:ext>
              </c:extLst>
            </c:dLbl>
            <c:dLbl>
              <c:idx val="15"/>
              <c:layout>
                <c:manualLayout>
                  <c:x val="1.3594344752582926E-3"/>
                  <c:y val="5.42181739319019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731-4615-9BB6-B90B3C111286}"/>
                </c:ext>
              </c:extLst>
            </c:dLbl>
            <c:dLbl>
              <c:idx val="16"/>
              <c:layout>
                <c:manualLayout>
                  <c:x val="1.3594344752581929E-3"/>
                  <c:y val="1.08436347863803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731-4615-9BB6-B90B3C111286}"/>
                </c:ext>
              </c:extLst>
            </c:dLbl>
            <c:dLbl>
              <c:idx val="17"/>
              <c:layout>
                <c:manualLayout>
                  <c:x val="5.4377379010330709E-3"/>
                  <c:y val="9.75927130774233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731-4615-9BB6-B90B3C111286}"/>
                </c:ext>
              </c:extLst>
            </c:dLbl>
            <c:dLbl>
              <c:idx val="18"/>
              <c:layout>
                <c:manualLayout>
                  <c:x val="1.3594344752582926E-3"/>
                  <c:y val="7.59054435046623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731-4615-9BB6-B90B3C111286}"/>
                </c:ext>
              </c:extLst>
            </c:dLbl>
            <c:dLbl>
              <c:idx val="19"/>
              <c:dLblPos val="inEnd"/>
              <c:showLegendKey val="0"/>
              <c:showVal val="1"/>
              <c:showCatName val="0"/>
              <c:showSerName val="0"/>
              <c:showPercent val="0"/>
              <c:showBubbleSize val="0"/>
              <c:extLst>
                <c:ext xmlns:c15="http://schemas.microsoft.com/office/drawing/2012/chart" uri="{CE6537A1-D6FC-4f65-9D91-7224C49458BB}">
                  <c15:layout>
                    <c:manualLayout>
                      <c:w val="2.1750951604132682E-2"/>
                      <c:h val="0.20928215137714162"/>
                    </c:manualLayout>
                  </c15:layout>
                </c:ext>
                <c:ext xmlns:c16="http://schemas.microsoft.com/office/drawing/2014/chart" uri="{C3380CC4-5D6E-409C-BE32-E72D297353CC}">
                  <c16:uniqueId val="{00000028-5731-4615-9BB6-B90B3C111286}"/>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'2021'!$B$1:$W$1</c:f>
              <c:strCache>
                <c:ptCount val="20"/>
                <c:pt idx="0">
                  <c:v>Rīgas tiesas apgabala prokuratūra </c:v>
                </c:pt>
                <c:pt idx="1">
                  <c:v>Rīgas Austrumu prokuratūra (Rīgas pilsētas Centra rajona un Rīgas pilsētas Latgales priekšpilsētas prokuratūra)</c:v>
                </c:pt>
                <c:pt idx="2">
                  <c:v>Rīgas Pārdaugavas prokuratūra (Rīgas pilsētas Kurzemes rajona un Rīgas pilsētas Zemgales priekšpilsētas prokuratūra)</c:v>
                </c:pt>
                <c:pt idx="3">
                  <c:v>Rīgas Ziemeļu prokuratūra (Rīgas pilsētas Vidzemes priekšpilsētas un Rīgas pilsētas Ziemeļu rajona prokuratūra)</c:v>
                </c:pt>
                <c:pt idx="4">
                  <c:v>Pierīgas prokuratūra (Jūrmalas pilsētas un Rīgas rajona prokuratūra)</c:v>
                </c:pt>
                <c:pt idx="5">
                  <c:v>Kurzemes tiesas apgabala prokuratūra </c:v>
                </c:pt>
                <c:pt idx="6">
                  <c:v>Ziemeļkurzemes prokuratūra (Kuldīgas rajona, Talsu rajona, Ventspils prokuratūra)</c:v>
                </c:pt>
                <c:pt idx="7">
                  <c:v>Dienvidkurzemes prokuratūra (Liepājas, Saldus rajona prokuratūra)</c:v>
                </c:pt>
                <c:pt idx="8">
                  <c:v>Latgales tiesas apgabala prokuratūra </c:v>
                </c:pt>
                <c:pt idx="9">
                  <c:v>Austrumlatgales prokuratūra (Balvu rajona, Ludzas rajona, Rēzeknes prokuratūra) </c:v>
                </c:pt>
                <c:pt idx="10">
                  <c:v>Dienvidlatgales prokuratūra (Daugavpils, Krāslavas rajona, Preiļu rajona prokuratūra)</c:v>
                </c:pt>
                <c:pt idx="11">
                  <c:v>Vidzemes tiesas apgabala prokuratūra</c:v>
                </c:pt>
                <c:pt idx="12">
                  <c:v>Vidzemes prokuratūra (Alūksnes, Cēsu, Gulbenes, Limbažu, Madonas, Valkas, Valmieras rajona prokuratūra) </c:v>
                </c:pt>
                <c:pt idx="13">
                  <c:v>Zemgales tiesas apgabala prokuratūra </c:v>
                </c:pt>
                <c:pt idx="14">
                  <c:v>Austrumzemgales prokuratūra (Aizkraukles, Bauskas, Jēkabpils, Ogres rajona prokuratūra)</c:v>
                </c:pt>
                <c:pt idx="15">
                  <c:v>Rietumzemgales prokuratūra (Dobeles rajona, Jelgavas, Tukuma rajona prokuratūra)</c:v>
                </c:pt>
                <c:pt idx="16">
                  <c:v>Organizētās noziedzības un citu nozaru specializētā prokuratūra </c:v>
                </c:pt>
                <c:pt idx="17">
                  <c:v>Daudznozaru specializētā prokuratūra (Specializētā vairāku nozaru, Rīgas Autotransporta, Narkotiku nelikumīgas aprites noziegumu izmeklēšanas prokuratūra)</c:v>
                </c:pt>
                <c:pt idx="18">
                  <c:v>Nodokļu un muitas lietu prokuratūra (Finanšu un ekonomisko noziegumu izmeklēšanas prokuratūra)</c:v>
                </c:pt>
                <c:pt idx="19">
                  <c:v>Noziedzīgu nodarījumu valsts institūciju dienestā izmeklēšanas prokuratūra</c:v>
                </c:pt>
              </c:strCache>
            </c:strRef>
          </c:cat>
          <c:val>
            <c:numRef>
              <c:f>'2021'!$B$3:$W$3</c:f>
              <c:numCache>
                <c:formatCode>General</c:formatCode>
                <c:ptCount val="22"/>
                <c:pt idx="0">
                  <c:v>41</c:v>
                </c:pt>
                <c:pt idx="1">
                  <c:v>32</c:v>
                </c:pt>
                <c:pt idx="2">
                  <c:v>20</c:v>
                </c:pt>
                <c:pt idx="3">
                  <c:v>28</c:v>
                </c:pt>
                <c:pt idx="4">
                  <c:v>22</c:v>
                </c:pt>
                <c:pt idx="5">
                  <c:v>6</c:v>
                </c:pt>
                <c:pt idx="6">
                  <c:v>18</c:v>
                </c:pt>
                <c:pt idx="7">
                  <c:v>17</c:v>
                </c:pt>
                <c:pt idx="8">
                  <c:v>9</c:v>
                </c:pt>
                <c:pt idx="9">
                  <c:v>19</c:v>
                </c:pt>
                <c:pt idx="10">
                  <c:v>25</c:v>
                </c:pt>
                <c:pt idx="11">
                  <c:v>7</c:v>
                </c:pt>
                <c:pt idx="12">
                  <c:v>37</c:v>
                </c:pt>
                <c:pt idx="13">
                  <c:v>9</c:v>
                </c:pt>
                <c:pt idx="14">
                  <c:v>26</c:v>
                </c:pt>
                <c:pt idx="15">
                  <c:v>22</c:v>
                </c:pt>
                <c:pt idx="16">
                  <c:v>27</c:v>
                </c:pt>
                <c:pt idx="17">
                  <c:v>36</c:v>
                </c:pt>
                <c:pt idx="18">
                  <c:v>16</c:v>
                </c:pt>
                <c:pt idx="19">
                  <c:v>10</c:v>
                </c:pt>
              </c:numCache>
            </c:numRef>
          </c:val>
          <c:extLst>
            <c:ext xmlns:c16="http://schemas.microsoft.com/office/drawing/2014/chart" uri="{C3380CC4-5D6E-409C-BE32-E72D297353CC}">
              <c16:uniqueId val="{00000001-5731-4615-9BB6-B90B3C111286}"/>
            </c:ext>
          </c:extLst>
        </c:ser>
        <c:dLbls>
          <c:showLegendKey val="0"/>
          <c:showVal val="0"/>
          <c:showCatName val="0"/>
          <c:showSerName val="0"/>
          <c:showPercent val="0"/>
          <c:showBubbleSize val="0"/>
        </c:dLbls>
        <c:gapWidth val="219"/>
        <c:overlap val="-27"/>
        <c:axId val="322009528"/>
        <c:axId val="322017072"/>
      </c:barChart>
      <c:catAx>
        <c:axId val="322009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1" i="0" u="none" strike="noStrike" kern="1200" baseline="0">
                <a:solidFill>
                  <a:schemeClr val="tx1"/>
                </a:solidFill>
                <a:latin typeface="Times New Roman" panose="02020603050405020304" pitchFamily="18" charset="0"/>
                <a:ea typeface="+mn-ea"/>
                <a:cs typeface="+mn-cs"/>
              </a:defRPr>
            </a:pPr>
            <a:endParaRPr lang="lv-LV"/>
          </a:p>
        </c:txPr>
        <c:crossAx val="322017072"/>
        <c:crosses val="autoZero"/>
        <c:auto val="1"/>
        <c:lblAlgn val="ctr"/>
        <c:lblOffset val="100"/>
        <c:noMultiLvlLbl val="0"/>
      </c:catAx>
      <c:valAx>
        <c:axId val="322017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lv-LV"/>
          </a:p>
        </c:txPr>
        <c:crossAx val="322009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i="0" baseline="0">
          <a:latin typeface="Times New Roman" panose="02020603050405020304" pitchFamily="18" charset="0"/>
        </a:defRPr>
      </a:pPr>
      <a:endParaRPr lang="lv-LV"/>
    </a:p>
  </c:txPr>
  <c:externalData r:id="rId3">
    <c:autoUpdate val="0"/>
  </c:externalData>
</c:chartSpace>
</file>

<file path=word/charts/chart1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mn-cs"/>
              </a:defRPr>
            </a:pPr>
            <a:r>
              <a:rPr lang="lv-LV" sz="1200" baseline="0">
                <a:solidFill>
                  <a:schemeClr val="tx1"/>
                </a:solidFill>
              </a:rPr>
              <a:t>Ģenerālprokuratūras struktūra un štati</a:t>
            </a:r>
          </a:p>
          <a:p>
            <a:pPr>
              <a:defRPr/>
            </a:pPr>
            <a:r>
              <a:rPr lang="lv-LV" sz="1000" baseline="0">
                <a:solidFill>
                  <a:schemeClr val="tx1"/>
                </a:solidFill>
              </a:rPr>
              <a:t>(01.01.2020.-01.01.2021. samazinātas 18 prokurora amata vienības (-20,45%))</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mn-cs"/>
            </a:defRPr>
          </a:pPr>
          <a:endParaRPr lang="lv-LV"/>
        </a:p>
      </c:txPr>
    </c:title>
    <c:autoTitleDeleted val="0"/>
    <c:plotArea>
      <c:layout>
        <c:manualLayout>
          <c:layoutTarget val="inner"/>
          <c:xMode val="edge"/>
          <c:yMode val="edge"/>
          <c:x val="6.6574297745731592E-2"/>
          <c:y val="9.2629184322458161E-2"/>
          <c:w val="0.92452602531190442"/>
          <c:h val="0.45629624882850989"/>
        </c:manualLayout>
      </c:layout>
      <c:barChart>
        <c:barDir val="col"/>
        <c:grouping val="clustered"/>
        <c:varyColors val="0"/>
        <c:ser>
          <c:idx val="0"/>
          <c:order val="0"/>
          <c:tx>
            <c:strRef>
              <c:f>ĢPdinamika!$A$2</c:f>
              <c:strCache>
                <c:ptCount val="1"/>
                <c:pt idx="0">
                  <c:v>01.01.2020.</c:v>
                </c:pt>
              </c:strCache>
            </c:strRef>
          </c:tx>
          <c:spPr>
            <a:solidFill>
              <a:schemeClr val="accent1"/>
            </a:solidFill>
            <a:ln>
              <a:noFill/>
            </a:ln>
            <a:effectLst/>
          </c:spPr>
          <c:invertIfNegative val="0"/>
          <c:dLbls>
            <c:dLbl>
              <c:idx val="0"/>
              <c:layout>
                <c:manualLayout>
                  <c:x val="1.363884342607747E-3"/>
                  <c:y val="3.5405594961786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36-43E9-9DBE-6476A4E9FD4F}"/>
                </c:ext>
              </c:extLst>
            </c:dLbl>
            <c:dLbl>
              <c:idx val="5"/>
              <c:layout>
                <c:manualLayout>
                  <c:x val="-5.0008514859652999E-17"/>
                  <c:y val="3.5405594961786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36-43E9-9DBE-6476A4E9FD4F}"/>
                </c:ext>
              </c:extLst>
            </c:dLbl>
            <c:dLbl>
              <c:idx val="12"/>
              <c:layout>
                <c:manualLayout>
                  <c:x val="1.3638843426076468E-3"/>
                  <c:y val="3.5405594961786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36-43E9-9DBE-6476A4E9FD4F}"/>
                </c:ext>
              </c:extLst>
            </c:dLbl>
            <c:dLbl>
              <c:idx val="13"/>
              <c:layout>
                <c:manualLayout>
                  <c:x val="-2.00034059438612E-16"/>
                  <c:y val="3.5405594961786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36-43E9-9DBE-6476A4E9FD4F}"/>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ĢPdinamika!$B$1:$Q$1</c:f>
              <c:strCache>
                <c:ptCount val="14"/>
                <c:pt idx="0">
                  <c:v>Krimināltiesiskais departaments</c:v>
                </c:pt>
                <c:pt idx="1">
                  <c:v>Pirmstiesas izmeklēšanas uzraudzības nodaļa</c:v>
                </c:pt>
                <c:pt idx="2">
                  <c:v>Tiesās izskatāmo krimināllietu nodaļa </c:v>
                </c:pt>
                <c:pt idx="3">
                  <c:v>Sevišķi svarīgu lietu izmeklēšanas nodaļa </c:v>
                </c:pt>
                <c:pt idx="4">
                  <c:v>Noziedzīgi iegūtu līdzekļu legalizēšanas apkarošanas koordinācijas nodaļa </c:v>
                </c:pt>
                <c:pt idx="5">
                  <c:v>Darbības analīzes un vadības departaments </c:v>
                </c:pt>
                <c:pt idx="6">
                  <c:v>Metodikas nodaļa</c:v>
                </c:pt>
                <c:pt idx="7">
                  <c:v>Starptautiskās sadarbības nodaļa </c:v>
                </c:pt>
                <c:pt idx="8">
                  <c:v>Prokuroru personāla un profesionālās izaugsmes nodaļa</c:v>
                </c:pt>
                <c:pt idx="9">
                  <c:v>Personu un valsts tiesību aizsardzības departaments </c:v>
                </c:pt>
                <c:pt idx="10">
                  <c:v>Tiesās izskatāmo civillietu nodaļa </c:v>
                </c:pt>
                <c:pt idx="11">
                  <c:v>Īpaši pilnvarotu prokuroru nodaļa</c:v>
                </c:pt>
                <c:pt idx="12">
                  <c:v>Latvijas Republikas pārstāvis Eirojustā</c:v>
                </c:pt>
                <c:pt idx="13">
                  <c:v>Latvijas Republikas pārstāvja Eirojustā vietnieks</c:v>
                </c:pt>
              </c:strCache>
            </c:strRef>
          </c:cat>
          <c:val>
            <c:numRef>
              <c:f>ĢPdinamika!$B$2:$Q$2</c:f>
              <c:numCache>
                <c:formatCode>General</c:formatCode>
                <c:ptCount val="16"/>
                <c:pt idx="0">
                  <c:v>1</c:v>
                </c:pt>
                <c:pt idx="1">
                  <c:v>15</c:v>
                </c:pt>
                <c:pt idx="2">
                  <c:v>5</c:v>
                </c:pt>
                <c:pt idx="3">
                  <c:v>14</c:v>
                </c:pt>
                <c:pt idx="5">
                  <c:v>1</c:v>
                </c:pt>
                <c:pt idx="6">
                  <c:v>7</c:v>
                </c:pt>
                <c:pt idx="7">
                  <c:v>11</c:v>
                </c:pt>
                <c:pt idx="8">
                  <c:v>9</c:v>
                </c:pt>
                <c:pt idx="9">
                  <c:v>7</c:v>
                </c:pt>
                <c:pt idx="10">
                  <c:v>8</c:v>
                </c:pt>
                <c:pt idx="11">
                  <c:v>7</c:v>
                </c:pt>
                <c:pt idx="12">
                  <c:v>1</c:v>
                </c:pt>
                <c:pt idx="13">
                  <c:v>1</c:v>
                </c:pt>
              </c:numCache>
            </c:numRef>
          </c:val>
          <c:extLst>
            <c:ext xmlns:c16="http://schemas.microsoft.com/office/drawing/2014/chart" uri="{C3380CC4-5D6E-409C-BE32-E72D297353CC}">
              <c16:uniqueId val="{00000004-F036-43E9-9DBE-6476A4E9FD4F}"/>
            </c:ext>
          </c:extLst>
        </c:ser>
        <c:ser>
          <c:idx val="1"/>
          <c:order val="1"/>
          <c:tx>
            <c:strRef>
              <c:f>ĢPdinamika!$A$3</c:f>
              <c:strCache>
                <c:ptCount val="1"/>
                <c:pt idx="0">
                  <c:v>01.01.2021.</c:v>
                </c:pt>
              </c:strCache>
            </c:strRef>
          </c:tx>
          <c:spPr>
            <a:solidFill>
              <a:schemeClr val="accent2"/>
            </a:solidFill>
            <a:ln>
              <a:noFill/>
            </a:ln>
            <a:effectLst/>
          </c:spPr>
          <c:invertIfNegative val="0"/>
          <c:dLbls>
            <c:dLbl>
              <c:idx val="0"/>
              <c:layout>
                <c:manualLayout>
                  <c:x val="-1.250212871491325E-17"/>
                  <c:y val="3.77012790756527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036-43E9-9DBE-6476A4E9FD4F}"/>
                </c:ext>
              </c:extLst>
            </c:dLbl>
            <c:dLbl>
              <c:idx val="5"/>
              <c:layout>
                <c:manualLayout>
                  <c:x val="-5.0008514859652999E-17"/>
                  <c:y val="3.5405594961786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036-43E9-9DBE-6476A4E9FD4F}"/>
                </c:ext>
              </c:extLst>
            </c:dLbl>
            <c:dLbl>
              <c:idx val="12"/>
              <c:layout>
                <c:manualLayout>
                  <c:x val="1.363884342607747E-3"/>
                  <c:y val="3.5405594961786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036-43E9-9DBE-6476A4E9FD4F}"/>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ĢPdinamika!$B$1:$Q$1</c:f>
              <c:strCache>
                <c:ptCount val="14"/>
                <c:pt idx="0">
                  <c:v>Krimināltiesiskais departaments</c:v>
                </c:pt>
                <c:pt idx="1">
                  <c:v>Pirmstiesas izmeklēšanas uzraudzības nodaļa</c:v>
                </c:pt>
                <c:pt idx="2">
                  <c:v>Tiesās izskatāmo krimināllietu nodaļa </c:v>
                </c:pt>
                <c:pt idx="3">
                  <c:v>Sevišķi svarīgu lietu izmeklēšanas nodaļa </c:v>
                </c:pt>
                <c:pt idx="4">
                  <c:v>Noziedzīgi iegūtu līdzekļu legalizēšanas apkarošanas koordinācijas nodaļa </c:v>
                </c:pt>
                <c:pt idx="5">
                  <c:v>Darbības analīzes un vadības departaments </c:v>
                </c:pt>
                <c:pt idx="6">
                  <c:v>Metodikas nodaļa</c:v>
                </c:pt>
                <c:pt idx="7">
                  <c:v>Starptautiskās sadarbības nodaļa </c:v>
                </c:pt>
                <c:pt idx="8">
                  <c:v>Prokuroru personāla un profesionālās izaugsmes nodaļa</c:v>
                </c:pt>
                <c:pt idx="9">
                  <c:v>Personu un valsts tiesību aizsardzības departaments </c:v>
                </c:pt>
                <c:pt idx="10">
                  <c:v>Tiesās izskatāmo civillietu nodaļa </c:v>
                </c:pt>
                <c:pt idx="11">
                  <c:v>Īpaši pilnvarotu prokuroru nodaļa</c:v>
                </c:pt>
                <c:pt idx="12">
                  <c:v>Latvijas Republikas pārstāvis Eirojustā</c:v>
                </c:pt>
                <c:pt idx="13">
                  <c:v>Latvijas Republikas pārstāvja Eirojustā vietnieks</c:v>
                </c:pt>
              </c:strCache>
            </c:strRef>
          </c:cat>
          <c:val>
            <c:numRef>
              <c:f>ĢPdinamika!$B$3:$Q$3</c:f>
              <c:numCache>
                <c:formatCode>General</c:formatCode>
                <c:ptCount val="16"/>
                <c:pt idx="0">
                  <c:v>1</c:v>
                </c:pt>
                <c:pt idx="1">
                  <c:v>11</c:v>
                </c:pt>
                <c:pt idx="2">
                  <c:v>5</c:v>
                </c:pt>
                <c:pt idx="3">
                  <c:v>8</c:v>
                </c:pt>
                <c:pt idx="4">
                  <c:v>4</c:v>
                </c:pt>
                <c:pt idx="5">
                  <c:v>1</c:v>
                </c:pt>
                <c:pt idx="6">
                  <c:v>6</c:v>
                </c:pt>
                <c:pt idx="7">
                  <c:v>11</c:v>
                </c:pt>
                <c:pt idx="9">
                  <c:v>7</c:v>
                </c:pt>
                <c:pt idx="10">
                  <c:v>7</c:v>
                </c:pt>
                <c:pt idx="11">
                  <c:v>7</c:v>
                </c:pt>
                <c:pt idx="12">
                  <c:v>1</c:v>
                </c:pt>
              </c:numCache>
            </c:numRef>
          </c:val>
          <c:extLst>
            <c:ext xmlns:c16="http://schemas.microsoft.com/office/drawing/2014/chart" uri="{C3380CC4-5D6E-409C-BE32-E72D297353CC}">
              <c16:uniqueId val="{00000008-F036-43E9-9DBE-6476A4E9FD4F}"/>
            </c:ext>
          </c:extLst>
        </c:ser>
        <c:dLbls>
          <c:dLblPos val="inEnd"/>
          <c:showLegendKey val="0"/>
          <c:showVal val="1"/>
          <c:showCatName val="0"/>
          <c:showSerName val="0"/>
          <c:showPercent val="0"/>
          <c:showBubbleSize val="0"/>
        </c:dLbls>
        <c:gapWidth val="219"/>
        <c:overlap val="-27"/>
        <c:axId val="322009528"/>
        <c:axId val="322017072"/>
      </c:barChart>
      <c:catAx>
        <c:axId val="322009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322017072"/>
        <c:crosses val="autoZero"/>
        <c:auto val="1"/>
        <c:lblAlgn val="ctr"/>
        <c:lblOffset val="100"/>
        <c:noMultiLvlLbl val="0"/>
      </c:catAx>
      <c:valAx>
        <c:axId val="322017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lv-LV"/>
          </a:p>
        </c:txPr>
        <c:crossAx val="322009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i="0" baseline="0">
          <a:latin typeface="Times New Roman" panose="02020603050405020304" pitchFamily="18" charset="0"/>
        </a:defRPr>
      </a:pPr>
      <a:endParaRPr lang="lv-LV"/>
    </a:p>
  </c:txPr>
  <c:externalData r:id="rId3">
    <c:autoUpdate val="0"/>
  </c:externalData>
</c:chartSpace>
</file>

<file path=word/charts/chart1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sz="1200" baseline="0">
                <a:solidFill>
                  <a:schemeClr val="tx1"/>
                </a:solidFill>
                <a:latin typeface="Times New Roman" panose="02020603050405020304" pitchFamily="18" charset="0"/>
              </a:rPr>
              <a:t>Prokurora amatā strādājošo sadalījums pēc dzimuma </a:t>
            </a:r>
          </a:p>
          <a:p>
            <a:pPr>
              <a:defRPr/>
            </a:pPr>
            <a:r>
              <a:rPr lang="lv-LV" sz="1000" baseline="0">
                <a:solidFill>
                  <a:schemeClr val="tx1"/>
                </a:solidFill>
                <a:latin typeface="Times New Roman" panose="02020603050405020304" pitchFamily="18" charset="0"/>
              </a:rPr>
              <a:t>(uz 31.12.2020.- 461 prokurors, 2019.g. - 459 prokurori, 2018.g. - 452 prokurori, 2017.g. - 454 prokurors)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barChart>
        <c:barDir val="col"/>
        <c:grouping val="stacked"/>
        <c:varyColors val="0"/>
        <c:ser>
          <c:idx val="0"/>
          <c:order val="0"/>
          <c:tx>
            <c:strRef>
              <c:f>'[Chart 2 in Microsoft PowerPoint]34'!$A$3</c:f>
              <c:strCache>
                <c:ptCount val="1"/>
                <c:pt idx="0">
                  <c:v>Prokurora amatā strādājošo skaits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'[Chart 2 in Microsoft PowerPoint]34'!$B$1:$G$2</c:f>
              <c:multiLvlStrCache>
                <c:ptCount val="6"/>
                <c:lvl>
                  <c:pt idx="0">
                    <c:v>2018.g.</c:v>
                  </c:pt>
                  <c:pt idx="1">
                    <c:v>2019.g.</c:v>
                  </c:pt>
                  <c:pt idx="2">
                    <c:v>2020.g.</c:v>
                  </c:pt>
                  <c:pt idx="3">
                    <c:v>2018.g.</c:v>
                  </c:pt>
                  <c:pt idx="4">
                    <c:v>2019.g.</c:v>
                  </c:pt>
                  <c:pt idx="5">
                    <c:v>2020.g.</c:v>
                  </c:pt>
                </c:lvl>
                <c:lvl>
                  <c:pt idx="0">
                    <c:v>vīrieši</c:v>
                  </c:pt>
                  <c:pt idx="3">
                    <c:v>sievietes</c:v>
                  </c:pt>
                </c:lvl>
              </c:multiLvlStrCache>
            </c:multiLvlStrRef>
          </c:cat>
          <c:val>
            <c:numRef>
              <c:f>'[Chart 2 in Microsoft PowerPoint]34'!$B$3:$G$3</c:f>
              <c:numCache>
                <c:formatCode>General</c:formatCode>
                <c:ptCount val="6"/>
                <c:pt idx="0">
                  <c:v>175</c:v>
                </c:pt>
                <c:pt idx="1">
                  <c:v>183</c:v>
                </c:pt>
                <c:pt idx="2">
                  <c:v>181</c:v>
                </c:pt>
                <c:pt idx="3">
                  <c:v>277</c:v>
                </c:pt>
                <c:pt idx="4">
                  <c:v>276</c:v>
                </c:pt>
                <c:pt idx="5">
                  <c:v>280</c:v>
                </c:pt>
              </c:numCache>
            </c:numRef>
          </c:val>
          <c:extLst>
            <c:ext xmlns:c16="http://schemas.microsoft.com/office/drawing/2014/chart" uri="{C3380CC4-5D6E-409C-BE32-E72D297353CC}">
              <c16:uniqueId val="{00000000-EC67-402F-AAE1-8959D68FA5C4}"/>
            </c:ext>
          </c:extLst>
        </c:ser>
        <c:ser>
          <c:idx val="1"/>
          <c:order val="1"/>
          <c:tx>
            <c:strRef>
              <c:f>'[Chart 2 in Microsoft PowerPoint]34'!$A$4</c:f>
              <c:strCache>
                <c:ptCount val="1"/>
                <c:pt idx="0">
                  <c:v>t.sk. virsprokurori</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'[Chart 2 in Microsoft PowerPoint]34'!$B$1:$G$2</c:f>
              <c:multiLvlStrCache>
                <c:ptCount val="6"/>
                <c:lvl>
                  <c:pt idx="0">
                    <c:v>2018.g.</c:v>
                  </c:pt>
                  <c:pt idx="1">
                    <c:v>2019.g.</c:v>
                  </c:pt>
                  <c:pt idx="2">
                    <c:v>2020.g.</c:v>
                  </c:pt>
                  <c:pt idx="3">
                    <c:v>2018.g.</c:v>
                  </c:pt>
                  <c:pt idx="4">
                    <c:v>2019.g.</c:v>
                  </c:pt>
                  <c:pt idx="5">
                    <c:v>2020.g.</c:v>
                  </c:pt>
                </c:lvl>
                <c:lvl>
                  <c:pt idx="0">
                    <c:v>vīrieši</c:v>
                  </c:pt>
                  <c:pt idx="3">
                    <c:v>sievietes</c:v>
                  </c:pt>
                </c:lvl>
              </c:multiLvlStrCache>
            </c:multiLvlStrRef>
          </c:cat>
          <c:val>
            <c:numRef>
              <c:f>'[Chart 2 in Microsoft PowerPoint]34'!$B$4:$G$4</c:f>
              <c:numCache>
                <c:formatCode>General</c:formatCode>
                <c:ptCount val="6"/>
                <c:pt idx="0">
                  <c:v>25</c:v>
                </c:pt>
                <c:pt idx="1">
                  <c:v>25</c:v>
                </c:pt>
                <c:pt idx="2">
                  <c:v>24</c:v>
                </c:pt>
                <c:pt idx="3">
                  <c:v>28</c:v>
                </c:pt>
                <c:pt idx="4">
                  <c:v>25</c:v>
                </c:pt>
                <c:pt idx="5">
                  <c:v>28</c:v>
                </c:pt>
              </c:numCache>
            </c:numRef>
          </c:val>
          <c:extLst>
            <c:ext xmlns:c16="http://schemas.microsoft.com/office/drawing/2014/chart" uri="{C3380CC4-5D6E-409C-BE32-E72D297353CC}">
              <c16:uniqueId val="{00000001-EC67-402F-AAE1-8959D68FA5C4}"/>
            </c:ext>
          </c:extLst>
        </c:ser>
        <c:dLbls>
          <c:dLblPos val="ctr"/>
          <c:showLegendKey val="0"/>
          <c:showVal val="1"/>
          <c:showCatName val="0"/>
          <c:showSerName val="0"/>
          <c:showPercent val="0"/>
          <c:showBubbleSize val="0"/>
        </c:dLbls>
        <c:gapWidth val="150"/>
        <c:overlap val="100"/>
        <c:axId val="370744544"/>
        <c:axId val="1"/>
      </c:barChart>
      <c:catAx>
        <c:axId val="3707445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1000" b="1" i="0" u="none" strike="noStrike" kern="1200" cap="all" baseline="0">
                <a:solidFill>
                  <a:schemeClr val="tx1"/>
                </a:solidFill>
                <a:latin typeface="Times New Roman" panose="02020603050405020304" pitchFamily="18" charset="0"/>
                <a:ea typeface="+mn-ea"/>
                <a:cs typeface="+mn-cs"/>
              </a:defRPr>
            </a:pPr>
            <a:endParaRPr lang="lv-LV"/>
          </a:p>
        </c:txPr>
        <c:crossAx val="1"/>
        <c:crosses val="autoZero"/>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37074454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Entry>
      <c:legendEntry>
        <c:idx val="1"/>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Entry>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gradFill flip="none" rotWithShape="1">
      <a:gsLst>
        <a:gs pos="0">
          <a:schemeClr val="accent3">
            <a:lumMod val="0"/>
            <a:lumOff val="100000"/>
          </a:schemeClr>
        </a:gs>
        <a:gs pos="35000">
          <a:schemeClr val="accent3">
            <a:lumMod val="0"/>
            <a:lumOff val="100000"/>
          </a:schemeClr>
        </a:gs>
        <a:gs pos="100000">
          <a:schemeClr val="accent3">
            <a:lumMod val="100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1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lv-LV" sz="1200" baseline="0">
                <a:solidFill>
                  <a:schemeClr val="tx1"/>
                </a:solidFill>
                <a:latin typeface="Times New Roman" panose="02020603050405020304" pitchFamily="18" charset="0"/>
              </a:rPr>
              <a:t>Prokuroru kadru mainība</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lv-LV"/>
        </a:p>
      </c:txPr>
    </c:title>
    <c:autoTitleDeleted val="0"/>
    <c:plotArea>
      <c:layout/>
      <c:barChart>
        <c:barDir val="col"/>
        <c:grouping val="clustered"/>
        <c:varyColors val="0"/>
        <c:ser>
          <c:idx val="0"/>
          <c:order val="0"/>
          <c:tx>
            <c:strRef>
              <c:f>'[Chart 3 in Microsoft PowerPoint]36'!$A$2</c:f>
              <c:strCache>
                <c:ptCount val="1"/>
                <c:pt idx="0">
                  <c:v>iecelti amatā</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7"/>
              <c:layout>
                <c:manualLayout>
                  <c:x val="-1.5586255756287741E-2"/>
                  <c:y val="-6.04229607250755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EF-403F-93AD-6435421B0913}"/>
                </c:ext>
              </c:extLst>
            </c:dLbl>
            <c:dLbl>
              <c:idx val="10"/>
              <c:layout>
                <c:manualLayout>
                  <c:x val="-7.084661707403575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EF-403F-93AD-6435421B09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 in Microsoft PowerPoint]36'!$B$1:$N$1</c:f>
              <c:strCache>
                <c:ptCount val="13"/>
                <c:pt idx="0">
                  <c:v>2008.g.</c:v>
                </c:pt>
                <c:pt idx="1">
                  <c:v>2009.g.</c:v>
                </c:pt>
                <c:pt idx="2">
                  <c:v>2010.g.</c:v>
                </c:pt>
                <c:pt idx="3">
                  <c:v>2011.g.</c:v>
                </c:pt>
                <c:pt idx="4">
                  <c:v>2012.g.</c:v>
                </c:pt>
                <c:pt idx="5">
                  <c:v>2013.g.</c:v>
                </c:pt>
                <c:pt idx="6">
                  <c:v>2014.g.</c:v>
                </c:pt>
                <c:pt idx="7">
                  <c:v>2015.g.</c:v>
                </c:pt>
                <c:pt idx="8">
                  <c:v>2016.g.</c:v>
                </c:pt>
                <c:pt idx="9">
                  <c:v>2017.g.</c:v>
                </c:pt>
                <c:pt idx="10">
                  <c:v>2018.g.</c:v>
                </c:pt>
                <c:pt idx="11">
                  <c:v>2019.g.</c:v>
                </c:pt>
                <c:pt idx="12">
                  <c:v>2020.g.</c:v>
                </c:pt>
              </c:strCache>
            </c:strRef>
          </c:cat>
          <c:val>
            <c:numRef>
              <c:f>'[Chart 3 in Microsoft PowerPoint]36'!$B$2:$N$2</c:f>
              <c:numCache>
                <c:formatCode>General</c:formatCode>
                <c:ptCount val="13"/>
                <c:pt idx="0">
                  <c:v>7</c:v>
                </c:pt>
                <c:pt idx="1">
                  <c:v>0</c:v>
                </c:pt>
                <c:pt idx="2">
                  <c:v>0</c:v>
                </c:pt>
                <c:pt idx="3">
                  <c:v>11</c:v>
                </c:pt>
                <c:pt idx="4">
                  <c:v>24</c:v>
                </c:pt>
                <c:pt idx="5">
                  <c:v>8</c:v>
                </c:pt>
                <c:pt idx="6">
                  <c:v>18</c:v>
                </c:pt>
                <c:pt idx="7">
                  <c:v>19</c:v>
                </c:pt>
                <c:pt idx="8">
                  <c:v>22</c:v>
                </c:pt>
                <c:pt idx="9">
                  <c:v>22</c:v>
                </c:pt>
                <c:pt idx="10">
                  <c:v>17</c:v>
                </c:pt>
                <c:pt idx="11">
                  <c:v>19</c:v>
                </c:pt>
                <c:pt idx="12">
                  <c:v>19</c:v>
                </c:pt>
              </c:numCache>
            </c:numRef>
          </c:val>
          <c:extLst>
            <c:ext xmlns:c16="http://schemas.microsoft.com/office/drawing/2014/chart" uri="{C3380CC4-5D6E-409C-BE32-E72D297353CC}">
              <c16:uniqueId val="{00000002-5EEF-403F-93AD-6435421B0913}"/>
            </c:ext>
          </c:extLst>
        </c:ser>
        <c:dLbls>
          <c:showLegendKey val="0"/>
          <c:showVal val="0"/>
          <c:showCatName val="0"/>
          <c:showSerName val="0"/>
          <c:showPercent val="0"/>
          <c:showBubbleSize val="0"/>
        </c:dLbls>
        <c:gapWidth val="100"/>
        <c:overlap val="-27"/>
        <c:axId val="370747168"/>
        <c:axId val="1"/>
      </c:barChart>
      <c:lineChart>
        <c:grouping val="standard"/>
        <c:varyColors val="0"/>
        <c:ser>
          <c:idx val="1"/>
          <c:order val="1"/>
          <c:tx>
            <c:strRef>
              <c:f>'[Chart 3 in Microsoft PowerPoint]36'!$A$3</c:f>
              <c:strCache>
                <c:ptCount val="1"/>
                <c:pt idx="0">
                  <c:v>atbrīvoti no amata</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dLbl>
              <c:idx val="0"/>
              <c:layout>
                <c:manualLayout>
                  <c:x val="-3.7548707049238406E-2"/>
                  <c:y val="-2.62839879154079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EEF-403F-93AD-6435421B0913}"/>
                </c:ext>
              </c:extLst>
            </c:dLbl>
            <c:dLbl>
              <c:idx val="2"/>
              <c:layout>
                <c:manualLayout>
                  <c:x val="-2.4796315975912149E-2"/>
                  <c:y val="-3.03121852970795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EEF-403F-93AD-6435421B0913}"/>
                </c:ext>
              </c:extLst>
            </c:dLbl>
            <c:dLbl>
              <c:idx val="3"/>
              <c:layout>
                <c:manualLayout>
                  <c:x val="-1.4877789585547342E-2"/>
                  <c:y val="-5.04531722054381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EEF-403F-93AD-6435421B0913}"/>
                </c:ext>
              </c:extLst>
            </c:dLbl>
            <c:dLbl>
              <c:idx val="4"/>
              <c:layout>
                <c:manualLayout>
                  <c:x val="-2.4057837616206581E-2"/>
                  <c:y val="-2.8550086828270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EEF-403F-93AD-6435421B0913}"/>
                </c:ext>
              </c:extLst>
            </c:dLbl>
            <c:dLbl>
              <c:idx val="5"/>
              <c:layout>
                <c:manualLayout>
                  <c:x val="-2.2521302796767884E-2"/>
                  <c:y val="-4.02734099325198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EEF-403F-93AD-6435421B0913}"/>
                </c:ext>
              </c:extLst>
            </c:dLbl>
            <c:dLbl>
              <c:idx val="6"/>
              <c:layout>
                <c:manualLayout>
                  <c:x val="-1.9647273102551977E-2"/>
                  <c:y val="3.18728738968051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EEF-403F-93AD-6435421B0913}"/>
                </c:ext>
              </c:extLst>
            </c:dLbl>
            <c:dLbl>
              <c:idx val="7"/>
              <c:layout>
                <c:manualLayout>
                  <c:x val="-2.5733945849754965E-2"/>
                  <c:y val="3.40883824567245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EEF-403F-93AD-6435421B0913}"/>
                </c:ext>
              </c:extLst>
            </c:dLbl>
            <c:dLbl>
              <c:idx val="8"/>
              <c:layout>
                <c:manualLayout>
                  <c:x val="-2.607334019485609E-2"/>
                  <c:y val="-2.93498584580250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EEF-403F-93AD-6435421B0913}"/>
                </c:ext>
              </c:extLst>
            </c:dLbl>
            <c:dLbl>
              <c:idx val="9"/>
              <c:layout>
                <c:manualLayout>
                  <c:x val="-2.6213248317392947E-2"/>
                  <c:y val="3.41389728096676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EEF-403F-93AD-6435421B0913}"/>
                </c:ext>
              </c:extLst>
            </c:dLbl>
            <c:dLbl>
              <c:idx val="10"/>
              <c:layout>
                <c:manualLayout>
                  <c:x val="-2.6212913608965618E-2"/>
                  <c:y val="-2.8188817787504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EEF-403F-93AD-6435421B0913}"/>
                </c:ext>
              </c:extLst>
            </c:dLbl>
            <c:dLbl>
              <c:idx val="11"/>
              <c:layout>
                <c:manualLayout>
                  <c:x val="-2.6213248317392947E-2"/>
                  <c:y val="3.21248741188318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EEF-403F-93AD-6435421B09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 in Microsoft PowerPoint]36'!$B$1:$N$1</c:f>
              <c:strCache>
                <c:ptCount val="13"/>
                <c:pt idx="0">
                  <c:v>2008.g.</c:v>
                </c:pt>
                <c:pt idx="1">
                  <c:v>2009.g.</c:v>
                </c:pt>
                <c:pt idx="2">
                  <c:v>2010.g.</c:v>
                </c:pt>
                <c:pt idx="3">
                  <c:v>2011.g.</c:v>
                </c:pt>
                <c:pt idx="4">
                  <c:v>2012.g.</c:v>
                </c:pt>
                <c:pt idx="5">
                  <c:v>2013.g.</c:v>
                </c:pt>
                <c:pt idx="6">
                  <c:v>2014.g.</c:v>
                </c:pt>
                <c:pt idx="7">
                  <c:v>2015.g.</c:v>
                </c:pt>
                <c:pt idx="8">
                  <c:v>2016.g.</c:v>
                </c:pt>
                <c:pt idx="9">
                  <c:v>2017.g.</c:v>
                </c:pt>
                <c:pt idx="10">
                  <c:v>2018.g.</c:v>
                </c:pt>
                <c:pt idx="11">
                  <c:v>2019.g.</c:v>
                </c:pt>
                <c:pt idx="12">
                  <c:v>2020.g.</c:v>
                </c:pt>
              </c:strCache>
            </c:strRef>
          </c:cat>
          <c:val>
            <c:numRef>
              <c:f>'[Chart 3 in Microsoft PowerPoint]36'!$B$3:$N$3</c:f>
              <c:numCache>
                <c:formatCode>General</c:formatCode>
                <c:ptCount val="13"/>
                <c:pt idx="0">
                  <c:v>16</c:v>
                </c:pt>
                <c:pt idx="1">
                  <c:v>26</c:v>
                </c:pt>
                <c:pt idx="2">
                  <c:v>27</c:v>
                </c:pt>
                <c:pt idx="3">
                  <c:v>14</c:v>
                </c:pt>
                <c:pt idx="4">
                  <c:v>19</c:v>
                </c:pt>
                <c:pt idx="5">
                  <c:v>10</c:v>
                </c:pt>
                <c:pt idx="6">
                  <c:v>16</c:v>
                </c:pt>
                <c:pt idx="7">
                  <c:v>19</c:v>
                </c:pt>
                <c:pt idx="8">
                  <c:v>27</c:v>
                </c:pt>
                <c:pt idx="9">
                  <c:v>20</c:v>
                </c:pt>
                <c:pt idx="10">
                  <c:v>19</c:v>
                </c:pt>
                <c:pt idx="11">
                  <c:v>13</c:v>
                </c:pt>
                <c:pt idx="12">
                  <c:v>24</c:v>
                </c:pt>
              </c:numCache>
            </c:numRef>
          </c:val>
          <c:smooth val="0"/>
          <c:extLst>
            <c:ext xmlns:c16="http://schemas.microsoft.com/office/drawing/2014/chart" uri="{C3380CC4-5D6E-409C-BE32-E72D297353CC}">
              <c16:uniqueId val="{0000000E-5EEF-403F-93AD-6435421B0913}"/>
            </c:ext>
          </c:extLst>
        </c:ser>
        <c:dLbls>
          <c:showLegendKey val="0"/>
          <c:showVal val="0"/>
          <c:showCatName val="0"/>
          <c:showSerName val="0"/>
          <c:showPercent val="0"/>
          <c:showBubbleSize val="0"/>
        </c:dLbls>
        <c:marker val="1"/>
        <c:smooth val="0"/>
        <c:axId val="370747168"/>
        <c:axId val="1"/>
      </c:lineChart>
      <c:catAx>
        <c:axId val="3707471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0" spcFirstLastPara="1" vertOverflow="ellipsis"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1"/>
        <c:crosses val="autoZero"/>
        <c:auto val="1"/>
        <c:lblAlgn val="ctr"/>
        <c:lblOffset val="100"/>
        <c:noMultiLvlLbl val="0"/>
      </c:catAx>
      <c:valAx>
        <c:axId val="1"/>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370747168"/>
        <c:crosses val="autoZero"/>
        <c:crossBetween val="between"/>
      </c:valAx>
      <c:spPr>
        <a:gradFill flip="none" rotWithShape="1">
          <a:gsLst>
            <a:gs pos="0">
              <a:schemeClr val="accent3">
                <a:lumMod val="0"/>
                <a:lumOff val="100000"/>
              </a:schemeClr>
            </a:gs>
            <a:gs pos="35000">
              <a:schemeClr val="accent3">
                <a:lumMod val="0"/>
                <a:lumOff val="100000"/>
              </a:schemeClr>
            </a:gs>
            <a:gs pos="100000">
              <a:schemeClr val="accent3">
                <a:lumMod val="100000"/>
              </a:schemeClr>
            </a:gs>
          </a:gsLst>
          <a:path path="circle">
            <a:fillToRect l="50000" t="-80000" r="50000" b="180000"/>
          </a:path>
          <a:tileRect/>
        </a:grad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Entry>
      <c:legendEntry>
        <c:idx val="1"/>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Entry>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lv-LV" sz="1200" baseline="0">
                <a:solidFill>
                  <a:schemeClr val="tx1"/>
                </a:solidFill>
                <a:latin typeface="Times New Roman" panose="02020603050405020304" pitchFamily="18" charset="0"/>
              </a:rPr>
              <a:t>Prokuroru darba stāžs (īpatsvars %) uz 2020.gada 31.decembri</a:t>
            </a:r>
          </a:p>
        </c:rich>
      </c:tx>
      <c:layout>
        <c:manualLayout>
          <c:xMode val="edge"/>
          <c:yMode val="edge"/>
          <c:x val="0.204799180089451"/>
          <c:y val="3.532856120257695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endParaRPr lang="lv-LV"/>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965813774237911"/>
          <c:y val="0.17954073013600572"/>
          <c:w val="0.69592198581560283"/>
          <c:h val="0.61157625806751981"/>
        </c:manualLayout>
      </c:layout>
      <c:pie3DChart>
        <c:varyColors val="1"/>
        <c:ser>
          <c:idx val="0"/>
          <c:order val="0"/>
          <c:tx>
            <c:strRef>
              <c:f>'[Chart 5 in Microsoft PowerPoint]35'!$A$2</c:f>
              <c:strCache>
                <c:ptCount val="1"/>
                <c:pt idx="0">
                  <c:v>darba stāžs</c:v>
                </c:pt>
              </c:strCache>
            </c:strRef>
          </c:tx>
          <c:explosion val="25"/>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047E-4718-BAD8-D57BC0E63A35}"/>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047E-4718-BAD8-D57BC0E63A35}"/>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047E-4718-BAD8-D57BC0E63A35}"/>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047E-4718-BAD8-D57BC0E63A35}"/>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047E-4718-BAD8-D57BC0E63A35}"/>
              </c:ext>
            </c:extLst>
          </c:dPt>
          <c:dLbls>
            <c:dLbl>
              <c:idx val="0"/>
              <c:layout>
                <c:manualLayout>
                  <c:x val="0"/>
                  <c:y val="0"/>
                </c:manualLayout>
              </c:layout>
              <c:tx>
                <c:rich>
                  <a:bodyPr/>
                  <a:lstStyle/>
                  <a:p>
                    <a:r>
                      <a:rPr lang="en-US" sz="1000" b="1" i="0" baseline="0">
                        <a:solidFill>
                          <a:schemeClr val="tx1"/>
                        </a:solidFill>
                        <a:latin typeface="Times New Roman" panose="02020603050405020304" pitchFamily="18" charset="0"/>
                        <a:cs typeface="Times New Roman" panose="02020603050405020304" pitchFamily="18" charset="0"/>
                      </a:rPr>
                      <a:t>līdz 5 gadiem
103 (</a:t>
                    </a:r>
                    <a:r>
                      <a:rPr lang="en-US" sz="1000" b="1" i="0" u="none" strike="noStrike" baseline="0">
                        <a:solidFill>
                          <a:schemeClr val="tx1"/>
                        </a:solidFill>
                        <a:latin typeface="Times New Roman" panose="02020603050405020304" pitchFamily="18" charset="0"/>
                        <a:cs typeface="Times New Roman" panose="02020603050405020304" pitchFamily="18" charset="0"/>
                      </a:rPr>
                      <a:t>22,3</a:t>
                    </a:r>
                    <a:r>
                      <a:rPr lang="en-US" sz="1000" b="1" i="0" baseline="0">
                        <a:solidFill>
                          <a:schemeClr val="tx1"/>
                        </a:solidFill>
                        <a:latin typeface="Times New Roman" panose="02020603050405020304" pitchFamily="18" charset="0"/>
                        <a:cs typeface="Times New Roman" panose="02020603050405020304" pitchFamily="18" charset="0"/>
                      </a:rPr>
                      <a:t>%)</a:t>
                    </a:r>
                  </a:p>
                </c:rich>
              </c:tx>
              <c:dLblPos val="bestFit"/>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047E-4718-BAD8-D57BC0E63A35}"/>
                </c:ext>
              </c:extLst>
            </c:dLbl>
            <c:dLbl>
              <c:idx val="1"/>
              <c:tx>
                <c:rich>
                  <a:bodyPr/>
                  <a:lstStyle/>
                  <a:p>
                    <a:r>
                      <a:rPr lang="en-US" sz="1000" b="1" i="0" baseline="0">
                        <a:solidFill>
                          <a:schemeClr val="tx1"/>
                        </a:solidFill>
                        <a:latin typeface="Times New Roman" panose="02020603050405020304" pitchFamily="18" charset="0"/>
                        <a:cs typeface="Times New Roman" panose="02020603050405020304" pitchFamily="18" charset="0"/>
                      </a:rPr>
                      <a:t>no 5 līdz 10</a:t>
                    </a:r>
                  </a:p>
                  <a:p>
                    <a:r>
                      <a:rPr lang="en-US" sz="1000" b="1" i="0" baseline="0">
                        <a:solidFill>
                          <a:schemeClr val="tx1"/>
                        </a:solidFill>
                        <a:latin typeface="Times New Roman" panose="02020603050405020304" pitchFamily="18" charset="0"/>
                        <a:cs typeface="Times New Roman" panose="02020603050405020304" pitchFamily="18" charset="0"/>
                      </a:rPr>
                      <a:t> gadiem</a:t>
                    </a:r>
                  </a:p>
                  <a:p>
                    <a:r>
                      <a:rPr lang="en-US" sz="1000" b="1" i="0" baseline="0">
                        <a:solidFill>
                          <a:schemeClr val="tx1"/>
                        </a:solidFill>
                        <a:latin typeface="Times New Roman" panose="02020603050405020304" pitchFamily="18" charset="0"/>
                        <a:cs typeface="Times New Roman" panose="02020603050405020304" pitchFamily="18" charset="0"/>
                      </a:rPr>
                      <a:t>75 (</a:t>
                    </a:r>
                    <a:r>
                      <a:rPr lang="en-US" sz="1000" b="1" i="0" u="none" strike="noStrike" baseline="0">
                        <a:solidFill>
                          <a:schemeClr val="tx1"/>
                        </a:solidFill>
                        <a:latin typeface="Times New Roman" panose="02020603050405020304" pitchFamily="18" charset="0"/>
                        <a:cs typeface="Times New Roman" panose="02020603050405020304" pitchFamily="18" charset="0"/>
                      </a:rPr>
                      <a:t>16,3</a:t>
                    </a:r>
                    <a:r>
                      <a:rPr lang="en-US" sz="1000" b="1" i="0" baseline="0">
                        <a:solidFill>
                          <a:schemeClr val="tx1"/>
                        </a:solidFill>
                        <a:latin typeface="Times New Roman" panose="02020603050405020304" pitchFamily="18" charset="0"/>
                        <a:cs typeface="Times New Roman" panose="02020603050405020304" pitchFamily="18" charset="0"/>
                      </a:rPr>
                      <a:t>%)</a:t>
                    </a:r>
                  </a:p>
                </c:rich>
              </c:tx>
              <c:dLblPos val="outEnd"/>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047E-4718-BAD8-D57BC0E63A35}"/>
                </c:ext>
              </c:extLst>
            </c:dLbl>
            <c:dLbl>
              <c:idx val="2"/>
              <c:tx>
                <c:rich>
                  <a:bodyPr/>
                  <a:lstStyle/>
                  <a:p>
                    <a:r>
                      <a:rPr lang="en-US" sz="1000" b="1" i="0" baseline="0">
                        <a:solidFill>
                          <a:schemeClr val="tx1"/>
                        </a:solidFill>
                        <a:latin typeface="Times New Roman" panose="02020603050405020304" pitchFamily="18" charset="0"/>
                        <a:cs typeface="Times New Roman" panose="02020603050405020304" pitchFamily="18" charset="0"/>
                      </a:rPr>
                      <a:t>no 10 līdz 15 gadiem
13 (</a:t>
                    </a:r>
                    <a:r>
                      <a:rPr lang="en-US" sz="1000" b="1" i="0" u="none" strike="noStrike" baseline="0">
                        <a:solidFill>
                          <a:schemeClr val="tx1"/>
                        </a:solidFill>
                        <a:latin typeface="Times New Roman" panose="02020603050405020304" pitchFamily="18" charset="0"/>
                        <a:cs typeface="Times New Roman" panose="02020603050405020304" pitchFamily="18" charset="0"/>
                      </a:rPr>
                      <a:t>2,8</a:t>
                    </a:r>
                    <a:r>
                      <a:rPr lang="en-US" sz="1000" b="1" i="0" baseline="0">
                        <a:solidFill>
                          <a:schemeClr val="tx1"/>
                        </a:solidFill>
                        <a:latin typeface="Times New Roman" panose="02020603050405020304" pitchFamily="18" charset="0"/>
                        <a:cs typeface="Times New Roman" panose="02020603050405020304" pitchFamily="18" charset="0"/>
                      </a:rPr>
                      <a:t>%)</a:t>
                    </a:r>
                  </a:p>
                </c:rich>
              </c:tx>
              <c:dLblPos val="outEnd"/>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047E-4718-BAD8-D57BC0E63A35}"/>
                </c:ext>
              </c:extLst>
            </c:dLbl>
            <c:dLbl>
              <c:idx val="3"/>
              <c:tx>
                <c:rich>
                  <a:bodyPr/>
                  <a:lstStyle/>
                  <a:p>
                    <a:r>
                      <a:rPr lang="en-US" sz="1000" b="1" i="0" baseline="0">
                        <a:solidFill>
                          <a:schemeClr val="tx1"/>
                        </a:solidFill>
                        <a:latin typeface="Times New Roman" panose="02020603050405020304" pitchFamily="18" charset="0"/>
                        <a:cs typeface="Times New Roman" panose="02020603050405020304" pitchFamily="18" charset="0"/>
                      </a:rPr>
                      <a:t>no 15 līdz 20 gadiem
69 (15%)</a:t>
                    </a:r>
                  </a:p>
                </c:rich>
              </c:tx>
              <c:dLblPos val="outEnd"/>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047E-4718-BAD8-D57BC0E63A35}"/>
                </c:ext>
              </c:extLst>
            </c:dLbl>
            <c:dLbl>
              <c:idx val="4"/>
              <c:tx>
                <c:rich>
                  <a:bodyPr/>
                  <a:lstStyle/>
                  <a:p>
                    <a:r>
                      <a:rPr lang="en-US" sz="1000" b="1" i="0" baseline="0">
                        <a:solidFill>
                          <a:schemeClr val="tx1"/>
                        </a:solidFill>
                        <a:latin typeface="Times New Roman" panose="02020603050405020304" pitchFamily="18" charset="0"/>
                        <a:cs typeface="Times New Roman" panose="02020603050405020304" pitchFamily="18" charset="0"/>
                      </a:rPr>
                      <a:t>virs 20 gadiem
201 (</a:t>
                    </a:r>
                    <a:r>
                      <a:rPr lang="en-US" sz="1000" b="1" i="0" u="none" strike="noStrike" baseline="0">
                        <a:solidFill>
                          <a:schemeClr val="tx1"/>
                        </a:solidFill>
                        <a:latin typeface="Times New Roman" panose="02020603050405020304" pitchFamily="18" charset="0"/>
                        <a:cs typeface="Times New Roman" panose="02020603050405020304" pitchFamily="18" charset="0"/>
                      </a:rPr>
                      <a:t>43,6</a:t>
                    </a:r>
                    <a:r>
                      <a:rPr lang="en-US" sz="1000" b="1" i="0" baseline="0">
                        <a:solidFill>
                          <a:schemeClr val="tx1"/>
                        </a:solidFill>
                        <a:latin typeface="Times New Roman" panose="02020603050405020304" pitchFamily="18" charset="0"/>
                        <a:cs typeface="Times New Roman" panose="02020603050405020304" pitchFamily="18" charset="0"/>
                      </a:rPr>
                      <a:t>%)</a:t>
                    </a:r>
                  </a:p>
                </c:rich>
              </c:tx>
              <c:dLblPos val="outEnd"/>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047E-4718-BAD8-D57BC0E63A3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'[Chart 5 in Microsoft PowerPoint]35'!$B$1:$F$1</c:f>
              <c:strCache>
                <c:ptCount val="5"/>
                <c:pt idx="0">
                  <c:v>līdz 5 gadiem</c:v>
                </c:pt>
                <c:pt idx="1">
                  <c:v>no 5 līdz 10 gadiem</c:v>
                </c:pt>
                <c:pt idx="2">
                  <c:v>no 10 līdz 15 gadiem</c:v>
                </c:pt>
                <c:pt idx="3">
                  <c:v>no 15 līdz 20 gadiem</c:v>
                </c:pt>
                <c:pt idx="4">
                  <c:v>virs 20 gadiem</c:v>
                </c:pt>
              </c:strCache>
            </c:strRef>
          </c:cat>
          <c:val>
            <c:numRef>
              <c:f>'[Chart 5 in Microsoft PowerPoint]35'!$B$2:$F$2</c:f>
              <c:numCache>
                <c:formatCode>General</c:formatCode>
                <c:ptCount val="5"/>
                <c:pt idx="0">
                  <c:v>103</c:v>
                </c:pt>
                <c:pt idx="1">
                  <c:v>75</c:v>
                </c:pt>
                <c:pt idx="2">
                  <c:v>13</c:v>
                </c:pt>
                <c:pt idx="3">
                  <c:v>69</c:v>
                </c:pt>
                <c:pt idx="4">
                  <c:v>201</c:v>
                </c:pt>
              </c:numCache>
            </c:numRef>
          </c:val>
          <c:extLst>
            <c:ext xmlns:c16="http://schemas.microsoft.com/office/drawing/2014/chart" uri="{C3380CC4-5D6E-409C-BE32-E72D297353CC}">
              <c16:uniqueId val="{0000000A-047E-4718-BAD8-D57BC0E63A35}"/>
            </c:ext>
          </c:extLst>
        </c:ser>
        <c:dLbls>
          <c:dLblPos val="out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zero"/>
    <c:showDLblsOverMax val="0"/>
  </c:chart>
  <c:spPr>
    <a:gradFill flip="none" rotWithShape="1">
      <a:gsLst>
        <a:gs pos="0">
          <a:schemeClr val="accent3">
            <a:lumMod val="0"/>
            <a:lumOff val="100000"/>
          </a:schemeClr>
        </a:gs>
        <a:gs pos="35000">
          <a:schemeClr val="accent3">
            <a:lumMod val="0"/>
            <a:lumOff val="100000"/>
          </a:schemeClr>
        </a:gs>
        <a:gs pos="100000">
          <a:schemeClr val="accent3">
            <a:lumMod val="100000"/>
          </a:schemeClr>
        </a:gs>
      </a:gsLst>
      <a:path path="circle">
        <a:fillToRect l="50000" t="-80000" r="50000" b="180000"/>
      </a:path>
      <a:tileRect/>
    </a:gra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lv-LV" sz="1200" baseline="0">
                <a:solidFill>
                  <a:schemeClr val="tx1"/>
                </a:solidFill>
                <a:latin typeface="Times New Roman" panose="02020603050405020304" pitchFamily="18" charset="0"/>
              </a:rPr>
              <a:t>Piemērotie disciplinārsodi</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lv-LV"/>
        </a:p>
      </c:txPr>
    </c:title>
    <c:autoTitleDeleted val="0"/>
    <c:plotArea>
      <c:layout>
        <c:manualLayout>
          <c:layoutTarget val="inner"/>
          <c:xMode val="edge"/>
          <c:yMode val="edge"/>
          <c:x val="0.10256389535656985"/>
          <c:y val="0.11317313516283839"/>
          <c:w val="0.82046368642662471"/>
          <c:h val="0.64898499743745064"/>
        </c:manualLayout>
      </c:layout>
      <c:barChart>
        <c:barDir val="col"/>
        <c:grouping val="clustered"/>
        <c:varyColors val="0"/>
        <c:ser>
          <c:idx val="0"/>
          <c:order val="0"/>
          <c:tx>
            <c:strRef>
              <c:f>'[Chart 4 in Microsoft PowerPoint]Disciplinārsodi'!$A$2</c:f>
              <c:strCache>
                <c:ptCount val="1"/>
                <c:pt idx="0">
                  <c:v>Piezīme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4 in Microsoft PowerPoint]Disciplinārsodi'!$B$1:$D$1</c:f>
              <c:strCache>
                <c:ptCount val="3"/>
                <c:pt idx="0">
                  <c:v>2018.gads</c:v>
                </c:pt>
                <c:pt idx="1">
                  <c:v>2019.gads</c:v>
                </c:pt>
                <c:pt idx="2">
                  <c:v>2020.gads</c:v>
                </c:pt>
              </c:strCache>
            </c:strRef>
          </c:cat>
          <c:val>
            <c:numRef>
              <c:f>'[Chart 4 in Microsoft PowerPoint]Disciplinārsodi'!$B$2:$D$2</c:f>
              <c:numCache>
                <c:formatCode>General</c:formatCode>
                <c:ptCount val="3"/>
                <c:pt idx="0">
                  <c:v>4</c:v>
                </c:pt>
                <c:pt idx="1">
                  <c:v>2</c:v>
                </c:pt>
                <c:pt idx="2">
                  <c:v>3</c:v>
                </c:pt>
              </c:numCache>
            </c:numRef>
          </c:val>
          <c:extLst>
            <c:ext xmlns:c16="http://schemas.microsoft.com/office/drawing/2014/chart" uri="{C3380CC4-5D6E-409C-BE32-E72D297353CC}">
              <c16:uniqueId val="{00000000-F86D-4F5F-ACD9-6EA50207A6EC}"/>
            </c:ext>
          </c:extLst>
        </c:ser>
        <c:ser>
          <c:idx val="1"/>
          <c:order val="1"/>
          <c:tx>
            <c:strRef>
              <c:f>'[Chart 4 in Microsoft PowerPoint]Disciplinārsodi'!$A$3</c:f>
              <c:strCache>
                <c:ptCount val="1"/>
                <c:pt idx="0">
                  <c:v>Rājiens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4 in Microsoft PowerPoint]Disciplinārsodi'!$B$1:$D$1</c:f>
              <c:strCache>
                <c:ptCount val="3"/>
                <c:pt idx="0">
                  <c:v>2018.gads</c:v>
                </c:pt>
                <c:pt idx="1">
                  <c:v>2019.gads</c:v>
                </c:pt>
                <c:pt idx="2">
                  <c:v>2020.gads</c:v>
                </c:pt>
              </c:strCache>
            </c:strRef>
          </c:cat>
          <c:val>
            <c:numRef>
              <c:f>'[Chart 4 in Microsoft PowerPoint]Disciplinārsodi'!$B$3:$D$3</c:f>
              <c:numCache>
                <c:formatCode>General</c:formatCode>
                <c:ptCount val="3"/>
                <c:pt idx="0">
                  <c:v>3</c:v>
                </c:pt>
                <c:pt idx="1">
                  <c:v>1</c:v>
                </c:pt>
                <c:pt idx="2">
                  <c:v>3</c:v>
                </c:pt>
              </c:numCache>
            </c:numRef>
          </c:val>
          <c:extLst>
            <c:ext xmlns:c16="http://schemas.microsoft.com/office/drawing/2014/chart" uri="{C3380CC4-5D6E-409C-BE32-E72D297353CC}">
              <c16:uniqueId val="{00000001-F86D-4F5F-ACD9-6EA50207A6EC}"/>
            </c:ext>
          </c:extLst>
        </c:ser>
        <c:ser>
          <c:idx val="2"/>
          <c:order val="2"/>
          <c:tx>
            <c:strRef>
              <c:f>'[Chart 4 in Microsoft PowerPoint]Disciplinārsodi'!$A$4</c:f>
              <c:strCache>
                <c:ptCount val="1"/>
                <c:pt idx="0">
                  <c:v>Mēnešalgas samazinājums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4 in Microsoft PowerPoint]Disciplinārsodi'!$B$1:$D$1</c:f>
              <c:strCache>
                <c:ptCount val="3"/>
                <c:pt idx="0">
                  <c:v>2018.gads</c:v>
                </c:pt>
                <c:pt idx="1">
                  <c:v>2019.gads</c:v>
                </c:pt>
                <c:pt idx="2">
                  <c:v>2020.gads</c:v>
                </c:pt>
              </c:strCache>
            </c:strRef>
          </c:cat>
          <c:val>
            <c:numRef>
              <c:f>'[Chart 4 in Microsoft PowerPoint]Disciplinārsodi'!$B$4:$D$4</c:f>
              <c:numCache>
                <c:formatCode>General</c:formatCode>
                <c:ptCount val="3"/>
                <c:pt idx="0">
                  <c:v>5</c:v>
                </c:pt>
                <c:pt idx="1">
                  <c:v>1</c:v>
                </c:pt>
                <c:pt idx="2">
                  <c:v>2</c:v>
                </c:pt>
              </c:numCache>
            </c:numRef>
          </c:val>
          <c:extLst>
            <c:ext xmlns:c16="http://schemas.microsoft.com/office/drawing/2014/chart" uri="{C3380CC4-5D6E-409C-BE32-E72D297353CC}">
              <c16:uniqueId val="{00000002-F86D-4F5F-ACD9-6EA50207A6EC}"/>
            </c:ext>
          </c:extLst>
        </c:ser>
        <c:ser>
          <c:idx val="3"/>
          <c:order val="3"/>
          <c:tx>
            <c:strRef>
              <c:f>'[Chart 4 in Microsoft PowerPoint]Disciplinārsodi'!$A$5</c:f>
              <c:strCache>
                <c:ptCount val="1"/>
                <c:pt idx="0">
                  <c:v>Pazemināšana amatā</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4 in Microsoft PowerPoint]Disciplinārsodi'!$B$1:$D$1</c:f>
              <c:strCache>
                <c:ptCount val="3"/>
                <c:pt idx="0">
                  <c:v>2018.gads</c:v>
                </c:pt>
                <c:pt idx="1">
                  <c:v>2019.gads</c:v>
                </c:pt>
                <c:pt idx="2">
                  <c:v>2020.gads</c:v>
                </c:pt>
              </c:strCache>
            </c:strRef>
          </c:cat>
          <c:val>
            <c:numRef>
              <c:f>'[Chart 4 in Microsoft PowerPoint]Disciplinārsodi'!$B$5:$D$5</c:f>
              <c:numCache>
                <c:formatCode>General</c:formatCode>
                <c:ptCount val="3"/>
                <c:pt idx="1">
                  <c:v>1</c:v>
                </c:pt>
              </c:numCache>
            </c:numRef>
          </c:val>
          <c:extLst>
            <c:ext xmlns:c16="http://schemas.microsoft.com/office/drawing/2014/chart" uri="{C3380CC4-5D6E-409C-BE32-E72D297353CC}">
              <c16:uniqueId val="{00000003-F86D-4F5F-ACD9-6EA50207A6EC}"/>
            </c:ext>
          </c:extLst>
        </c:ser>
        <c:dLbls>
          <c:showLegendKey val="0"/>
          <c:showVal val="0"/>
          <c:showCatName val="0"/>
          <c:showSerName val="0"/>
          <c:showPercent val="0"/>
          <c:showBubbleSize val="0"/>
        </c:dLbls>
        <c:gapWidth val="150"/>
        <c:axId val="382983240"/>
        <c:axId val="1"/>
      </c:barChart>
      <c:lineChart>
        <c:grouping val="standard"/>
        <c:varyColors val="0"/>
        <c:ser>
          <c:idx val="4"/>
          <c:order val="4"/>
          <c:tx>
            <c:strRef>
              <c:f>'[Chart 4 in Microsoft PowerPoint]Disciplinārsodi'!$A$6</c:f>
              <c:strCache>
                <c:ptCount val="1"/>
                <c:pt idx="0">
                  <c:v>kopā (prokuroru skaits)</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dLbls>
            <c:dLbl>
              <c:idx val="0"/>
              <c:layout>
                <c:manualLayout>
                  <c:x val="-5.4885257325125329E-2"/>
                  <c:y val="-2.35988169268022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6D-4F5F-ACD9-6EA50207A6EC}"/>
                </c:ext>
              </c:extLst>
            </c:dLbl>
            <c:dLbl>
              <c:idx val="1"/>
              <c:layout>
                <c:manualLayout>
                  <c:x val="-2.64963311224743E-2"/>
                  <c:y val="-4.045511473166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6D-4F5F-ACD9-6EA50207A6EC}"/>
                </c:ext>
              </c:extLst>
            </c:dLbl>
            <c:dLbl>
              <c:idx val="2"/>
              <c:layout>
                <c:manualLayout>
                  <c:x val="-1.0102938720580035E-2"/>
                  <c:y val="-3.83280028140812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6D-4F5F-ACD9-6EA50207A6E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4 in Microsoft PowerPoint]Disciplinārsodi'!$B$1:$D$1</c:f>
              <c:strCache>
                <c:ptCount val="3"/>
                <c:pt idx="0">
                  <c:v>2018.gads</c:v>
                </c:pt>
                <c:pt idx="1">
                  <c:v>2019.gads</c:v>
                </c:pt>
                <c:pt idx="2">
                  <c:v>2020.gads</c:v>
                </c:pt>
              </c:strCache>
            </c:strRef>
          </c:cat>
          <c:val>
            <c:numRef>
              <c:f>'[Chart 4 in Microsoft PowerPoint]Disciplinārsodi'!$B$6:$D$6</c:f>
              <c:numCache>
                <c:formatCode>General</c:formatCode>
                <c:ptCount val="3"/>
                <c:pt idx="0">
                  <c:v>12</c:v>
                </c:pt>
                <c:pt idx="1">
                  <c:v>4</c:v>
                </c:pt>
                <c:pt idx="2">
                  <c:v>8</c:v>
                </c:pt>
              </c:numCache>
            </c:numRef>
          </c:val>
          <c:smooth val="0"/>
          <c:extLst>
            <c:ext xmlns:c16="http://schemas.microsoft.com/office/drawing/2014/chart" uri="{C3380CC4-5D6E-409C-BE32-E72D297353CC}">
              <c16:uniqueId val="{00000007-F86D-4F5F-ACD9-6EA50207A6EC}"/>
            </c:ext>
          </c:extLst>
        </c:ser>
        <c:dLbls>
          <c:showLegendKey val="0"/>
          <c:showVal val="0"/>
          <c:showCatName val="0"/>
          <c:showSerName val="0"/>
          <c:showPercent val="0"/>
          <c:showBubbleSize val="0"/>
        </c:dLbls>
        <c:marker val="1"/>
        <c:smooth val="0"/>
        <c:axId val="382983240"/>
        <c:axId val="1"/>
      </c:lineChart>
      <c:catAx>
        <c:axId val="3829832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crossAx val="1"/>
        <c:crosses val="autoZero"/>
        <c:auto val="1"/>
        <c:lblAlgn val="ctr"/>
        <c:lblOffset val="100"/>
        <c:noMultiLvlLbl val="0"/>
      </c:catAx>
      <c:valAx>
        <c:axId val="1"/>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lv-LV"/>
          </a:p>
        </c:txPr>
        <c:crossAx val="382983240"/>
        <c:crosses val="autoZero"/>
        <c:crossBetween val="between"/>
      </c:valAx>
      <c:spPr>
        <a:gradFill flip="none" rotWithShape="1">
          <a:gsLst>
            <a:gs pos="0">
              <a:schemeClr val="accent3">
                <a:lumMod val="0"/>
                <a:lumOff val="100000"/>
              </a:schemeClr>
            </a:gs>
            <a:gs pos="35000">
              <a:schemeClr val="accent3">
                <a:lumMod val="0"/>
                <a:lumOff val="100000"/>
              </a:schemeClr>
            </a:gs>
            <a:gs pos="100000">
              <a:schemeClr val="accent3">
                <a:lumMod val="100000"/>
              </a:schemeClr>
            </a:gs>
          </a:gsLst>
          <a:path path="circle">
            <a:fillToRect l="50000" t="-80000" r="50000" b="180000"/>
          </a:path>
          <a:tileRect/>
        </a:gradFill>
        <a:ln>
          <a:noFill/>
        </a:ln>
        <a:effectLst/>
      </c:spPr>
    </c:plotArea>
    <c:legend>
      <c:legendPos val="b"/>
      <c:layout>
        <c:manualLayout>
          <c:xMode val="edge"/>
          <c:yMode val="edge"/>
          <c:x val="8.1879325700066841E-2"/>
          <c:y val="0.84784512882635232"/>
          <c:w val="0.83624118024374594"/>
          <c:h val="0.1344033918837068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hart1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600" b="1" i="0" u="none" strike="noStrike" kern="1200" cap="all" baseline="0">
                <a:solidFill>
                  <a:schemeClr val="tx1">
                    <a:lumMod val="65000"/>
                    <a:lumOff val="35000"/>
                  </a:schemeClr>
                </a:solidFill>
                <a:latin typeface="+mn-lt"/>
                <a:ea typeface="+mn-ea"/>
                <a:cs typeface="+mn-cs"/>
              </a:defRPr>
            </a:pPr>
            <a:r>
              <a:rPr lang="lv-LV" sz="1200" baseline="0">
                <a:solidFill>
                  <a:sysClr val="windowText" lastClr="000000"/>
                </a:solidFill>
                <a:latin typeface="Times New Roman" panose="02020603050405020304" pitchFamily="18" charset="0"/>
                <a:cs typeface="Times New Roman" panose="02020603050405020304" pitchFamily="18" charset="0"/>
              </a:rPr>
              <a:t>PROKURATŪRAS IESTĀŽU UZTURĒŠANAS IZDEVUMI 2020. GADĀ </a:t>
            </a:r>
          </a:p>
          <a:p>
            <a:pPr algn="ctr">
              <a:defRPr/>
            </a:pPr>
            <a:r>
              <a:rPr lang="lv-LV" sz="1200" baseline="0">
                <a:solidFill>
                  <a:sysClr val="windowText" lastClr="000000"/>
                </a:solidFill>
                <a:latin typeface="Times New Roman" panose="02020603050405020304" pitchFamily="18" charset="0"/>
                <a:cs typeface="Times New Roman" panose="02020603050405020304" pitchFamily="18" charset="0"/>
              </a:rPr>
              <a:t>(PROGRAMMA 01.00.00.)</a:t>
            </a:r>
          </a:p>
        </c:rich>
      </c:tx>
      <c:layout>
        <c:manualLayout>
          <c:xMode val="edge"/>
          <c:yMode val="edge"/>
          <c:x val="0.1685414903205518"/>
          <c:y val="2.6284228516417252E-2"/>
        </c:manualLayout>
      </c:layout>
      <c:overlay val="0"/>
      <c:spPr>
        <a:noFill/>
        <a:ln>
          <a:noFill/>
        </a:ln>
        <a:effectLst/>
      </c:spPr>
      <c:txPr>
        <a:bodyPr rot="0" spcFirstLastPara="1" vertOverflow="ellipsis" vert="horz" wrap="square" anchor="ctr" anchorCtr="1"/>
        <a:lstStyle/>
        <a:p>
          <a:pPr algn="ctr">
            <a:defRPr sz="1600" b="1" i="0" u="none" strike="noStrike" kern="1200" cap="all" baseline="0">
              <a:solidFill>
                <a:schemeClr val="tx1">
                  <a:lumMod val="65000"/>
                  <a:lumOff val="35000"/>
                </a:schemeClr>
              </a:solidFill>
              <a:latin typeface="+mn-lt"/>
              <a:ea typeface="+mn-ea"/>
              <a:cs typeface="+mn-cs"/>
            </a:defRPr>
          </a:pPr>
          <a:endParaRPr lang="lv-LV"/>
        </a:p>
      </c:txPr>
    </c:title>
    <c:autoTitleDeleted val="0"/>
    <c:view3D>
      <c:rotX val="60"/>
      <c:rotY val="13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15642412115E-2"/>
          <c:y val="0.2124669410536677"/>
          <c:w val="0.68821677320257724"/>
          <c:h val="0.67264274163453164"/>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173-40BF-8C10-579E9C701C3A}"/>
              </c:ext>
            </c:extLst>
          </c:dPt>
          <c:dPt>
            <c:idx val="1"/>
            <c:bubble3D val="0"/>
            <c:explosion val="15"/>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173-40BF-8C10-579E9C701C3A}"/>
              </c:ext>
            </c:extLst>
          </c:dPt>
          <c:dPt>
            <c:idx val="2"/>
            <c:bubble3D val="0"/>
            <c:explosion val="16"/>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173-40BF-8C10-579E9C701C3A}"/>
              </c:ext>
            </c:extLst>
          </c:dPt>
          <c:dPt>
            <c:idx val="3"/>
            <c:bubble3D val="0"/>
            <c:explosion val="17"/>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173-40BF-8C10-579E9C701C3A}"/>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fld id="{7FEEDAA1-4D18-447E-BC36-ACF735B53417}" type="CATEGORYNAME">
                      <a:rPr lang="en-US" sz="1000"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[CATEGORY NAME]</a:t>
                    </a:fld>
                    <a:endParaRPr lang="en-US" sz="1000" baseline="0">
                      <a:solidFill>
                        <a:schemeClr val="tx1"/>
                      </a:solidFill>
                    </a:endParaRPr>
                  </a:p>
                  <a:p>
                    <a:pPr>
                      <a:defRPr>
                        <a:solidFill>
                          <a:schemeClr val="tx1"/>
                        </a:solidFill>
                        <a:latin typeface="Times New Roman" panose="02020603050405020304" pitchFamily="18" charset="0"/>
                        <a:cs typeface="Times New Roman" panose="02020603050405020304" pitchFamily="18" charset="0"/>
                      </a:defRPr>
                    </a:pPr>
                    <a:r>
                      <a:rPr lang="en-US" sz="1000" baseline="0">
                        <a:solidFill>
                          <a:schemeClr val="tx1"/>
                        </a:solidFill>
                      </a:rPr>
                      <a:t> </a:t>
                    </a:r>
                    <a:fld id="{EC98C22F-6CB0-484C-8513-AD61C1A3D8A7}" type="PERCENTAGE">
                      <a:rPr lang="en-US" sz="1000"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[PERCENTAGE]</a:t>
                    </a:fld>
                    <a:endParaRPr lang="en-US" sz="1000" baseline="0">
                      <a:solidFill>
                        <a:schemeClr val="tx1"/>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0"/>
              <c:showCatName val="1"/>
              <c:showSerName val="1"/>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173-40BF-8C10-579E9C701C3A}"/>
                </c:ext>
              </c:extLst>
            </c:dLbl>
            <c:dLbl>
              <c:idx val="1"/>
              <c:layout>
                <c:manualLayout>
                  <c:x val="1.7994958228695103E-2"/>
                  <c:y val="-6.1026995209945714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000" baseline="0">
                        <a:solidFill>
                          <a:schemeClr val="tx1"/>
                        </a:solidFill>
                      </a:rPr>
                      <a:t> </a:t>
                    </a:r>
                    <a:fld id="{22694E39-F195-4476-9C70-F1FB1E8B91BC}" type="CATEGORYNAME">
                      <a:rPr lang="en-US" sz="1000"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[CATEGORY NAME]</a:t>
                    </a:fld>
                    <a:r>
                      <a:rPr lang="en-US" sz="1000" baseline="0">
                        <a:solidFill>
                          <a:schemeClr val="tx1"/>
                        </a:solidFill>
                      </a:rPr>
                      <a:t> </a:t>
                    </a:r>
                  </a:p>
                  <a:p>
                    <a:pPr>
                      <a:defRPr>
                        <a:solidFill>
                          <a:schemeClr val="tx1"/>
                        </a:solidFill>
                        <a:latin typeface="Times New Roman" panose="02020603050405020304" pitchFamily="18" charset="0"/>
                        <a:cs typeface="Times New Roman" panose="02020603050405020304" pitchFamily="18" charset="0"/>
                      </a:defRPr>
                    </a:pPr>
                    <a:r>
                      <a:rPr lang="en-US" sz="1000" baseline="0">
                        <a:solidFill>
                          <a:schemeClr val="tx1"/>
                        </a:solidFill>
                      </a:rPr>
                      <a:t>0,04%</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1"/>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173-40BF-8C10-579E9C701C3A}"/>
                </c:ext>
              </c:extLst>
            </c:dLbl>
            <c:dLbl>
              <c:idx val="2"/>
              <c:layout>
                <c:manualLayout>
                  <c:x val="4.2474722571813665E-2"/>
                  <c:y val="-1.3888813771991974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fld id="{5A9FE06B-F6EE-49E0-8369-169C79714A91}" type="CATEGORYNAME">
                      <a:rPr lang="en-US" sz="1000"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[CATEGORY NAME]</a:t>
                    </a:fld>
                    <a:r>
                      <a:rPr lang="en-US" sz="1000" baseline="0">
                        <a:solidFill>
                          <a:schemeClr val="tx1"/>
                        </a:solidFill>
                      </a:rPr>
                      <a:t> </a:t>
                    </a:r>
                  </a:p>
                  <a:p>
                    <a:pPr>
                      <a:defRPr>
                        <a:solidFill>
                          <a:schemeClr val="tx1"/>
                        </a:solidFill>
                        <a:latin typeface="Times New Roman" panose="02020603050405020304" pitchFamily="18" charset="0"/>
                        <a:cs typeface="Times New Roman" panose="02020603050405020304" pitchFamily="18" charset="0"/>
                      </a:defRPr>
                    </a:pPr>
                    <a:fld id="{441B6EEF-B642-4CF4-B1E2-F2C3DFBC6DDE}" type="PERCENTAGE">
                      <a:rPr lang="en-US" sz="1000"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[PERCENTAGE]</a:t>
                    </a:fld>
                    <a:endParaRPr lang="lv-LV"/>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1"/>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173-40BF-8C10-579E9C701C3A}"/>
                </c:ext>
              </c:extLst>
            </c:dLbl>
            <c:dLbl>
              <c:idx val="3"/>
              <c:layout>
                <c:manualLayout>
                  <c:x val="3.9464745554483066E-2"/>
                  <c:y val="4.856893297349324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fld id="{AF061E55-2A37-4AD8-86D6-C148FA54EF27}" type="CATEGORYNAME">
                      <a:rPr lang="en-US" sz="1000"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[CATEGORY NAME]</a:t>
                    </a:fld>
                    <a:endParaRPr lang="en-US" sz="1000" baseline="0">
                      <a:solidFill>
                        <a:schemeClr val="tx1"/>
                      </a:solidFill>
                    </a:endParaRPr>
                  </a:p>
                  <a:p>
                    <a:pPr>
                      <a:defRPr>
                        <a:solidFill>
                          <a:schemeClr val="tx1"/>
                        </a:solidFill>
                        <a:latin typeface="Times New Roman" panose="02020603050405020304" pitchFamily="18" charset="0"/>
                        <a:cs typeface="Times New Roman" panose="02020603050405020304" pitchFamily="18" charset="0"/>
                      </a:defRPr>
                    </a:pPr>
                    <a:r>
                      <a:rPr lang="en-US" sz="1000" baseline="0">
                        <a:solidFill>
                          <a:schemeClr val="tx1"/>
                        </a:solidFill>
                      </a:rPr>
                      <a:t> </a:t>
                    </a:r>
                    <a:fld id="{AAF11712-450F-4559-8B3A-0122B3C5DBB0}" type="PERCENTAGE">
                      <a:rPr lang="en-US" sz="1000"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[PERCENTAGE]</a:t>
                    </a:fld>
                    <a:endParaRPr lang="en-US" sz="1000" baseline="0">
                      <a:solidFill>
                        <a:schemeClr val="tx1"/>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1"/>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173-40BF-8C10-579E9C701C3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0"/>
            <c:showCatName val="1"/>
            <c:showSerName val="1"/>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'Izdev pa veidiem_2020'!$B$15:$B$18</c:f>
              <c:strCache>
                <c:ptCount val="4"/>
                <c:pt idx="0">
                  <c:v>Atlīdzība, t.sk. VSAOI</c:v>
                </c:pt>
                <c:pt idx="1">
                  <c:v>Komandējumi un dienesta braucieni</c:v>
                </c:pt>
                <c:pt idx="2">
                  <c:v>Preces un pakalpojumi</c:v>
                </c:pt>
                <c:pt idx="3">
                  <c:v>Pamatkapitāla veidošana </c:v>
                </c:pt>
              </c:strCache>
            </c:strRef>
          </c:cat>
          <c:val>
            <c:numRef>
              <c:f>'Izdev pa veidiem_2020'!$C$15:$C$18</c:f>
              <c:numCache>
                <c:formatCode>#,##0</c:formatCode>
                <c:ptCount val="4"/>
                <c:pt idx="0">
                  <c:v>29097572</c:v>
                </c:pt>
                <c:pt idx="1">
                  <c:v>13652</c:v>
                </c:pt>
                <c:pt idx="2">
                  <c:v>3976222</c:v>
                </c:pt>
                <c:pt idx="3">
                  <c:v>1270250</c:v>
                </c:pt>
              </c:numCache>
            </c:numRef>
          </c:val>
          <c:extLst>
            <c:ext xmlns:c16="http://schemas.microsoft.com/office/drawing/2014/chart" uri="{C3380CC4-5D6E-409C-BE32-E72D297353CC}">
              <c16:uniqueId val="{00000008-A173-40BF-8C10-579E9C701C3A}"/>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a:solidFill>
                  <a:schemeClr val="tx1"/>
                </a:solidFill>
                <a:latin typeface="Times New Roman" panose="02020603050405020304" pitchFamily="18" charset="0"/>
                <a:cs typeface="Times New Roman" panose="02020603050405020304" pitchFamily="18" charset="0"/>
              </a:rPr>
              <a:t>Prokuratūrā</a:t>
            </a:r>
            <a:r>
              <a:rPr lang="lv-LV" sz="1200" b="1" baseline="0">
                <a:solidFill>
                  <a:schemeClr val="tx1"/>
                </a:solidFill>
                <a:latin typeface="Times New Roman" panose="02020603050405020304" pitchFamily="18" charset="0"/>
                <a:cs typeface="Times New Roman" panose="02020603050405020304" pitchFamily="18" charset="0"/>
              </a:rPr>
              <a:t> u</a:t>
            </a:r>
            <a:r>
              <a:rPr lang="lv-LV" sz="1200" b="1">
                <a:solidFill>
                  <a:schemeClr val="tx1"/>
                </a:solidFill>
                <a:latin typeface="Times New Roman" panose="02020603050405020304" pitchFamily="18" charset="0"/>
                <a:cs typeface="Times New Roman" panose="02020603050405020304" pitchFamily="18" charset="0"/>
              </a:rPr>
              <a:t>zsākti</a:t>
            </a:r>
            <a:r>
              <a:rPr lang="lv-LV" sz="1200" b="1" baseline="0">
                <a:solidFill>
                  <a:schemeClr val="tx1"/>
                </a:solidFill>
                <a:latin typeface="Times New Roman" panose="02020603050405020304" pitchFamily="18" charset="0"/>
                <a:cs typeface="Times New Roman" panose="02020603050405020304" pitchFamily="18" charset="0"/>
              </a:rPr>
              <a:t> kriminālprocesi</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3"/>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extLst>
                <c:ext xmlns:c16="http://schemas.microsoft.com/office/drawing/2014/chart" uri="{C3380CC4-5D6E-409C-BE32-E72D297353CC}">
                  <c16:uniqueId val="{00000000-1DD1-460F-B39A-4C3FE41F6D8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extLst>
                <c:ext xmlns:c16="http://schemas.microsoft.com/office/drawing/2014/chart" uri="{C3380CC4-5D6E-409C-BE32-E72D297353CC}">
                  <c16:uniqueId val="{00000001-1DD1-460F-B39A-4C3FE41F6D8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extLst>
                <c:ext xmlns:c16="http://schemas.microsoft.com/office/drawing/2014/chart" uri="{C3380CC4-5D6E-409C-BE32-E72D297353CC}">
                  <c16:uniqueId val="{00000002-1DD1-460F-B39A-4C3FE41F6D8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635</c:v>
                </c:pt>
                <c:pt idx="1">
                  <c:v>666</c:v>
                </c:pt>
                <c:pt idx="2">
                  <c:v>584</c:v>
                </c:pt>
              </c:numCache>
            </c:numRef>
          </c:val>
          <c:extLst>
            <c:ext xmlns:c16="http://schemas.microsoft.com/office/drawing/2014/chart" uri="{C3380CC4-5D6E-409C-BE32-E72D297353CC}">
              <c16:uniqueId val="{00000003-1DD1-460F-B39A-4C3FE41F6D84}"/>
            </c:ext>
          </c:extLst>
        </c:ser>
        <c:dLbls>
          <c:showLegendKey val="0"/>
          <c:showVal val="0"/>
          <c:showCatName val="0"/>
          <c:showSerName val="0"/>
          <c:showPercent val="0"/>
          <c:showBubbleSize val="0"/>
        </c:dLbls>
        <c:gapWidth val="219"/>
        <c:overlap val="-27"/>
        <c:axId val="505948448"/>
        <c:axId val="505946152"/>
      </c:barChart>
      <c:catAx>
        <c:axId val="50594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5946152"/>
        <c:crosses val="autoZero"/>
        <c:auto val="1"/>
        <c:lblAlgn val="ctr"/>
        <c:lblOffset val="100"/>
        <c:noMultiLvlLbl val="0"/>
      </c:catAx>
      <c:valAx>
        <c:axId val="50594615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5948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lv-LV" sz="1200">
                <a:solidFill>
                  <a:schemeClr val="tx1"/>
                </a:solidFill>
              </a:rPr>
              <a:t>Pabeigti</a:t>
            </a:r>
            <a:r>
              <a:rPr lang="lv-LV" sz="1200" baseline="0">
                <a:solidFill>
                  <a:schemeClr val="tx1"/>
                </a:solidFill>
              </a:rPr>
              <a:t> kriminālprocesi par atsevišķiem noziedzīgiem nodarījumiem</a:t>
            </a:r>
            <a:r>
              <a:rPr lang="lv-LV" sz="1200">
                <a:solidFill>
                  <a:schemeClr val="tx1"/>
                </a:solidFill>
              </a:rPr>
              <a:t> (īpaši aktuāli)</a:t>
            </a:r>
          </a:p>
        </c:rich>
      </c:tx>
      <c:layout>
        <c:manualLayout>
          <c:xMode val="edge"/>
          <c:yMode val="edge"/>
          <c:x val="0.10714566929133858"/>
          <c:y val="0"/>
        </c:manualLayout>
      </c:layout>
      <c:overlay val="0"/>
    </c:title>
    <c:autoTitleDeleted val="0"/>
    <c:plotArea>
      <c:layout>
        <c:manualLayout>
          <c:layoutTarget val="inner"/>
          <c:xMode val="edge"/>
          <c:yMode val="edge"/>
          <c:x val="3.2693287920949686E-2"/>
          <c:y val="0.17895331908131293"/>
          <c:w val="0.48972702826862363"/>
          <c:h val="0.53432460148937322"/>
        </c:manualLayout>
      </c:layout>
      <c:barChart>
        <c:barDir val="col"/>
        <c:grouping val="clustered"/>
        <c:varyColors val="0"/>
        <c:ser>
          <c:idx val="0"/>
          <c:order val="0"/>
          <c:tx>
            <c:strRef>
              <c:f>I_tiesas_apgabala_prok!$M$4</c:f>
              <c:strCache>
                <c:ptCount val="1"/>
                <c:pt idx="0">
                  <c:v>Slepkavības (ieskaitot KL 125.p.3.d.)</c:v>
                </c:pt>
              </c:strCache>
            </c:strRef>
          </c:tx>
          <c:spPr>
            <a:solidFill>
              <a:srgbClr val="C00000"/>
            </a:solidFill>
          </c:spPr>
          <c:invertIfNegative val="0"/>
          <c:dLbls>
            <c:dLbl>
              <c:idx val="0"/>
              <c:layout>
                <c:manualLayout>
                  <c:x val="-1.9736841082840894E-3"/>
                  <c:y val="9.055295444649938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9C-4A30-A5C2-1FE2575DD9E8}"/>
                </c:ext>
              </c:extLst>
            </c:dLbl>
            <c:dLbl>
              <c:idx val="1"/>
              <c:layout>
                <c:manualLayout>
                  <c:x val="0"/>
                  <c:y val="8.57265415664743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9C-4A30-A5C2-1FE2575DD9E8}"/>
                </c:ext>
              </c:extLst>
            </c:dLbl>
            <c:dLbl>
              <c:idx val="2"/>
              <c:layout>
                <c:manualLayout>
                  <c:x val="0"/>
                  <c:y val="1.2257692867270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E9C-4A30-A5C2-1FE2575DD9E8}"/>
                </c:ext>
              </c:extLst>
            </c:dLbl>
            <c:spPr>
              <a:noFill/>
              <a:ln w="25400">
                <a:noFill/>
              </a:ln>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I_tiesas_apgabala_prok!$M$5:$M$7</c:f>
              <c:numCache>
                <c:formatCode>General</c:formatCode>
                <c:ptCount val="3"/>
                <c:pt idx="0">
                  <c:v>17</c:v>
                </c:pt>
                <c:pt idx="1">
                  <c:v>12</c:v>
                </c:pt>
                <c:pt idx="2">
                  <c:v>10</c:v>
                </c:pt>
              </c:numCache>
            </c:numRef>
          </c:val>
          <c:extLst>
            <c:ext xmlns:c16="http://schemas.microsoft.com/office/drawing/2014/chart" uri="{C3380CC4-5D6E-409C-BE32-E72D297353CC}">
              <c16:uniqueId val="{00000003-5E9C-4A30-A5C2-1FE2575DD9E8}"/>
            </c:ext>
          </c:extLst>
        </c:ser>
        <c:ser>
          <c:idx val="1"/>
          <c:order val="1"/>
          <c:tx>
            <c:strRef>
              <c:f>I_tiesas_apgabala_prok!$N$4</c:f>
              <c:strCache>
                <c:ptCount val="1"/>
                <c:pt idx="0">
                  <c:v>Noziegumi pret tikumību un dzimumneaizskaramību, kas izdarīti ar mazgadīgo vai nepilngadīgo 
          </c:v>
                </c:pt>
              </c:strCache>
            </c:strRef>
          </c:tx>
          <c:spPr>
            <a:solidFill>
              <a:schemeClr val="accent1"/>
            </a:solidFill>
          </c:spPr>
          <c:invertIfNegative val="0"/>
          <c:dLbls>
            <c:dLbl>
              <c:idx val="0"/>
              <c:layout>
                <c:manualLayout>
                  <c:x val="0"/>
                  <c:y val="2.90672944232486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85F-496C-BA2A-F9D450CF09A7}"/>
                </c:ext>
              </c:extLst>
            </c:dLbl>
            <c:dLbl>
              <c:idx val="1"/>
              <c:layout>
                <c:manualLayout>
                  <c:x val="-2.3446658851113715E-3"/>
                  <c:y val="-9.1890575533766183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5F-496C-BA2A-F9D450CF09A7}"/>
                </c:ext>
              </c:extLst>
            </c:dLbl>
            <c:dLbl>
              <c:idx val="2"/>
              <c:layout>
                <c:manualLayout>
                  <c:x val="0"/>
                  <c:y val="5.59948047731143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85F-496C-BA2A-F9D450CF09A7}"/>
                </c:ext>
              </c:extLst>
            </c:dLbl>
            <c:spPr>
              <a:noFill/>
              <a:ln w="25400">
                <a:noFill/>
              </a:ln>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I_tiesas_apgabala_prok!$N$5:$N$7</c:f>
              <c:numCache>
                <c:formatCode>General</c:formatCode>
                <c:ptCount val="3"/>
                <c:pt idx="0">
                  <c:v>77</c:v>
                </c:pt>
                <c:pt idx="1">
                  <c:v>99</c:v>
                </c:pt>
                <c:pt idx="2">
                  <c:v>93</c:v>
                </c:pt>
              </c:numCache>
            </c:numRef>
          </c:val>
          <c:extLst>
            <c:ext xmlns:c16="http://schemas.microsoft.com/office/drawing/2014/chart" uri="{C3380CC4-5D6E-409C-BE32-E72D297353CC}">
              <c16:uniqueId val="{00000004-5E9C-4A30-A5C2-1FE2575DD9E8}"/>
            </c:ext>
          </c:extLst>
        </c:ser>
        <c:ser>
          <c:idx val="2"/>
          <c:order val="2"/>
          <c:tx>
            <c:strRef>
              <c:f>I_tiesas_apgabala_prok!$O$4</c:f>
              <c:strCache>
                <c:ptCount val="1"/>
                <c:pt idx="0">
                  <c:v>Noziegumi pret īpašumu, ar ko radīts mantisks zaudējums lielā apmērā</c:v>
                </c:pt>
              </c:strCache>
            </c:strRef>
          </c:tx>
          <c:invertIfNegative val="0"/>
          <c:dLbls>
            <c:dLbl>
              <c:idx val="0"/>
              <c:layout>
                <c:manualLayout>
                  <c:x val="2.3446658851113715E-3"/>
                  <c:y val="1.8992125984251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85F-496C-BA2A-F9D450CF09A7}"/>
                </c:ext>
              </c:extLst>
            </c:dLbl>
            <c:dLbl>
              <c:idx val="1"/>
              <c:layout>
                <c:manualLayout>
                  <c:x val="2.3446658851113715E-3"/>
                  <c:y val="7.33630976540303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85F-496C-BA2A-F9D450CF09A7}"/>
                </c:ext>
              </c:extLst>
            </c:dLbl>
            <c:dLbl>
              <c:idx val="2"/>
              <c:layout>
                <c:manualLayout>
                  <c:x val="0"/>
                  <c:y val="1.37433233216981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85F-496C-BA2A-F9D450CF09A7}"/>
                </c:ext>
              </c:extLst>
            </c:dLbl>
            <c:spPr>
              <a:noFill/>
              <a:ln w="25400">
                <a:noFill/>
              </a:ln>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I_tiesas_apgabala_prok!$O$5:$O$7</c:f>
              <c:numCache>
                <c:formatCode>General</c:formatCode>
                <c:ptCount val="3"/>
                <c:pt idx="0">
                  <c:v>47</c:v>
                </c:pt>
                <c:pt idx="1">
                  <c:v>39</c:v>
                </c:pt>
                <c:pt idx="2">
                  <c:v>25</c:v>
                </c:pt>
              </c:numCache>
            </c:numRef>
          </c:val>
          <c:extLst>
            <c:ext xmlns:c16="http://schemas.microsoft.com/office/drawing/2014/chart" uri="{C3380CC4-5D6E-409C-BE32-E72D297353CC}">
              <c16:uniqueId val="{00000005-5E9C-4A30-A5C2-1FE2575DD9E8}"/>
            </c:ext>
          </c:extLst>
        </c:ser>
        <c:ser>
          <c:idx val="3"/>
          <c:order val="3"/>
          <c:tx>
            <c:strRef>
              <c:f>I_tiesas_apgabala_prok!$P$4</c:f>
              <c:strCache>
                <c:ptCount val="1"/>
                <c:pt idx="0">
                  <c:v>Noziedzīgi iegūtu līdzekļu legalizēšana</c:v>
                </c:pt>
              </c:strCache>
            </c:strRef>
          </c:tx>
          <c:invertIfNegative val="0"/>
          <c:dLbls>
            <c:spPr>
              <a:noFill/>
              <a:ln w="25400">
                <a:noFill/>
              </a:ln>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I_tiesas_apgabala_prok!$P$5:$P$7</c:f>
              <c:numCache>
                <c:formatCode>General</c:formatCode>
                <c:ptCount val="3"/>
                <c:pt idx="0">
                  <c:v>0</c:v>
                </c:pt>
                <c:pt idx="1">
                  <c:v>8</c:v>
                </c:pt>
                <c:pt idx="2">
                  <c:v>6</c:v>
                </c:pt>
              </c:numCache>
            </c:numRef>
          </c:val>
          <c:extLst>
            <c:ext xmlns:c16="http://schemas.microsoft.com/office/drawing/2014/chart" uri="{C3380CC4-5D6E-409C-BE32-E72D297353CC}">
              <c16:uniqueId val="{00000006-5E9C-4A30-A5C2-1FE2575DD9E8}"/>
            </c:ext>
          </c:extLst>
        </c:ser>
        <c:ser>
          <c:idx val="4"/>
          <c:order val="4"/>
          <c:tx>
            <c:strRef>
              <c:f>I_tiesas_apgabala_prok!$Q$4</c:f>
              <c:strCache>
                <c:ptCount val="1"/>
                <c:pt idx="0">
                  <c:v>Noziedzīgi nodarījumi valsts institūciju dienestā</c:v>
                </c:pt>
              </c:strCache>
            </c:strRef>
          </c:tx>
          <c:spPr>
            <a:solidFill>
              <a:schemeClr val="accent6"/>
            </a:solidFill>
          </c:spPr>
          <c:invertIfNegative val="0"/>
          <c:dLbls>
            <c:spPr>
              <a:noFill/>
              <a:ln w="25400">
                <a:noFill/>
              </a:ln>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I_tiesas_apgabala_prok!$Q$5:$Q$7</c:f>
              <c:numCache>
                <c:formatCode>General</c:formatCode>
                <c:ptCount val="3"/>
                <c:pt idx="0">
                  <c:v>13</c:v>
                </c:pt>
                <c:pt idx="1">
                  <c:v>12</c:v>
                </c:pt>
                <c:pt idx="2">
                  <c:v>8</c:v>
                </c:pt>
              </c:numCache>
            </c:numRef>
          </c:val>
          <c:extLst>
            <c:ext xmlns:c16="http://schemas.microsoft.com/office/drawing/2014/chart" uri="{C3380CC4-5D6E-409C-BE32-E72D297353CC}">
              <c16:uniqueId val="{00000007-5E9C-4A30-A5C2-1FE2575DD9E8}"/>
            </c:ext>
          </c:extLst>
        </c:ser>
        <c:dLbls>
          <c:showLegendKey val="0"/>
          <c:showVal val="0"/>
          <c:showCatName val="0"/>
          <c:showSerName val="0"/>
          <c:showPercent val="0"/>
          <c:showBubbleSize val="0"/>
        </c:dLbls>
        <c:gapWidth val="150"/>
        <c:axId val="1693873136"/>
        <c:axId val="1"/>
      </c:barChart>
      <c:catAx>
        <c:axId val="1693873136"/>
        <c:scaling>
          <c:orientation val="minMax"/>
        </c:scaling>
        <c:delete val="0"/>
        <c:axPos val="b"/>
        <c:numFmt formatCode="General" sourceLinked="1"/>
        <c:majorTickMark val="none"/>
        <c:minorTickMark val="none"/>
        <c:tickLblPos val="nextTo"/>
        <c:txPr>
          <a:bodyPr/>
          <a:lstStyle/>
          <a:p>
            <a:pPr>
              <a:defRPr sz="1000" b="1" baseline="0">
                <a:solidFill>
                  <a:schemeClr val="tx1"/>
                </a:solidFill>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693873136"/>
        <c:crosses val="autoZero"/>
        <c:crossBetween val="between"/>
      </c:valAx>
    </c:plotArea>
    <c:legend>
      <c:legendPos val="r"/>
      <c:layout>
        <c:manualLayout>
          <c:xMode val="edge"/>
          <c:yMode val="edge"/>
          <c:x val="0.55382082772732899"/>
          <c:y val="0.15502994817955451"/>
          <c:w val="0.41031005108178709"/>
          <c:h val="0.84497005182044549"/>
        </c:manualLayout>
      </c:layout>
      <c:overlay val="1"/>
      <c:spPr>
        <a:ln w="3175">
          <a:noFill/>
        </a:ln>
      </c:spPr>
      <c:txPr>
        <a:bodyPr rot="0"/>
        <a:lstStyle/>
        <a:p>
          <a:pPr>
            <a:defRPr b="1" i="0" baseline="0">
              <a:solidFill>
                <a:schemeClr val="tx1"/>
              </a:solidFill>
            </a:defRPr>
          </a:pPr>
          <a:endParaRPr lang="lv-LV"/>
        </a:p>
      </c:txPr>
    </c:legend>
    <c:plotVisOnly val="1"/>
    <c:dispBlanksAs val="gap"/>
    <c:showDLblsOverMax val="0"/>
  </c:chart>
  <c:spPr>
    <a:solidFill>
      <a:schemeClr val="accent2">
        <a:lumMod val="20000"/>
        <a:lumOff val="80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lgn="ctr">
              <a:defRPr baseline="0"/>
            </a:pPr>
            <a:r>
              <a:rPr lang="lv-LV" sz="1200" baseline="0">
                <a:solidFill>
                  <a:schemeClr val="tx1"/>
                </a:solidFill>
              </a:rPr>
              <a:t>Prokuroru uzraudzībā pieņemti kriminālprocesi</a:t>
            </a:r>
          </a:p>
        </c:rich>
      </c:tx>
      <c:layout>
        <c:manualLayout>
          <c:xMode val="edge"/>
          <c:yMode val="edge"/>
          <c:x val="0.24332147183525138"/>
          <c:y val="7.5786685755189695E-2"/>
        </c:manualLayout>
      </c:layout>
      <c:overlay val="0"/>
    </c:title>
    <c:autoTitleDeleted val="0"/>
    <c:plotArea>
      <c:layout/>
      <c:lineChart>
        <c:grouping val="standard"/>
        <c:varyColors val="0"/>
        <c:ser>
          <c:idx val="1"/>
          <c:order val="0"/>
          <c:tx>
            <c:strRef>
              <c:f>I_tiesas_apgabala_prok!$S$5:$S$7</c:f>
              <c:strCache>
                <c:ptCount val="3"/>
                <c:pt idx="0">
                  <c:v>2018</c:v>
                </c:pt>
                <c:pt idx="1">
                  <c:v>2019</c:v>
                </c:pt>
                <c:pt idx="2">
                  <c:v>2020</c:v>
                </c:pt>
              </c:strCache>
            </c:strRef>
          </c:tx>
          <c:marker>
            <c:symbol val="none"/>
          </c:marker>
          <c:dLbls>
            <c:spPr>
              <a:noFill/>
              <a:ln>
                <a:noFill/>
              </a:ln>
            </c:spPr>
            <c:txPr>
              <a:bodyPr/>
              <a:lstStyle/>
              <a:p>
                <a:pPr>
                  <a:defRPr sz="1000" b="1" baseline="0">
                    <a:solidFill>
                      <a:schemeClr val="tx1"/>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I_tiesas_apgabala_prok!$T$5:$T$7</c:f>
              <c:numCache>
                <c:formatCode>General</c:formatCode>
                <c:ptCount val="3"/>
                <c:pt idx="0">
                  <c:v>324</c:v>
                </c:pt>
                <c:pt idx="1">
                  <c:v>352</c:v>
                </c:pt>
                <c:pt idx="2">
                  <c:v>371</c:v>
                </c:pt>
              </c:numCache>
            </c:numRef>
          </c:val>
          <c:smooth val="0"/>
          <c:extLst>
            <c:ext xmlns:c16="http://schemas.microsoft.com/office/drawing/2014/chart" uri="{C3380CC4-5D6E-409C-BE32-E72D297353CC}">
              <c16:uniqueId val="{00000000-0982-48A1-B55A-605A17A33B30}"/>
            </c:ext>
          </c:extLst>
        </c:ser>
        <c:dLbls>
          <c:showLegendKey val="0"/>
          <c:showVal val="0"/>
          <c:showCatName val="0"/>
          <c:showSerName val="0"/>
          <c:showPercent val="0"/>
          <c:showBubbleSize val="0"/>
        </c:dLbls>
        <c:smooth val="0"/>
        <c:axId val="290766208"/>
        <c:axId val="291205888"/>
      </c:lineChart>
      <c:catAx>
        <c:axId val="290766208"/>
        <c:scaling>
          <c:orientation val="minMax"/>
        </c:scaling>
        <c:delete val="0"/>
        <c:axPos val="b"/>
        <c:numFmt formatCode="General" sourceLinked="1"/>
        <c:majorTickMark val="none"/>
        <c:minorTickMark val="none"/>
        <c:tickLblPos val="nextTo"/>
        <c:txPr>
          <a:bodyPr/>
          <a:lstStyle/>
          <a:p>
            <a:pPr>
              <a:defRPr sz="1000" b="1" baseline="0">
                <a:solidFill>
                  <a:schemeClr val="tx1"/>
                </a:solidFill>
              </a:defRPr>
            </a:pPr>
            <a:endParaRPr lang="lv-LV"/>
          </a:p>
        </c:txPr>
        <c:crossAx val="291205888"/>
        <c:crosses val="autoZero"/>
        <c:auto val="1"/>
        <c:lblAlgn val="ctr"/>
        <c:lblOffset val="100"/>
        <c:noMultiLvlLbl val="0"/>
      </c:catAx>
      <c:valAx>
        <c:axId val="291205888"/>
        <c:scaling>
          <c:orientation val="minMax"/>
        </c:scaling>
        <c:delete val="1"/>
        <c:axPos val="l"/>
        <c:majorGridlines/>
        <c:numFmt formatCode="General" sourceLinked="1"/>
        <c:majorTickMark val="none"/>
        <c:minorTickMark val="none"/>
        <c:tickLblPos val="nextTo"/>
        <c:crossAx val="29076620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baseline="0"/>
            </a:pPr>
            <a:r>
              <a:rPr lang="lv-LV" sz="1200" baseline="0">
                <a:solidFill>
                  <a:schemeClr val="tx1"/>
                </a:solidFill>
              </a:rPr>
              <a:t>Prokuroru dotie norādījumi</a:t>
            </a:r>
          </a:p>
        </c:rich>
      </c:tx>
      <c:layout>
        <c:manualLayout>
          <c:xMode val="edge"/>
          <c:yMode val="edge"/>
          <c:x val="0.25358043659176749"/>
          <c:y val="8.2466099326323497E-2"/>
        </c:manualLayout>
      </c:layout>
      <c:overlay val="0"/>
    </c:title>
    <c:autoTitleDeleted val="0"/>
    <c:plotArea>
      <c:layout/>
      <c:lineChart>
        <c:grouping val="standard"/>
        <c:varyColors val="0"/>
        <c:ser>
          <c:idx val="1"/>
          <c:order val="0"/>
          <c:tx>
            <c:strRef>
              <c:f>I_tiesas_apgabala_prok!$V$6:$V$8</c:f>
              <c:strCache>
                <c:ptCount val="3"/>
                <c:pt idx="0">
                  <c:v>2018</c:v>
                </c:pt>
                <c:pt idx="1">
                  <c:v>2019</c:v>
                </c:pt>
                <c:pt idx="2">
                  <c:v>2020</c:v>
                </c:pt>
              </c:strCache>
            </c:strRef>
          </c:tx>
          <c:marker>
            <c:symbol val="none"/>
          </c:marker>
          <c:dLbls>
            <c:spPr>
              <a:noFill/>
              <a:ln>
                <a:noFill/>
              </a:ln>
            </c:spPr>
            <c:txPr>
              <a:bodyPr/>
              <a:lstStyle/>
              <a:p>
                <a:pPr>
                  <a:defRPr sz="1000" b="1" baseline="0">
                    <a:solidFill>
                      <a:schemeClr val="tx1"/>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I_tiesas_apgabala_prok!$W$6:$W$8</c:f>
              <c:numCache>
                <c:formatCode>General</c:formatCode>
                <c:ptCount val="3"/>
                <c:pt idx="0">
                  <c:v>964</c:v>
                </c:pt>
                <c:pt idx="1">
                  <c:v>945</c:v>
                </c:pt>
                <c:pt idx="2">
                  <c:v>900</c:v>
                </c:pt>
              </c:numCache>
            </c:numRef>
          </c:val>
          <c:smooth val="0"/>
          <c:extLst>
            <c:ext xmlns:c16="http://schemas.microsoft.com/office/drawing/2014/chart" uri="{C3380CC4-5D6E-409C-BE32-E72D297353CC}">
              <c16:uniqueId val="{00000000-0FC3-47A8-883A-6F8216443FC1}"/>
            </c:ext>
          </c:extLst>
        </c:ser>
        <c:dLbls>
          <c:showLegendKey val="0"/>
          <c:showVal val="0"/>
          <c:showCatName val="0"/>
          <c:showSerName val="0"/>
          <c:showPercent val="0"/>
          <c:showBubbleSize val="0"/>
        </c:dLbls>
        <c:smooth val="0"/>
        <c:axId val="291300864"/>
        <c:axId val="291444608"/>
      </c:lineChart>
      <c:catAx>
        <c:axId val="291300864"/>
        <c:scaling>
          <c:orientation val="minMax"/>
        </c:scaling>
        <c:delete val="0"/>
        <c:axPos val="b"/>
        <c:numFmt formatCode="General" sourceLinked="1"/>
        <c:majorTickMark val="none"/>
        <c:minorTickMark val="none"/>
        <c:tickLblPos val="nextTo"/>
        <c:txPr>
          <a:bodyPr/>
          <a:lstStyle/>
          <a:p>
            <a:pPr>
              <a:defRPr sz="1200" b="1" baseline="0">
                <a:solidFill>
                  <a:schemeClr val="tx1"/>
                </a:solidFill>
              </a:defRPr>
            </a:pPr>
            <a:endParaRPr lang="lv-LV"/>
          </a:p>
        </c:txPr>
        <c:crossAx val="291444608"/>
        <c:crosses val="autoZero"/>
        <c:auto val="1"/>
        <c:lblAlgn val="ctr"/>
        <c:lblOffset val="100"/>
        <c:noMultiLvlLbl val="0"/>
      </c:catAx>
      <c:valAx>
        <c:axId val="291444608"/>
        <c:scaling>
          <c:orientation val="minMax"/>
        </c:scaling>
        <c:delete val="1"/>
        <c:axPos val="l"/>
        <c:majorGridlines/>
        <c:numFmt formatCode="General" sourceLinked="1"/>
        <c:majorTickMark val="none"/>
        <c:minorTickMark val="none"/>
        <c:tickLblPos val="nextTo"/>
        <c:crossAx val="2913008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100" baseline="0">
                <a:solidFill>
                  <a:schemeClr val="tx1"/>
                </a:solidFill>
              </a:rPr>
              <a:t>Valsts apsūdzības uzturēšana pirmās instances tiesā (izskatītas krimināllietas), no tām ar pierādījumu pārbaudi</a:t>
            </a:r>
          </a:p>
        </c:rich>
      </c:tx>
      <c:layout>
        <c:manualLayout>
          <c:xMode val="edge"/>
          <c:yMode val="edge"/>
          <c:x val="0.12812064516495997"/>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2.5000511925454019E-2"/>
          <c:y val="0.35906843420273399"/>
          <c:w val="0.95980963600293423"/>
          <c:h val="0.47613368993958888"/>
        </c:manualLayout>
      </c:layout>
      <c:barChart>
        <c:barDir val="col"/>
        <c:grouping val="clustered"/>
        <c:varyColors val="0"/>
        <c:ser>
          <c:idx val="1"/>
          <c:order val="0"/>
          <c:tx>
            <c:strRef>
              <c:f>I_tiesas_apgabala_prok!$Y$6:$Y$8</c:f>
              <c:strCache>
                <c:ptCount val="3"/>
                <c:pt idx="0">
                  <c:v>2018</c:v>
                </c:pt>
                <c:pt idx="1">
                  <c:v>2019</c:v>
                </c:pt>
                <c:pt idx="2">
                  <c:v>2020</c:v>
                </c:pt>
              </c:strCache>
            </c:strRef>
          </c:tx>
          <c:spPr>
            <a:solidFill>
              <a:schemeClr val="accent2"/>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I_tiesas_apgabala_prok!$Z$6:$Z$8</c:f>
              <c:numCache>
                <c:formatCode>General</c:formatCode>
                <c:ptCount val="3"/>
                <c:pt idx="0">
                  <c:v>139</c:v>
                </c:pt>
                <c:pt idx="1">
                  <c:v>147</c:v>
                </c:pt>
                <c:pt idx="2">
                  <c:v>97</c:v>
                </c:pt>
              </c:numCache>
            </c:numRef>
          </c:val>
          <c:extLst>
            <c:ext xmlns:c16="http://schemas.microsoft.com/office/drawing/2014/chart" uri="{C3380CC4-5D6E-409C-BE32-E72D297353CC}">
              <c16:uniqueId val="{00000000-BDC4-4198-B220-FA78EB10A5AE}"/>
            </c:ext>
          </c:extLst>
        </c:ser>
        <c:ser>
          <c:idx val="0"/>
          <c:order val="1"/>
          <c:tx>
            <c:strRef>
              <c:f>I_tiesas_apgabala_prok!$Y$6:$Y$8</c:f>
              <c:strCache>
                <c:ptCount val="3"/>
                <c:pt idx="0">
                  <c:v>2018</c:v>
                </c:pt>
                <c:pt idx="1">
                  <c:v>2019</c:v>
                </c:pt>
                <c:pt idx="2">
                  <c:v>2020</c:v>
                </c:pt>
              </c:strCache>
            </c:strRef>
          </c:tx>
          <c:spPr>
            <a:solidFill>
              <a:schemeClr val="accent1"/>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I_tiesas_apgabala_prok!$AA$6:$AA$8</c:f>
              <c:numCache>
                <c:formatCode>General</c:formatCode>
                <c:ptCount val="3"/>
                <c:pt idx="0">
                  <c:v>65</c:v>
                </c:pt>
                <c:pt idx="1">
                  <c:v>86</c:v>
                </c:pt>
                <c:pt idx="2">
                  <c:v>44</c:v>
                </c:pt>
              </c:numCache>
            </c:numRef>
          </c:val>
          <c:extLst>
            <c:ext xmlns:c16="http://schemas.microsoft.com/office/drawing/2014/chart" uri="{C3380CC4-5D6E-409C-BE32-E72D297353CC}">
              <c16:uniqueId val="{00000001-BDC4-4198-B220-FA78EB10A5AE}"/>
            </c:ext>
          </c:extLst>
        </c:ser>
        <c:dLbls>
          <c:showLegendKey val="0"/>
          <c:showVal val="0"/>
          <c:showCatName val="0"/>
          <c:showSerName val="0"/>
          <c:showPercent val="0"/>
          <c:showBubbleSize val="0"/>
        </c:dLbls>
        <c:gapWidth val="150"/>
        <c:axId val="293905536"/>
        <c:axId val="294287616"/>
      </c:barChart>
      <c:catAx>
        <c:axId val="293905536"/>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94287616"/>
        <c:crosses val="autoZero"/>
        <c:auto val="1"/>
        <c:lblAlgn val="ctr"/>
        <c:lblOffset val="100"/>
        <c:noMultiLvlLbl val="0"/>
      </c:catAx>
      <c:valAx>
        <c:axId val="294287616"/>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293905536"/>
        <c:crosses val="autoZero"/>
        <c:crossBetween val="between"/>
      </c:valAx>
      <c:spPr>
        <a:solidFill>
          <a:schemeClr val="accent1">
            <a:tint val="20000"/>
          </a:schemeClr>
        </a:solidFill>
        <a:ln>
          <a:noFill/>
        </a:ln>
        <a:effectLst/>
      </c:spPr>
    </c:plotArea>
    <c:plotVisOnly val="1"/>
    <c:dispBlanksAs val="gap"/>
    <c:showDLblsOverMax val="0"/>
  </c:chart>
  <c:spPr>
    <a:solidFill>
      <a:schemeClr val="bg1">
        <a:lumMod val="95000"/>
      </a:schemeClr>
    </a:solidFill>
    <a:ln w="6350" cap="flat" cmpd="sng" algn="ctr">
      <a:solidFill>
        <a:schemeClr val="tx2"/>
      </a:solidFill>
      <a:prstDash val="solid"/>
      <a:round/>
    </a:ln>
    <a:effectLst/>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Valsts apsūdzības uzturēšana apelācijas instances tiesā (izskatītas krimināllietas), no tām mutvārdu/rakstveida procesā</a:t>
            </a:r>
          </a:p>
        </c:rich>
      </c:tx>
      <c:layout>
        <c:manualLayout>
          <c:xMode val="edge"/>
          <c:yMode val="edge"/>
          <c:x val="0.12225013284382397"/>
          <c:y val="4.2120980696810882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3.4003091190108192E-2"/>
          <c:y val="0.37133105802047783"/>
          <c:w val="0.93199381761978362"/>
          <c:h val="0.4681567278492918"/>
        </c:manualLayout>
      </c:layout>
      <c:barChart>
        <c:barDir val="col"/>
        <c:grouping val="clustered"/>
        <c:varyColors val="0"/>
        <c:ser>
          <c:idx val="1"/>
          <c:order val="0"/>
          <c:tx>
            <c:strRef>
              <c:f>I_tiesas_apgabala_prok!$AC$6:$AC$8</c:f>
              <c:strCache>
                <c:ptCount val="3"/>
                <c:pt idx="0">
                  <c:v>2018</c:v>
                </c:pt>
                <c:pt idx="1">
                  <c:v>2019</c:v>
                </c:pt>
                <c:pt idx="2">
                  <c:v>2020</c:v>
                </c:pt>
              </c:strCache>
            </c:strRef>
          </c:tx>
          <c:spPr>
            <a:solidFill>
              <a:schemeClr val="accent2"/>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I_tiesas_apgabala_prok!$AD$6:$AD$8</c:f>
              <c:numCache>
                <c:formatCode>General</c:formatCode>
                <c:ptCount val="3"/>
                <c:pt idx="0">
                  <c:v>200</c:v>
                </c:pt>
                <c:pt idx="1">
                  <c:v>212</c:v>
                </c:pt>
                <c:pt idx="2">
                  <c:v>171</c:v>
                </c:pt>
              </c:numCache>
            </c:numRef>
          </c:val>
          <c:extLst>
            <c:ext xmlns:c16="http://schemas.microsoft.com/office/drawing/2014/chart" uri="{C3380CC4-5D6E-409C-BE32-E72D297353CC}">
              <c16:uniqueId val="{00000000-5AE2-4340-ADAE-2D91BCD2FAD5}"/>
            </c:ext>
          </c:extLst>
        </c:ser>
        <c:ser>
          <c:idx val="0"/>
          <c:order val="1"/>
          <c:tx>
            <c:strRef>
              <c:f>I_tiesas_apgabala_prok!$AC$6:$AC$8</c:f>
              <c:strCache>
                <c:ptCount val="3"/>
                <c:pt idx="0">
                  <c:v>2018</c:v>
                </c:pt>
                <c:pt idx="1">
                  <c:v>2019</c:v>
                </c:pt>
                <c:pt idx="2">
                  <c:v>2020</c:v>
                </c:pt>
              </c:strCache>
            </c:strRef>
          </c:tx>
          <c:spPr>
            <a:solidFill>
              <a:schemeClr val="accent1"/>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I_tiesas_apgabala_prok!$AE$6:$AE$8</c:f>
              <c:numCache>
                <c:formatCode>General</c:formatCode>
                <c:ptCount val="3"/>
                <c:pt idx="0">
                  <c:v>146</c:v>
                </c:pt>
                <c:pt idx="1">
                  <c:v>188</c:v>
                </c:pt>
                <c:pt idx="2">
                  <c:v>234</c:v>
                </c:pt>
              </c:numCache>
            </c:numRef>
          </c:val>
          <c:extLst>
            <c:ext xmlns:c16="http://schemas.microsoft.com/office/drawing/2014/chart" uri="{C3380CC4-5D6E-409C-BE32-E72D297353CC}">
              <c16:uniqueId val="{00000001-5AE2-4340-ADAE-2D91BCD2FAD5}"/>
            </c:ext>
          </c:extLst>
        </c:ser>
        <c:dLbls>
          <c:showLegendKey val="0"/>
          <c:showVal val="0"/>
          <c:showCatName val="0"/>
          <c:showSerName val="0"/>
          <c:showPercent val="0"/>
          <c:showBubbleSize val="0"/>
        </c:dLbls>
        <c:gapWidth val="150"/>
        <c:axId val="305371392"/>
        <c:axId val="307386624"/>
      </c:barChart>
      <c:catAx>
        <c:axId val="305371392"/>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307386624"/>
        <c:crosses val="autoZero"/>
        <c:auto val="1"/>
        <c:lblAlgn val="ctr"/>
        <c:lblOffset val="100"/>
        <c:noMultiLvlLbl val="0"/>
      </c:catAx>
      <c:valAx>
        <c:axId val="307386624"/>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305371392"/>
        <c:crosses val="autoZero"/>
        <c:crossBetween val="between"/>
      </c:valAx>
      <c:spPr>
        <a:solidFill>
          <a:schemeClr val="accent1">
            <a:tint val="20000"/>
          </a:schemeClr>
        </a:solidFill>
        <a:ln>
          <a:noFill/>
        </a:ln>
        <a:effectLst/>
      </c:spPr>
    </c:plotArea>
    <c:plotVisOnly val="1"/>
    <c:dispBlanksAs val="gap"/>
    <c:showDLblsOverMax val="0"/>
  </c:chart>
  <c:spPr>
    <a:solidFill>
      <a:schemeClr val="bg1">
        <a:lumMod val="95000"/>
      </a:schemeClr>
    </a:solidFill>
    <a:ln w="6350" cap="flat" cmpd="sng" algn="ctr">
      <a:solidFill>
        <a:schemeClr val="tx2"/>
      </a:solidFill>
      <a:prstDash val="solid"/>
      <a:round/>
    </a:ln>
    <a:effectLst/>
  </c:spPr>
  <c:txPr>
    <a:bodyPr/>
    <a:lstStyle/>
    <a:p>
      <a:pPr>
        <a:defRPr sz="1200" b="1" baseline="0">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a:solidFill>
                  <a:schemeClr val="tx1"/>
                </a:solidFill>
              </a:rPr>
              <a:t>Iesniegti protesti, no tiem </a:t>
            </a:r>
            <a:r>
              <a:rPr lang="lv-LV" sz="1200" baseline="0">
                <a:solidFill>
                  <a:schemeClr val="tx1"/>
                </a:solidFill>
              </a:rPr>
              <a:t>apmierināti</a:t>
            </a:r>
          </a:p>
        </c:rich>
      </c:tx>
      <c:layout>
        <c:manualLayout>
          <c:xMode val="edge"/>
          <c:yMode val="edge"/>
          <c:x val="0.21239707184446877"/>
          <c:y val="4.393321703820070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1"/>
          <c:order val="0"/>
          <c:tx>
            <c:strRef>
              <c:f>I_tiesas_apgabala_prok!$AG$6:$AG$8</c:f>
              <c:strCache>
                <c:ptCount val="3"/>
                <c:pt idx="0">
                  <c:v>2018</c:v>
                </c:pt>
                <c:pt idx="1">
                  <c:v>2019</c:v>
                </c:pt>
                <c:pt idx="2">
                  <c:v>2020</c:v>
                </c:pt>
              </c:strCache>
            </c:strRef>
          </c:tx>
          <c:spPr>
            <a:solidFill>
              <a:schemeClr val="accent3"/>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I_tiesas_apgabala_prok!$AH$6:$AH$8</c:f>
              <c:numCache>
                <c:formatCode>General</c:formatCode>
                <c:ptCount val="3"/>
                <c:pt idx="0">
                  <c:v>39</c:v>
                </c:pt>
                <c:pt idx="1">
                  <c:v>46</c:v>
                </c:pt>
                <c:pt idx="2">
                  <c:v>15</c:v>
                </c:pt>
              </c:numCache>
            </c:numRef>
          </c:val>
          <c:extLst>
            <c:ext xmlns:c16="http://schemas.microsoft.com/office/drawing/2014/chart" uri="{C3380CC4-5D6E-409C-BE32-E72D297353CC}">
              <c16:uniqueId val="{00000000-0324-40ED-9AC2-2E8AA156154F}"/>
            </c:ext>
          </c:extLst>
        </c:ser>
        <c:ser>
          <c:idx val="0"/>
          <c:order val="1"/>
          <c:tx>
            <c:strRef>
              <c:f>I_tiesas_apgabala_prok!$AG$6:$AG$8</c:f>
              <c:strCache>
                <c:ptCount val="3"/>
                <c:pt idx="0">
                  <c:v>2018</c:v>
                </c:pt>
                <c:pt idx="1">
                  <c:v>2019</c:v>
                </c:pt>
                <c:pt idx="2">
                  <c:v>2020</c:v>
                </c:pt>
              </c:strCache>
            </c:strRef>
          </c:tx>
          <c:spPr>
            <a:solidFill>
              <a:schemeClr val="accent1"/>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I_tiesas_apgabala_prok!$AI$6:$AI$8</c:f>
              <c:numCache>
                <c:formatCode>General</c:formatCode>
                <c:ptCount val="3"/>
                <c:pt idx="0">
                  <c:v>31</c:v>
                </c:pt>
                <c:pt idx="1">
                  <c:v>35</c:v>
                </c:pt>
                <c:pt idx="2">
                  <c:v>12</c:v>
                </c:pt>
              </c:numCache>
            </c:numRef>
          </c:val>
          <c:extLst>
            <c:ext xmlns:c16="http://schemas.microsoft.com/office/drawing/2014/chart" uri="{C3380CC4-5D6E-409C-BE32-E72D297353CC}">
              <c16:uniqueId val="{00000001-0324-40ED-9AC2-2E8AA156154F}"/>
            </c:ext>
          </c:extLst>
        </c:ser>
        <c:dLbls>
          <c:showLegendKey val="0"/>
          <c:showVal val="0"/>
          <c:showCatName val="0"/>
          <c:showSerName val="0"/>
          <c:showPercent val="0"/>
          <c:showBubbleSize val="0"/>
        </c:dLbls>
        <c:gapWidth val="150"/>
        <c:axId val="308870144"/>
        <c:axId val="308871936"/>
      </c:barChart>
      <c:catAx>
        <c:axId val="308870144"/>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308871936"/>
        <c:crosses val="autoZero"/>
        <c:auto val="1"/>
        <c:lblAlgn val="ctr"/>
        <c:lblOffset val="100"/>
        <c:noMultiLvlLbl val="0"/>
      </c:catAx>
      <c:valAx>
        <c:axId val="308871936"/>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308870144"/>
        <c:crosses val="autoZero"/>
        <c:crossBetween val="between"/>
      </c:valAx>
      <c:spPr>
        <a:solidFill>
          <a:schemeClr val="accent1">
            <a:tint val="20000"/>
          </a:schemeClr>
        </a:solidFill>
        <a:ln>
          <a:noFill/>
        </a:ln>
        <a:effectLst/>
      </c:spPr>
    </c:plotArea>
    <c:plotVisOnly val="1"/>
    <c:dispBlanksAs val="gap"/>
    <c:showDLblsOverMax val="0"/>
  </c:chart>
  <c:spPr>
    <a:solidFill>
      <a:schemeClr val="bg1">
        <a:lumMod val="95000"/>
      </a:schemeClr>
    </a:solidFill>
    <a:ln w="6350" cap="flat" cmpd="sng" algn="ctr">
      <a:solidFill>
        <a:schemeClr val="tx2"/>
      </a:solidFill>
      <a:prstDash val="solid"/>
      <a:round/>
    </a:ln>
    <a:effectLst/>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200" baseline="0"/>
            </a:pPr>
            <a:r>
              <a:rPr lang="lv-LV" sz="1200" baseline="0">
                <a:solidFill>
                  <a:schemeClr val="tx1"/>
                </a:solidFill>
              </a:rPr>
              <a:t>Tiesā attaisnoto apsūdzēto skaits</a:t>
            </a:r>
          </a:p>
        </c:rich>
      </c:tx>
      <c:layout>
        <c:manualLayout>
          <c:xMode val="edge"/>
          <c:yMode val="edge"/>
          <c:x val="0.1723206051370029"/>
          <c:y val="6.1214160310498089E-2"/>
        </c:manualLayout>
      </c:layout>
      <c:overlay val="0"/>
    </c:title>
    <c:autoTitleDeleted val="0"/>
    <c:plotArea>
      <c:layout>
        <c:manualLayout>
          <c:layoutTarget val="inner"/>
          <c:xMode val="edge"/>
          <c:yMode val="edge"/>
          <c:x val="6.9917091464874598E-2"/>
          <c:y val="0.36420707925527995"/>
          <c:w val="0.86956476430677776"/>
          <c:h val="0.37698449803149614"/>
        </c:manualLayout>
      </c:layout>
      <c:lineChart>
        <c:grouping val="standard"/>
        <c:varyColors val="0"/>
        <c:ser>
          <c:idx val="1"/>
          <c:order val="0"/>
          <c:tx>
            <c:strRef>
              <c:f>I_tiesas_apgabala_prok!$AK$6:$AK$8</c:f>
              <c:strCache>
                <c:ptCount val="3"/>
                <c:pt idx="0">
                  <c:v>2018</c:v>
                </c:pt>
                <c:pt idx="1">
                  <c:v>2019</c:v>
                </c:pt>
                <c:pt idx="2">
                  <c:v>2020</c:v>
                </c:pt>
              </c:strCache>
            </c:strRef>
          </c:tx>
          <c:marker>
            <c:symbol val="none"/>
          </c:marker>
          <c:dLbls>
            <c:dLbl>
              <c:idx val="0"/>
              <c:layout>
                <c:manualLayout>
                  <c:x val="-3.3461673083654185E-2"/>
                  <c:y val="0.102827832876433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D9-4C08-97C3-EF50C458DF0E}"/>
                </c:ext>
              </c:extLst>
            </c:dLbl>
            <c:dLbl>
              <c:idx val="1"/>
              <c:layout>
                <c:manualLayout>
                  <c:x val="-3.3461673083654268E-2"/>
                  <c:y val="-8.56898607303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D9-4C08-97C3-EF50C458DF0E}"/>
                </c:ext>
              </c:extLst>
            </c:dLbl>
            <c:dLbl>
              <c:idx val="2"/>
              <c:layout>
                <c:manualLayout>
                  <c:x val="-2.6647999066619996E-2"/>
                  <c:y val="-8.568986073036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D9-4C08-97C3-EF50C458DF0E}"/>
                </c:ext>
              </c:extLst>
            </c:dLbl>
            <c:spPr>
              <a:noFill/>
              <a:ln>
                <a:noFill/>
              </a:ln>
            </c:spPr>
            <c:txPr>
              <a:bodyPr/>
              <a:lstStyle/>
              <a:p>
                <a:pPr>
                  <a:defRPr sz="12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I_tiesas_apgabala_prok!$AL$6:$AL$8</c:f>
              <c:numCache>
                <c:formatCode>General</c:formatCode>
                <c:ptCount val="3"/>
                <c:pt idx="0">
                  <c:v>25</c:v>
                </c:pt>
                <c:pt idx="1">
                  <c:v>13</c:v>
                </c:pt>
                <c:pt idx="2">
                  <c:v>6</c:v>
                </c:pt>
              </c:numCache>
            </c:numRef>
          </c:val>
          <c:smooth val="0"/>
          <c:extLst>
            <c:ext xmlns:c16="http://schemas.microsoft.com/office/drawing/2014/chart" uri="{C3380CC4-5D6E-409C-BE32-E72D297353CC}">
              <c16:uniqueId val="{00000003-C4D9-4C08-97C3-EF50C458DF0E}"/>
            </c:ext>
          </c:extLst>
        </c:ser>
        <c:dLbls>
          <c:showLegendKey val="0"/>
          <c:showVal val="0"/>
          <c:showCatName val="0"/>
          <c:showSerName val="0"/>
          <c:showPercent val="0"/>
          <c:showBubbleSize val="0"/>
        </c:dLbls>
        <c:smooth val="0"/>
        <c:axId val="291646464"/>
        <c:axId val="292175232"/>
      </c:lineChart>
      <c:catAx>
        <c:axId val="291646464"/>
        <c:scaling>
          <c:orientation val="minMax"/>
        </c:scaling>
        <c:delete val="0"/>
        <c:axPos val="b"/>
        <c:numFmt formatCode="General" sourceLinked="1"/>
        <c:majorTickMark val="none"/>
        <c:minorTickMark val="none"/>
        <c:tickLblPos val="nextTo"/>
        <c:txPr>
          <a:bodyPr/>
          <a:lstStyle/>
          <a:p>
            <a:pPr>
              <a:defRPr sz="1200" b="1" baseline="0">
                <a:solidFill>
                  <a:schemeClr val="tx1"/>
                </a:solidFill>
              </a:defRPr>
            </a:pPr>
            <a:endParaRPr lang="lv-LV"/>
          </a:p>
        </c:txPr>
        <c:crossAx val="292175232"/>
        <c:crosses val="autoZero"/>
        <c:auto val="1"/>
        <c:lblAlgn val="ctr"/>
        <c:lblOffset val="100"/>
        <c:noMultiLvlLbl val="0"/>
      </c:catAx>
      <c:valAx>
        <c:axId val="292175232"/>
        <c:scaling>
          <c:orientation val="minMax"/>
        </c:scaling>
        <c:delete val="1"/>
        <c:axPos val="l"/>
        <c:majorGridlines/>
        <c:numFmt formatCode="General" sourceLinked="1"/>
        <c:majorTickMark val="none"/>
        <c:minorTickMark val="none"/>
        <c:tickLblPos val="nextTo"/>
        <c:crossAx val="2916464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Izlemtas sūdzības, no tām apmierinātas</a:t>
            </a:r>
          </a:p>
        </c:rich>
      </c:tx>
      <c:layout>
        <c:manualLayout>
          <c:xMode val="edge"/>
          <c:yMode val="edge"/>
          <c:x val="0.18780015363471123"/>
          <c:y val="4.55070174611407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1"/>
          <c:order val="0"/>
          <c:tx>
            <c:strRef>
              <c:f>I_tiesas_apgabala_prok!$AN$6:$AN$8</c:f>
              <c:strCache>
                <c:ptCount val="3"/>
                <c:pt idx="0">
                  <c:v>2018</c:v>
                </c:pt>
                <c:pt idx="1">
                  <c:v>2019</c:v>
                </c:pt>
                <c:pt idx="2">
                  <c:v>2020</c:v>
                </c:pt>
              </c:strCache>
            </c:strRef>
          </c:tx>
          <c:spPr>
            <a:solidFill>
              <a:schemeClr val="accent1">
                <a:tint val="77000"/>
              </a:schemeClr>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I_tiesas_apgabala_prok!$AO$6:$AO$8</c:f>
              <c:numCache>
                <c:formatCode>General</c:formatCode>
                <c:ptCount val="3"/>
                <c:pt idx="0">
                  <c:v>913</c:v>
                </c:pt>
                <c:pt idx="1">
                  <c:v>939</c:v>
                </c:pt>
                <c:pt idx="2">
                  <c:v>973</c:v>
                </c:pt>
              </c:numCache>
            </c:numRef>
          </c:val>
          <c:extLst>
            <c:ext xmlns:c16="http://schemas.microsoft.com/office/drawing/2014/chart" uri="{C3380CC4-5D6E-409C-BE32-E72D297353CC}">
              <c16:uniqueId val="{00000000-0967-4D8C-9643-ABED31BD7F62}"/>
            </c:ext>
          </c:extLst>
        </c:ser>
        <c:ser>
          <c:idx val="0"/>
          <c:order val="1"/>
          <c:tx>
            <c:strRef>
              <c:f>I_tiesas_apgabala_prok!$AN$6:$AN$8</c:f>
              <c:strCache>
                <c:ptCount val="3"/>
                <c:pt idx="0">
                  <c:v>2018</c:v>
                </c:pt>
                <c:pt idx="1">
                  <c:v>2019</c:v>
                </c:pt>
                <c:pt idx="2">
                  <c:v>2020</c:v>
                </c:pt>
              </c:strCache>
            </c:strRef>
          </c:tx>
          <c:spPr>
            <a:solidFill>
              <a:schemeClr val="accent1">
                <a:shade val="76000"/>
              </a:schemeClr>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I_tiesas_apgabala_prok!$AP$6:$AP$8</c:f>
              <c:numCache>
                <c:formatCode>General</c:formatCode>
                <c:ptCount val="3"/>
                <c:pt idx="0">
                  <c:v>65</c:v>
                </c:pt>
                <c:pt idx="1">
                  <c:v>100</c:v>
                </c:pt>
                <c:pt idx="2">
                  <c:v>132</c:v>
                </c:pt>
              </c:numCache>
            </c:numRef>
          </c:val>
          <c:extLst>
            <c:ext xmlns:c16="http://schemas.microsoft.com/office/drawing/2014/chart" uri="{C3380CC4-5D6E-409C-BE32-E72D297353CC}">
              <c16:uniqueId val="{00000001-0967-4D8C-9643-ABED31BD7F62}"/>
            </c:ext>
          </c:extLst>
        </c:ser>
        <c:dLbls>
          <c:showLegendKey val="0"/>
          <c:showVal val="0"/>
          <c:showCatName val="0"/>
          <c:showSerName val="0"/>
          <c:showPercent val="0"/>
          <c:showBubbleSize val="0"/>
        </c:dLbls>
        <c:gapWidth val="150"/>
        <c:axId val="263482368"/>
        <c:axId val="288760576"/>
      </c:barChart>
      <c:catAx>
        <c:axId val="263482368"/>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88760576"/>
        <c:crosses val="autoZero"/>
        <c:auto val="1"/>
        <c:lblAlgn val="ctr"/>
        <c:lblOffset val="100"/>
        <c:noMultiLvlLbl val="0"/>
      </c:catAx>
      <c:valAx>
        <c:axId val="288760576"/>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263482368"/>
        <c:crosses val="autoZero"/>
        <c:crossBetween val="between"/>
      </c:valAx>
      <c:spPr>
        <a:solidFill>
          <a:schemeClr val="accent1">
            <a:tint val="20000"/>
          </a:schemeClr>
        </a:solidFill>
        <a:ln>
          <a:noFill/>
        </a:ln>
        <a:effectLst/>
      </c:spPr>
    </c:plotArea>
    <c:plotVisOnly val="1"/>
    <c:dispBlanksAs val="gap"/>
    <c:showDLblsOverMax val="0"/>
  </c:chart>
  <c:spPr>
    <a:solidFill>
      <a:schemeClr val="bg1">
        <a:lumMod val="95000"/>
      </a:schemeClr>
    </a:solidFill>
    <a:ln w="6350" cap="flat" cmpd="sng" algn="ctr">
      <a:solidFill>
        <a:schemeClr val="tx2"/>
      </a:solidFill>
      <a:prstDash val="solid"/>
      <a:round/>
    </a:ln>
    <a:effectLst/>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lgn="ctr">
              <a:defRPr baseline="0"/>
            </a:pPr>
            <a:r>
              <a:rPr lang="lv-LV" sz="1200" baseline="0">
                <a:solidFill>
                  <a:schemeClr val="tx1"/>
                </a:solidFill>
              </a:rPr>
              <a:t>Kriminālvajāšanai saņemti kriminālprocesi</a:t>
            </a:r>
          </a:p>
        </c:rich>
      </c:tx>
      <c:layout>
        <c:manualLayout>
          <c:xMode val="edge"/>
          <c:yMode val="edge"/>
          <c:x val="0.22095680881770122"/>
          <c:y val="3.0173341641647311E-2"/>
        </c:manualLayout>
      </c:layout>
      <c:overlay val="0"/>
    </c:title>
    <c:autoTitleDeleted val="0"/>
    <c:plotArea>
      <c:layout/>
      <c:barChart>
        <c:barDir val="col"/>
        <c:grouping val="clustered"/>
        <c:varyColors val="0"/>
        <c:ser>
          <c:idx val="0"/>
          <c:order val="0"/>
          <c:tx>
            <c:strRef>
              <c:f>II_Rajona_prok!$C$4</c:f>
              <c:strCache>
                <c:ptCount val="1"/>
                <c:pt idx="0">
                  <c:v>2020</c:v>
                </c:pt>
              </c:strCache>
            </c:strRef>
          </c:tx>
          <c:spPr>
            <a:solidFill>
              <a:srgbClr val="4472C4">
                <a:lumMod val="40000"/>
                <a:lumOff val="60000"/>
              </a:srgbClr>
            </a:solidFill>
          </c:spPr>
          <c:invertIfNegative val="0"/>
          <c:cat>
            <c:strRef>
              <c:f>II_Rajona_prok!$B$5:$B$12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II_Rajona_prok!$C$5:$C$12</c:f>
              <c:numCache>
                <c:formatCode>General</c:formatCode>
                <c:ptCount val="8"/>
                <c:pt idx="0">
                  <c:v>267</c:v>
                </c:pt>
                <c:pt idx="1">
                  <c:v>693</c:v>
                </c:pt>
                <c:pt idx="2">
                  <c:v>709</c:v>
                </c:pt>
                <c:pt idx="3">
                  <c:v>542</c:v>
                </c:pt>
                <c:pt idx="4">
                  <c:v>223</c:v>
                </c:pt>
                <c:pt idx="5">
                  <c:v>169</c:v>
                </c:pt>
                <c:pt idx="6">
                  <c:v>226</c:v>
                </c:pt>
                <c:pt idx="7">
                  <c:v>434</c:v>
                </c:pt>
              </c:numCache>
            </c:numRef>
          </c:val>
          <c:extLst>
            <c:ext xmlns:c16="http://schemas.microsoft.com/office/drawing/2014/chart" uri="{C3380CC4-5D6E-409C-BE32-E72D297353CC}">
              <c16:uniqueId val="{00000000-A21F-4D74-BF7C-69B761827F81}"/>
            </c:ext>
          </c:extLst>
        </c:ser>
        <c:ser>
          <c:idx val="1"/>
          <c:order val="1"/>
          <c:tx>
            <c:strRef>
              <c:f>II_Rajona_prok!$D$4</c:f>
              <c:strCache>
                <c:ptCount val="1"/>
                <c:pt idx="0">
                  <c:v>2019</c:v>
                </c:pt>
              </c:strCache>
            </c:strRef>
          </c:tx>
          <c:spPr>
            <a:solidFill>
              <a:srgbClr val="7030A0"/>
            </a:solidFill>
          </c:spPr>
          <c:invertIfNegative val="0"/>
          <c:cat>
            <c:strRef>
              <c:f>II_Rajona_prok!$B$5:$B$12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II_Rajona_prok!$D$5:$D$12</c:f>
              <c:numCache>
                <c:formatCode>General</c:formatCode>
                <c:ptCount val="8"/>
                <c:pt idx="0">
                  <c:v>311</c:v>
                </c:pt>
                <c:pt idx="1">
                  <c:v>650</c:v>
                </c:pt>
                <c:pt idx="2">
                  <c:v>450</c:v>
                </c:pt>
                <c:pt idx="3">
                  <c:v>580</c:v>
                </c:pt>
                <c:pt idx="4">
                  <c:v>223</c:v>
                </c:pt>
                <c:pt idx="5">
                  <c:v>206</c:v>
                </c:pt>
                <c:pt idx="6">
                  <c:v>220</c:v>
                </c:pt>
                <c:pt idx="7">
                  <c:v>560</c:v>
                </c:pt>
              </c:numCache>
            </c:numRef>
          </c:val>
          <c:extLst>
            <c:ext xmlns:c16="http://schemas.microsoft.com/office/drawing/2014/chart" uri="{C3380CC4-5D6E-409C-BE32-E72D297353CC}">
              <c16:uniqueId val="{00000001-A21F-4D74-BF7C-69B761827F81}"/>
            </c:ext>
          </c:extLst>
        </c:ser>
        <c:dLbls>
          <c:showLegendKey val="0"/>
          <c:showVal val="0"/>
          <c:showCatName val="0"/>
          <c:showSerName val="0"/>
          <c:showPercent val="0"/>
          <c:showBubbleSize val="0"/>
        </c:dLbls>
        <c:gapWidth val="150"/>
        <c:axId val="252554240"/>
        <c:axId val="252556800"/>
      </c:barChart>
      <c:catAx>
        <c:axId val="252554240"/>
        <c:scaling>
          <c:orientation val="minMax"/>
        </c:scaling>
        <c:delete val="0"/>
        <c:axPos val="b"/>
        <c:numFmt formatCode="General" sourceLinked="0"/>
        <c:majorTickMark val="none"/>
        <c:minorTickMark val="none"/>
        <c:tickLblPos val="nextTo"/>
        <c:crossAx val="252556800"/>
        <c:crosses val="autoZero"/>
        <c:auto val="1"/>
        <c:lblAlgn val="ctr"/>
        <c:lblOffset val="100"/>
        <c:noMultiLvlLbl val="0"/>
      </c:catAx>
      <c:valAx>
        <c:axId val="25255680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2554240"/>
        <c:crosses val="autoZero"/>
        <c:crossBetween val="between"/>
      </c:valAx>
      <c:dTable>
        <c:showHorzBorder val="1"/>
        <c:showVertBorder val="1"/>
        <c:showOutline val="1"/>
        <c:showKeys val="1"/>
        <c:txPr>
          <a:bodyPr/>
          <a:lstStyle/>
          <a:p>
            <a:pPr rtl="0">
              <a:defRPr sz="1000" b="1" baseline="0">
                <a:solidFill>
                  <a:schemeClr val="tx1"/>
                </a:solidFill>
              </a:defRPr>
            </a:pPr>
            <a:endParaRPr lang="lv-LV"/>
          </a:p>
        </c:txPr>
      </c:dTable>
    </c:plotArea>
    <c:plotVisOnly val="1"/>
    <c:dispBlanksAs val="gap"/>
    <c:showDLblsOverMax val="0"/>
  </c:chart>
  <c:spPr>
    <a:solidFill>
      <a:schemeClr val="accent4">
        <a:lumMod val="20000"/>
        <a:lumOff val="80000"/>
      </a:schemeClr>
    </a:solidFill>
    <a:ln>
      <a:solidFill>
        <a:srgbClr val="7030A0">
          <a:alpha val="79000"/>
        </a:srgbClr>
      </a:solidFill>
    </a:ln>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a:solidFill>
                  <a:schemeClr val="tx1"/>
                </a:solidFill>
              </a:rPr>
              <a:t>Paātrinātā procesa kārtībā kriminālvajāšanai saņemti kriminālprocesi, no tiem</a:t>
            </a:r>
            <a:r>
              <a:rPr lang="lv-LV" sz="1200" baseline="0">
                <a:solidFill>
                  <a:schemeClr val="tx1"/>
                </a:solidFill>
              </a:rPr>
              <a:t> šī </a:t>
            </a:r>
            <a:r>
              <a:rPr lang="lv-LV" sz="1200">
                <a:solidFill>
                  <a:schemeClr val="tx1"/>
                </a:solidFill>
              </a:rPr>
              <a:t>procesa kārtībā tiesai nodotas krimināllietas</a:t>
            </a:r>
          </a:p>
        </c:rich>
      </c:tx>
      <c:layout>
        <c:manualLayout>
          <c:xMode val="edge"/>
          <c:yMode val="edge"/>
          <c:x val="0.1507844511239374"/>
          <c:y val="0"/>
        </c:manualLayout>
      </c:layout>
      <c:overlay val="0"/>
    </c:title>
    <c:autoTitleDeleted val="0"/>
    <c:plotArea>
      <c:layout>
        <c:manualLayout>
          <c:layoutTarget val="inner"/>
          <c:xMode val="edge"/>
          <c:yMode val="edge"/>
          <c:x val="5.2114821493796398E-2"/>
          <c:y val="0.31261003308247404"/>
          <c:w val="0.82934330611158713"/>
          <c:h val="0.38498016986205957"/>
        </c:manualLayout>
      </c:layout>
      <c:barChart>
        <c:barDir val="col"/>
        <c:grouping val="clustered"/>
        <c:varyColors val="0"/>
        <c:ser>
          <c:idx val="0"/>
          <c:order val="0"/>
          <c:tx>
            <c:strRef>
              <c:f>'[Chart in Microsoft Word]II_Rajona_prok'!$G$4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Word]II_Rajona_prok'!$F$5:$F$12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Word]II_Rajona_prok'!$G$5:$G$12</c:f>
              <c:numCache>
                <c:formatCode>General</c:formatCode>
                <c:ptCount val="8"/>
                <c:pt idx="0">
                  <c:v>41</c:v>
                </c:pt>
                <c:pt idx="1">
                  <c:v>149</c:v>
                </c:pt>
                <c:pt idx="2">
                  <c:v>169</c:v>
                </c:pt>
                <c:pt idx="3">
                  <c:v>122</c:v>
                </c:pt>
                <c:pt idx="4">
                  <c:v>27</c:v>
                </c:pt>
                <c:pt idx="5">
                  <c:v>29</c:v>
                </c:pt>
                <c:pt idx="6">
                  <c:v>52</c:v>
                </c:pt>
                <c:pt idx="7">
                  <c:v>57</c:v>
                </c:pt>
              </c:numCache>
            </c:numRef>
          </c:val>
          <c:extLst>
            <c:ext xmlns:c16="http://schemas.microsoft.com/office/drawing/2014/chart" uri="{C3380CC4-5D6E-409C-BE32-E72D297353CC}">
              <c16:uniqueId val="{00000000-C7EA-45DB-B1EE-F293AEBAEC78}"/>
            </c:ext>
          </c:extLst>
        </c:ser>
        <c:ser>
          <c:idx val="1"/>
          <c:order val="1"/>
          <c:tx>
            <c:strRef>
              <c:f>'[Chart in Microsoft Word]II_Rajona_prok'!$G$4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Word]II_Rajona_prok'!$F$5:$F$12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Word]II_Rajona_prok'!$H$5:$H$12</c:f>
              <c:numCache>
                <c:formatCode>General</c:formatCode>
                <c:ptCount val="8"/>
                <c:pt idx="0">
                  <c:v>1</c:v>
                </c:pt>
                <c:pt idx="1">
                  <c:v>9</c:v>
                </c:pt>
                <c:pt idx="2">
                  <c:v>5</c:v>
                </c:pt>
                <c:pt idx="3">
                  <c:v>7</c:v>
                </c:pt>
                <c:pt idx="4">
                  <c:v>2</c:v>
                </c:pt>
                <c:pt idx="5">
                  <c:v>10</c:v>
                </c:pt>
                <c:pt idx="6">
                  <c:v>36</c:v>
                </c:pt>
                <c:pt idx="7">
                  <c:v>1</c:v>
                </c:pt>
              </c:numCache>
            </c:numRef>
          </c:val>
          <c:extLst>
            <c:ext xmlns:c16="http://schemas.microsoft.com/office/drawing/2014/chart" uri="{C3380CC4-5D6E-409C-BE32-E72D297353CC}">
              <c16:uniqueId val="{00000001-C7EA-45DB-B1EE-F293AEBAEC78}"/>
            </c:ext>
          </c:extLst>
        </c:ser>
        <c:ser>
          <c:idx val="2"/>
          <c:order val="2"/>
          <c:tx>
            <c:strRef>
              <c:f>'[Chart in Microsoft Word]II_Rajona_prok'!$I$4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Word]II_Rajona_prok'!$F$5:$F$12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Word]II_Rajona_prok'!$I$5:$I$12</c:f>
              <c:numCache>
                <c:formatCode>General</c:formatCode>
                <c:ptCount val="8"/>
                <c:pt idx="0">
                  <c:v>74</c:v>
                </c:pt>
                <c:pt idx="1">
                  <c:v>148</c:v>
                </c:pt>
                <c:pt idx="2">
                  <c:v>116</c:v>
                </c:pt>
                <c:pt idx="3">
                  <c:v>162</c:v>
                </c:pt>
                <c:pt idx="4">
                  <c:v>58</c:v>
                </c:pt>
                <c:pt idx="5">
                  <c:v>24</c:v>
                </c:pt>
                <c:pt idx="6">
                  <c:v>51</c:v>
                </c:pt>
                <c:pt idx="7">
                  <c:v>103</c:v>
                </c:pt>
              </c:numCache>
            </c:numRef>
          </c:val>
          <c:extLst>
            <c:ext xmlns:c16="http://schemas.microsoft.com/office/drawing/2014/chart" uri="{C3380CC4-5D6E-409C-BE32-E72D297353CC}">
              <c16:uniqueId val="{00000002-C7EA-45DB-B1EE-F293AEBAEC78}"/>
            </c:ext>
          </c:extLst>
        </c:ser>
        <c:ser>
          <c:idx val="3"/>
          <c:order val="3"/>
          <c:tx>
            <c:strRef>
              <c:f>'[Chart in Microsoft Word]II_Rajona_prok'!$I$4</c:f>
              <c:strCache>
                <c:ptCount val="1"/>
                <c:pt idx="0">
                  <c:v>2019</c:v>
                </c:pt>
              </c:strCache>
            </c:strRef>
          </c:tx>
          <c:invertIfNegative val="0"/>
          <c:dLbls>
            <c:dLbl>
              <c:idx val="0"/>
              <c:layout>
                <c:manualLayout>
                  <c:x val="3.4734553482528565E-3"/>
                  <c:y val="2.11712373889986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EA-45DB-B1EE-F293AEBAEC78}"/>
                </c:ext>
              </c:extLst>
            </c:dLbl>
            <c:dLbl>
              <c:idx val="1"/>
              <c:layout>
                <c:manualLayout>
                  <c:x val="1.7367276741264682E-3"/>
                  <c:y val="1.3095719897085255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3.212946197133907E-2"/>
                      <c:h val="4.2255966500123109E-2"/>
                    </c:manualLayout>
                  </c15:layout>
                </c:ext>
                <c:ext xmlns:c16="http://schemas.microsoft.com/office/drawing/2014/chart" uri="{C3380CC4-5D6E-409C-BE32-E72D297353CC}">
                  <c16:uniqueId val="{00000004-C7EA-45DB-B1EE-F293AEBAEC78}"/>
                </c:ext>
              </c:extLst>
            </c:dLbl>
            <c:dLbl>
              <c:idx val="2"/>
              <c:layout>
                <c:manualLayout>
                  <c:x val="3.4734553482528726E-3"/>
                  <c:y val="9.45057564301965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EA-45DB-B1EE-F293AEBAEC78}"/>
                </c:ext>
              </c:extLst>
            </c:dLbl>
            <c:dLbl>
              <c:idx val="3"/>
              <c:layout>
                <c:manualLayout>
                  <c:x val="1.7367276741263725E-3"/>
                  <c:y val="1.50596997860279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7EA-45DB-B1EE-F293AEBAEC78}"/>
                </c:ext>
              </c:extLst>
            </c:dLbl>
            <c:dLbl>
              <c:idx val="5"/>
              <c:layout>
                <c:manualLayout>
                  <c:x val="1.7367276741264363E-3"/>
                  <c:y val="1.30957198970853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7EA-45DB-B1EE-F293AEBAEC78}"/>
                </c:ext>
              </c:extLst>
            </c:dLbl>
            <c:dLbl>
              <c:idx val="6"/>
              <c:layout>
                <c:manualLayout>
                  <c:x val="1.7367276741264363E-3"/>
                  <c:y val="1.59320420006763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7EA-45DB-B1EE-F293AEBAEC78}"/>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Word]II_Rajona_prok'!$F$5:$F$12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Word]II_Rajona_prok'!$J$5:$J$12</c:f>
              <c:numCache>
                <c:formatCode>General</c:formatCode>
                <c:ptCount val="8"/>
                <c:pt idx="0">
                  <c:v>10</c:v>
                </c:pt>
                <c:pt idx="1">
                  <c:v>8</c:v>
                </c:pt>
                <c:pt idx="2">
                  <c:v>9</c:v>
                </c:pt>
                <c:pt idx="3">
                  <c:v>18</c:v>
                </c:pt>
                <c:pt idx="4">
                  <c:v>5</c:v>
                </c:pt>
                <c:pt idx="5">
                  <c:v>8</c:v>
                </c:pt>
                <c:pt idx="6">
                  <c:v>42</c:v>
                </c:pt>
                <c:pt idx="7">
                  <c:v>5</c:v>
                </c:pt>
              </c:numCache>
            </c:numRef>
          </c:val>
          <c:extLst>
            <c:ext xmlns:c16="http://schemas.microsoft.com/office/drawing/2014/chart" uri="{C3380CC4-5D6E-409C-BE32-E72D297353CC}">
              <c16:uniqueId val="{00000009-C7EA-45DB-B1EE-F293AEBAEC78}"/>
            </c:ext>
          </c:extLst>
        </c:ser>
        <c:dLbls>
          <c:showLegendKey val="0"/>
          <c:showVal val="0"/>
          <c:showCatName val="0"/>
          <c:showSerName val="0"/>
          <c:showPercent val="0"/>
          <c:showBubbleSize val="0"/>
        </c:dLbls>
        <c:gapWidth val="150"/>
        <c:axId val="175464832"/>
        <c:axId val="175466368"/>
      </c:barChart>
      <c:catAx>
        <c:axId val="175464832"/>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75466368"/>
        <c:crosses val="autoZero"/>
        <c:auto val="1"/>
        <c:lblAlgn val="ctr"/>
        <c:lblOffset val="100"/>
        <c:noMultiLvlLbl val="0"/>
      </c:catAx>
      <c:valAx>
        <c:axId val="175466368"/>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64832"/>
        <c:crosses val="autoZero"/>
        <c:crossBetween val="between"/>
      </c:valAx>
    </c:plotArea>
    <c:legend>
      <c:legendPos val="r"/>
      <c:layout>
        <c:manualLayout>
          <c:xMode val="edge"/>
          <c:yMode val="edge"/>
          <c:x val="0.89954440933748803"/>
          <c:y val="0.43375268604020101"/>
          <c:w val="8.9076277536967091E-2"/>
          <c:h val="0.28763910834479844"/>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baseline="0">
          <a:solidFill>
            <a:schemeClr val="tx2"/>
          </a:solidFill>
          <a:latin typeface="Times New Roman" panose="02020603050405020304" pitchFamily="18" charset="0"/>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b="1">
                <a:solidFill>
                  <a:schemeClr val="tx1"/>
                </a:solidFill>
                <a:latin typeface="Times New Roman" panose="02020603050405020304" pitchFamily="18" charset="0"/>
                <a:cs typeface="Times New Roman" panose="02020603050405020304" pitchFamily="18" charset="0"/>
              </a:rPr>
              <a:t>Pārbaudīti</a:t>
            </a:r>
            <a:r>
              <a:rPr lang="lv-LV" sz="1200" b="1" baseline="0">
                <a:solidFill>
                  <a:schemeClr val="tx1"/>
                </a:solidFill>
                <a:latin typeface="Times New Roman" panose="02020603050405020304" pitchFamily="18" charset="0"/>
                <a:cs typeface="Times New Roman" panose="02020603050405020304" pitchFamily="18" charset="0"/>
              </a:rPr>
              <a:t> atteikuma materiāli</a:t>
            </a:r>
          </a:p>
          <a:p>
            <a:pPr>
              <a:defRPr/>
            </a:pPr>
            <a:r>
              <a:rPr lang="lv-LV" sz="1200" b="1" baseline="0">
                <a:solidFill>
                  <a:schemeClr val="tx1"/>
                </a:solidFill>
                <a:latin typeface="Times New Roman" panose="02020603050405020304" pitchFamily="18" charset="0"/>
                <a:cs typeface="Times New Roman" panose="02020603050405020304" pitchFamily="18" charset="0"/>
              </a:rPr>
              <a:t>(pēc prokurora iniciatīvas)</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24582</c:v>
                </c:pt>
                <c:pt idx="1">
                  <c:v>23740</c:v>
                </c:pt>
                <c:pt idx="2">
                  <c:v>20786</c:v>
                </c:pt>
              </c:numCache>
            </c:numRef>
          </c:val>
          <c:extLst>
            <c:ext xmlns:c16="http://schemas.microsoft.com/office/drawing/2014/chart" uri="{C3380CC4-5D6E-409C-BE32-E72D297353CC}">
              <c16:uniqueId val="{00000000-76C5-4A9D-B2AB-EFE97101A117}"/>
            </c:ext>
          </c:extLst>
        </c:ser>
        <c:dLbls>
          <c:showLegendKey val="0"/>
          <c:showVal val="0"/>
          <c:showCatName val="0"/>
          <c:showSerName val="0"/>
          <c:showPercent val="0"/>
          <c:showBubbleSize val="0"/>
        </c:dLbls>
        <c:gapWidth val="219"/>
        <c:overlap val="-27"/>
        <c:axId val="583289160"/>
        <c:axId val="583294408"/>
      </c:barChart>
      <c:catAx>
        <c:axId val="58328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83294408"/>
        <c:crosses val="autoZero"/>
        <c:auto val="1"/>
        <c:lblAlgn val="ctr"/>
        <c:lblOffset val="100"/>
        <c:noMultiLvlLbl val="0"/>
      </c:catAx>
      <c:valAx>
        <c:axId val="583294408"/>
        <c:scaling>
          <c:orientation val="minMax"/>
          <c:max val="25000"/>
          <c:min val="5000"/>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83289160"/>
        <c:crosses val="autoZero"/>
        <c:crossBetween val="between"/>
        <c:majorUnit val="5000"/>
        <c:minorUnit val="3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Tiesai nodotas krimināllietas, no tām vienošanās procesa kārtībā</a:t>
            </a:r>
          </a:p>
        </c:rich>
      </c:tx>
      <c:overlay val="0"/>
    </c:title>
    <c:autoTitleDeleted val="0"/>
    <c:plotArea>
      <c:layout>
        <c:manualLayout>
          <c:layoutTarget val="inner"/>
          <c:xMode val="edge"/>
          <c:yMode val="edge"/>
          <c:x val="7.2532117695814344E-2"/>
          <c:y val="0.16815920398009948"/>
          <c:w val="0.80590652484228942"/>
          <c:h val="0.51407255063266344"/>
        </c:manualLayout>
      </c:layout>
      <c:barChart>
        <c:barDir val="col"/>
        <c:grouping val="clustered"/>
        <c:varyColors val="0"/>
        <c:ser>
          <c:idx val="0"/>
          <c:order val="0"/>
          <c:tx>
            <c:strRef>
              <c:f>'[Chart in Microsoft Word]II_Rajona_prok'!$M$4</c:f>
              <c:strCache>
                <c:ptCount val="1"/>
                <c:pt idx="0">
                  <c:v>2020</c:v>
                </c:pt>
              </c:strCache>
            </c:strRef>
          </c:tx>
          <c:invertIfNegative val="0"/>
          <c:dLbls>
            <c:dLbl>
              <c:idx val="0"/>
              <c:layout>
                <c:manualLayout>
                  <c:x val="-1.0721123712016835E-17"/>
                  <c:y val="9.95024875621886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44-43E7-9E95-18DFB9B14B7D}"/>
                </c:ext>
              </c:extLst>
            </c:dLbl>
            <c:dLbl>
              <c:idx val="1"/>
              <c:layout>
                <c:manualLayout>
                  <c:x val="0"/>
                  <c:y val="4.9751243781094301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7.1345029239766086E-2"/>
                      <c:h val="0.1044776119402985"/>
                    </c:manualLayout>
                  </c15:layout>
                </c:ext>
                <c:ext xmlns:c16="http://schemas.microsoft.com/office/drawing/2014/chart" uri="{C3380CC4-5D6E-409C-BE32-E72D297353CC}">
                  <c16:uniqueId val="{00000006-8C44-43E7-9E95-18DFB9B14B7D}"/>
                </c:ext>
              </c:extLst>
            </c:dLbl>
            <c:dLbl>
              <c:idx val="2"/>
              <c:layout>
                <c:manualLayout>
                  <c:x val="0"/>
                  <c:y val="1.49253731343283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C44-43E7-9E95-18DFB9B14B7D}"/>
                </c:ext>
              </c:extLst>
            </c:dLbl>
            <c:dLbl>
              <c:idx val="3"/>
              <c:layout>
                <c:manualLayout>
                  <c:x val="-4.2884494848067341E-17"/>
                  <c:y val="4.97512437810945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C44-43E7-9E95-18DFB9B14B7D}"/>
                </c:ext>
              </c:extLst>
            </c:dLbl>
            <c:dLbl>
              <c:idx val="4"/>
              <c:layout>
                <c:manualLayout>
                  <c:x val="-8.5768989696134682E-17"/>
                  <c:y val="9.950248756218950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44-43E7-9E95-18DFB9B14B7D}"/>
                </c:ext>
              </c:extLst>
            </c:dLbl>
            <c:dLbl>
              <c:idx val="5"/>
              <c:layout>
                <c:manualLayout>
                  <c:x val="-2.3391812865497076E-3"/>
                  <c:y val="9.95024875621890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C44-43E7-9E95-18DFB9B14B7D}"/>
                </c:ext>
              </c:extLst>
            </c:dLbl>
            <c:dLbl>
              <c:idx val="6"/>
              <c:layout>
                <c:manualLayout>
                  <c:x val="-2.3391812865497076E-3"/>
                  <c:y val="4.975124378109407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C44-43E7-9E95-18DFB9B14B7D}"/>
                </c:ext>
              </c:extLst>
            </c:dLbl>
            <c:dLbl>
              <c:idx val="7"/>
              <c:layout>
                <c:manualLayout>
                  <c:x val="0"/>
                  <c:y val="1.49253731343283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44-43E7-9E95-18DFB9B14B7D}"/>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Word]II_Rajona_prok'!$L$5:$L$12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Word]II_Rajona_prok'!$M$5:$M$12</c:f>
              <c:numCache>
                <c:formatCode>General</c:formatCode>
                <c:ptCount val="8"/>
                <c:pt idx="0">
                  <c:v>222</c:v>
                </c:pt>
                <c:pt idx="1">
                  <c:v>411</c:v>
                </c:pt>
                <c:pt idx="2">
                  <c:v>412</c:v>
                </c:pt>
                <c:pt idx="3">
                  <c:v>353</c:v>
                </c:pt>
                <c:pt idx="4">
                  <c:v>177</c:v>
                </c:pt>
                <c:pt idx="5">
                  <c:v>142</c:v>
                </c:pt>
                <c:pt idx="6">
                  <c:v>170</c:v>
                </c:pt>
                <c:pt idx="7">
                  <c:v>272</c:v>
                </c:pt>
              </c:numCache>
            </c:numRef>
          </c:val>
          <c:extLst>
            <c:ext xmlns:c16="http://schemas.microsoft.com/office/drawing/2014/chart" uri="{C3380CC4-5D6E-409C-BE32-E72D297353CC}">
              <c16:uniqueId val="{00000000-A57D-4E95-9EC3-C4DC39F5EE59}"/>
            </c:ext>
          </c:extLst>
        </c:ser>
        <c:ser>
          <c:idx val="1"/>
          <c:order val="1"/>
          <c:tx>
            <c:strRef>
              <c:f>'[Chart in Microsoft Word]II_Rajona_prok'!$M$4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Word]II_Rajona_prok'!$L$5:$L$12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Word]II_Rajona_prok'!$N$5:$N$12</c:f>
              <c:numCache>
                <c:formatCode>General</c:formatCode>
                <c:ptCount val="8"/>
                <c:pt idx="0">
                  <c:v>67</c:v>
                </c:pt>
                <c:pt idx="1">
                  <c:v>165</c:v>
                </c:pt>
                <c:pt idx="2">
                  <c:v>26</c:v>
                </c:pt>
                <c:pt idx="3">
                  <c:v>32</c:v>
                </c:pt>
                <c:pt idx="4">
                  <c:v>29</c:v>
                </c:pt>
                <c:pt idx="5">
                  <c:v>25</c:v>
                </c:pt>
                <c:pt idx="6">
                  <c:v>24</c:v>
                </c:pt>
                <c:pt idx="7">
                  <c:v>44</c:v>
                </c:pt>
              </c:numCache>
            </c:numRef>
          </c:val>
          <c:extLst>
            <c:ext xmlns:c16="http://schemas.microsoft.com/office/drawing/2014/chart" uri="{C3380CC4-5D6E-409C-BE32-E72D297353CC}">
              <c16:uniqueId val="{00000001-A57D-4E95-9EC3-C4DC39F5EE59}"/>
            </c:ext>
          </c:extLst>
        </c:ser>
        <c:ser>
          <c:idx val="2"/>
          <c:order val="2"/>
          <c:tx>
            <c:strRef>
              <c:f>'[Chart in Microsoft Word]II_Rajona_prok'!$O$4</c:f>
              <c:strCache>
                <c:ptCount val="1"/>
                <c:pt idx="0">
                  <c:v>2019</c:v>
                </c:pt>
              </c:strCache>
            </c:strRef>
          </c:tx>
          <c:invertIfNegative val="0"/>
          <c:dLbls>
            <c:dLbl>
              <c:idx val="0"/>
              <c:layout>
                <c:manualLayout>
                  <c:x val="2.3391812865497076E-3"/>
                  <c:y val="9.95024875621890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44-43E7-9E95-18DFB9B14B7D}"/>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Word]II_Rajona_prok'!$L$5:$L$12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Word]II_Rajona_prok'!$O$5:$O$12</c:f>
              <c:numCache>
                <c:formatCode>General</c:formatCode>
                <c:ptCount val="8"/>
                <c:pt idx="0">
                  <c:v>244</c:v>
                </c:pt>
                <c:pt idx="1">
                  <c:v>451</c:v>
                </c:pt>
                <c:pt idx="2">
                  <c:v>324</c:v>
                </c:pt>
                <c:pt idx="3">
                  <c:v>386</c:v>
                </c:pt>
                <c:pt idx="4">
                  <c:v>151</c:v>
                </c:pt>
                <c:pt idx="5">
                  <c:v>172</c:v>
                </c:pt>
                <c:pt idx="6">
                  <c:v>184</c:v>
                </c:pt>
                <c:pt idx="7">
                  <c:v>335</c:v>
                </c:pt>
              </c:numCache>
            </c:numRef>
          </c:val>
          <c:extLst>
            <c:ext xmlns:c16="http://schemas.microsoft.com/office/drawing/2014/chart" uri="{C3380CC4-5D6E-409C-BE32-E72D297353CC}">
              <c16:uniqueId val="{00000002-A57D-4E95-9EC3-C4DC39F5EE59}"/>
            </c:ext>
          </c:extLst>
        </c:ser>
        <c:ser>
          <c:idx val="3"/>
          <c:order val="3"/>
          <c:tx>
            <c:strRef>
              <c:f>'[Chart in Microsoft Word]II_Rajona_prok'!$O$4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Word]II_Rajona_prok'!$L$5:$L$12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Word]II_Rajona_prok'!$P$5:$P$12</c:f>
              <c:numCache>
                <c:formatCode>General</c:formatCode>
                <c:ptCount val="8"/>
                <c:pt idx="0">
                  <c:v>58</c:v>
                </c:pt>
                <c:pt idx="1">
                  <c:v>203</c:v>
                </c:pt>
                <c:pt idx="2">
                  <c:v>40</c:v>
                </c:pt>
                <c:pt idx="3">
                  <c:v>57</c:v>
                </c:pt>
                <c:pt idx="4">
                  <c:v>12</c:v>
                </c:pt>
                <c:pt idx="5">
                  <c:v>23</c:v>
                </c:pt>
                <c:pt idx="6">
                  <c:v>24</c:v>
                </c:pt>
                <c:pt idx="7">
                  <c:v>62</c:v>
                </c:pt>
              </c:numCache>
            </c:numRef>
          </c:val>
          <c:extLst>
            <c:ext xmlns:c16="http://schemas.microsoft.com/office/drawing/2014/chart" uri="{C3380CC4-5D6E-409C-BE32-E72D297353CC}">
              <c16:uniqueId val="{00000003-A57D-4E95-9EC3-C4DC39F5EE59}"/>
            </c:ext>
          </c:extLst>
        </c:ser>
        <c:dLbls>
          <c:showLegendKey val="0"/>
          <c:showVal val="0"/>
          <c:showCatName val="0"/>
          <c:showSerName val="0"/>
          <c:showPercent val="0"/>
          <c:showBubbleSize val="0"/>
        </c:dLbls>
        <c:gapWidth val="150"/>
        <c:axId val="175476096"/>
        <c:axId val="240403584"/>
      </c:barChart>
      <c:catAx>
        <c:axId val="17547609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40403584"/>
        <c:crosses val="autoZero"/>
        <c:auto val="1"/>
        <c:lblAlgn val="ctr"/>
        <c:lblOffset val="100"/>
        <c:noMultiLvlLbl val="0"/>
      </c:catAx>
      <c:valAx>
        <c:axId val="240403584"/>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7609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400"/>
            </a:pPr>
            <a:r>
              <a:rPr lang="lv-LV" sz="1200" baseline="0">
                <a:solidFill>
                  <a:schemeClr val="tx1"/>
                </a:solidFill>
              </a:rPr>
              <a:t>Prokuratūrā pabeigti kriminālprocesi ar prokurora priekšrakstu par sodu</a:t>
            </a:r>
          </a:p>
        </c:rich>
      </c:tx>
      <c:overlay val="0"/>
    </c:title>
    <c:autoTitleDeleted val="0"/>
    <c:plotArea>
      <c:layout/>
      <c:barChart>
        <c:barDir val="col"/>
        <c:grouping val="clustered"/>
        <c:varyColors val="0"/>
        <c:ser>
          <c:idx val="0"/>
          <c:order val="0"/>
          <c:tx>
            <c:strRef>
              <c:f>II_Rajona_prok!$S$4</c:f>
              <c:strCache>
                <c:ptCount val="1"/>
                <c:pt idx="0">
                  <c:v>2020</c:v>
                </c:pt>
              </c:strCache>
            </c:strRef>
          </c:tx>
          <c:spPr>
            <a:solidFill>
              <a:srgbClr val="5B9BD5">
                <a:lumMod val="60000"/>
                <a:lumOff val="40000"/>
              </a:srgbClr>
            </a:solidFill>
          </c:spPr>
          <c:invertIfNegative val="0"/>
          <c:cat>
            <c:strRef>
              <c:f>II_Rajona_prok!$R$5:$R$12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II_Rajona_prok!$S$5:$S$12</c:f>
              <c:numCache>
                <c:formatCode>General</c:formatCode>
                <c:ptCount val="8"/>
                <c:pt idx="0">
                  <c:v>25</c:v>
                </c:pt>
                <c:pt idx="1">
                  <c:v>120</c:v>
                </c:pt>
                <c:pt idx="2">
                  <c:v>115</c:v>
                </c:pt>
                <c:pt idx="3">
                  <c:v>89</c:v>
                </c:pt>
                <c:pt idx="4">
                  <c:v>31</c:v>
                </c:pt>
                <c:pt idx="5">
                  <c:v>20</c:v>
                </c:pt>
                <c:pt idx="6">
                  <c:v>41</c:v>
                </c:pt>
                <c:pt idx="7">
                  <c:v>80</c:v>
                </c:pt>
              </c:numCache>
            </c:numRef>
          </c:val>
          <c:extLst>
            <c:ext xmlns:c16="http://schemas.microsoft.com/office/drawing/2014/chart" uri="{C3380CC4-5D6E-409C-BE32-E72D297353CC}">
              <c16:uniqueId val="{00000000-76DB-4F92-9CC3-0CB8E6C84016}"/>
            </c:ext>
          </c:extLst>
        </c:ser>
        <c:ser>
          <c:idx val="1"/>
          <c:order val="1"/>
          <c:tx>
            <c:strRef>
              <c:f>II_Rajona_prok!$T$4</c:f>
              <c:strCache>
                <c:ptCount val="1"/>
                <c:pt idx="0">
                  <c:v>2019</c:v>
                </c:pt>
              </c:strCache>
            </c:strRef>
          </c:tx>
          <c:spPr>
            <a:solidFill>
              <a:srgbClr val="7030A0"/>
            </a:solidFill>
          </c:spPr>
          <c:invertIfNegative val="0"/>
          <c:cat>
            <c:strRef>
              <c:f>II_Rajona_prok!$R$5:$R$12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II_Rajona_prok!$T$5:$T$12</c:f>
              <c:numCache>
                <c:formatCode>General</c:formatCode>
                <c:ptCount val="8"/>
                <c:pt idx="0">
                  <c:v>35</c:v>
                </c:pt>
                <c:pt idx="1">
                  <c:v>93</c:v>
                </c:pt>
                <c:pt idx="2">
                  <c:v>71</c:v>
                </c:pt>
                <c:pt idx="3">
                  <c:v>84</c:v>
                </c:pt>
                <c:pt idx="4">
                  <c:v>37</c:v>
                </c:pt>
                <c:pt idx="5">
                  <c:v>19</c:v>
                </c:pt>
                <c:pt idx="6">
                  <c:v>20</c:v>
                </c:pt>
                <c:pt idx="7">
                  <c:v>94</c:v>
                </c:pt>
              </c:numCache>
            </c:numRef>
          </c:val>
          <c:extLst>
            <c:ext xmlns:c16="http://schemas.microsoft.com/office/drawing/2014/chart" uri="{C3380CC4-5D6E-409C-BE32-E72D297353CC}">
              <c16:uniqueId val="{00000001-76DB-4F92-9CC3-0CB8E6C84016}"/>
            </c:ext>
          </c:extLst>
        </c:ser>
        <c:dLbls>
          <c:showLegendKey val="0"/>
          <c:showVal val="0"/>
          <c:showCatName val="0"/>
          <c:showSerName val="0"/>
          <c:showPercent val="0"/>
          <c:showBubbleSize val="0"/>
        </c:dLbls>
        <c:gapWidth val="150"/>
        <c:axId val="237797376"/>
        <c:axId val="239077632"/>
      </c:barChart>
      <c:catAx>
        <c:axId val="237797376"/>
        <c:scaling>
          <c:orientation val="minMax"/>
        </c:scaling>
        <c:delete val="0"/>
        <c:axPos val="b"/>
        <c:numFmt formatCode="General" sourceLinked="0"/>
        <c:majorTickMark val="none"/>
        <c:minorTickMark val="none"/>
        <c:tickLblPos val="nextTo"/>
        <c:crossAx val="239077632"/>
        <c:crosses val="autoZero"/>
        <c:auto val="1"/>
        <c:lblAlgn val="ctr"/>
        <c:lblOffset val="100"/>
        <c:noMultiLvlLbl val="0"/>
      </c:catAx>
      <c:valAx>
        <c:axId val="239077632"/>
        <c:scaling>
          <c:orientation val="minMax"/>
        </c:scaling>
        <c:delete val="0"/>
        <c:axPos val="l"/>
        <c:majorGridlines/>
        <c:numFmt formatCode="General" sourceLinked="1"/>
        <c:majorTickMark val="none"/>
        <c:minorTickMark val="none"/>
        <c:tickLblPos val="nextTo"/>
        <c:txPr>
          <a:bodyPr/>
          <a:lstStyle/>
          <a:p>
            <a:pPr>
              <a:defRPr b="0" i="0" baseline="0">
                <a:solidFill>
                  <a:schemeClr val="tx1"/>
                </a:solidFill>
              </a:defRPr>
            </a:pPr>
            <a:endParaRPr lang="lv-LV"/>
          </a:p>
        </c:txPr>
        <c:crossAx val="237797376"/>
        <c:crosses val="autoZero"/>
        <c:crossBetween val="between"/>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400"/>
            </a:pPr>
            <a:r>
              <a:rPr lang="lv-LV" sz="1200" baseline="0">
                <a:solidFill>
                  <a:schemeClr val="tx1"/>
                </a:solidFill>
              </a:rPr>
              <a:t>Pēc Krimināllikuma 180.panta pabeigto kriminālprocesu procentuālā attiecība pret kopā pabeigto kriminālprocesu skaitu</a:t>
            </a:r>
          </a:p>
        </c:rich>
      </c:tx>
      <c:overlay val="0"/>
    </c:title>
    <c:autoTitleDeleted val="0"/>
    <c:plotArea>
      <c:layout/>
      <c:barChart>
        <c:barDir val="col"/>
        <c:grouping val="clustered"/>
        <c:varyColors val="0"/>
        <c:ser>
          <c:idx val="0"/>
          <c:order val="0"/>
          <c:tx>
            <c:strRef>
              <c:f>II_Rajona_prok!$W$4</c:f>
              <c:strCache>
                <c:ptCount val="1"/>
                <c:pt idx="0">
                  <c:v>2020</c:v>
                </c:pt>
              </c:strCache>
            </c:strRef>
          </c:tx>
          <c:spPr>
            <a:solidFill>
              <a:srgbClr val="5B9BD5">
                <a:lumMod val="40000"/>
                <a:lumOff val="60000"/>
              </a:srgbClr>
            </a:solidFill>
          </c:spPr>
          <c:invertIfNegative val="0"/>
          <c:cat>
            <c:strRef>
              <c:f>II_Rajona_prok!$V$5:$V$12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II_Rajona_prok!$W$5:$W$12</c:f>
              <c:numCache>
                <c:formatCode>0.00%</c:formatCode>
                <c:ptCount val="8"/>
                <c:pt idx="0">
                  <c:v>0.56420000000000003</c:v>
                </c:pt>
                <c:pt idx="1">
                  <c:v>0.54020000000000001</c:v>
                </c:pt>
                <c:pt idx="2">
                  <c:v>0.60460000000000003</c:v>
                </c:pt>
                <c:pt idx="3">
                  <c:v>0.58150000000000002</c:v>
                </c:pt>
                <c:pt idx="4">
                  <c:v>0.42980000000000002</c:v>
                </c:pt>
                <c:pt idx="5">
                  <c:v>8.1299999999999997E-2</c:v>
                </c:pt>
                <c:pt idx="6">
                  <c:v>0.2387</c:v>
                </c:pt>
                <c:pt idx="7">
                  <c:v>0.33100000000000002</c:v>
                </c:pt>
              </c:numCache>
            </c:numRef>
          </c:val>
          <c:extLst>
            <c:ext xmlns:c16="http://schemas.microsoft.com/office/drawing/2014/chart" uri="{C3380CC4-5D6E-409C-BE32-E72D297353CC}">
              <c16:uniqueId val="{00000000-9F63-4DC5-A457-88B0AE3B0CC2}"/>
            </c:ext>
          </c:extLst>
        </c:ser>
        <c:ser>
          <c:idx val="1"/>
          <c:order val="1"/>
          <c:tx>
            <c:strRef>
              <c:f>II_Rajona_prok!$X$4</c:f>
              <c:strCache>
                <c:ptCount val="1"/>
                <c:pt idx="0">
                  <c:v>2019</c:v>
                </c:pt>
              </c:strCache>
            </c:strRef>
          </c:tx>
          <c:spPr>
            <a:solidFill>
              <a:srgbClr val="7030A0"/>
            </a:solidFill>
          </c:spPr>
          <c:invertIfNegative val="0"/>
          <c:cat>
            <c:strRef>
              <c:f>II_Rajona_prok!$V$5:$V$12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II_Rajona_prok!$X$5:$X$12</c:f>
              <c:numCache>
                <c:formatCode>0.00%</c:formatCode>
                <c:ptCount val="8"/>
                <c:pt idx="0">
                  <c:v>0.52380000000000004</c:v>
                </c:pt>
                <c:pt idx="1">
                  <c:v>0.55879999999999996</c:v>
                </c:pt>
                <c:pt idx="2">
                  <c:v>0.59560000000000002</c:v>
                </c:pt>
                <c:pt idx="3">
                  <c:v>0.57189999999999996</c:v>
                </c:pt>
                <c:pt idx="4">
                  <c:v>0.57420000000000004</c:v>
                </c:pt>
                <c:pt idx="5">
                  <c:v>0.16059999999999999</c:v>
                </c:pt>
                <c:pt idx="6">
                  <c:v>0.20469999999999999</c:v>
                </c:pt>
                <c:pt idx="7">
                  <c:v>0.25359999999999999</c:v>
                </c:pt>
              </c:numCache>
            </c:numRef>
          </c:val>
          <c:extLst>
            <c:ext xmlns:c16="http://schemas.microsoft.com/office/drawing/2014/chart" uri="{C3380CC4-5D6E-409C-BE32-E72D297353CC}">
              <c16:uniqueId val="{00000001-9F63-4DC5-A457-88B0AE3B0CC2}"/>
            </c:ext>
          </c:extLst>
        </c:ser>
        <c:dLbls>
          <c:showLegendKey val="0"/>
          <c:showVal val="0"/>
          <c:showCatName val="0"/>
          <c:showSerName val="0"/>
          <c:showPercent val="0"/>
          <c:showBubbleSize val="0"/>
        </c:dLbls>
        <c:gapWidth val="150"/>
        <c:axId val="146108416"/>
        <c:axId val="146122240"/>
      </c:barChart>
      <c:catAx>
        <c:axId val="146108416"/>
        <c:scaling>
          <c:orientation val="minMax"/>
        </c:scaling>
        <c:delete val="0"/>
        <c:axPos val="b"/>
        <c:numFmt formatCode="General" sourceLinked="0"/>
        <c:majorTickMark val="none"/>
        <c:minorTickMark val="none"/>
        <c:tickLblPos val="nextTo"/>
        <c:crossAx val="146122240"/>
        <c:crosses val="autoZero"/>
        <c:auto val="1"/>
        <c:lblAlgn val="ctr"/>
        <c:lblOffset val="100"/>
        <c:noMultiLvlLbl val="0"/>
      </c:catAx>
      <c:valAx>
        <c:axId val="146122240"/>
        <c:scaling>
          <c:orientation val="minMax"/>
        </c:scaling>
        <c:delete val="0"/>
        <c:axPos val="l"/>
        <c:majorGridlines/>
        <c:numFmt formatCode="0%" sourceLinked="0"/>
        <c:majorTickMark val="none"/>
        <c:minorTickMark val="none"/>
        <c:tickLblPos val="nextTo"/>
        <c:txPr>
          <a:bodyPr/>
          <a:lstStyle/>
          <a:p>
            <a:pPr>
              <a:defRPr b="0" i="0" baseline="0">
                <a:solidFill>
                  <a:schemeClr val="tx1"/>
                </a:solidFill>
              </a:defRPr>
            </a:pPr>
            <a:endParaRPr lang="lv-LV"/>
          </a:p>
        </c:txPr>
        <c:crossAx val="146108416"/>
        <c:crosses val="autoZero"/>
        <c:crossBetween val="between"/>
        <c:minorUnit val="2.0000000000000004E-2"/>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200" baseline="0">
                <a:solidFill>
                  <a:schemeClr val="tx1"/>
                </a:solidFill>
              </a:defRPr>
            </a:pPr>
            <a:r>
              <a:rPr lang="lv-LV" sz="1200" baseline="0">
                <a:solidFill>
                  <a:schemeClr val="tx1"/>
                </a:solidFill>
              </a:rPr>
              <a:t>Prokuroru uzraudzībā pieņemti kriminālprocesi</a:t>
            </a:r>
          </a:p>
        </c:rich>
      </c:tx>
      <c:overlay val="0"/>
    </c:title>
    <c:autoTitleDeleted val="0"/>
    <c:plotArea>
      <c:layout/>
      <c:barChart>
        <c:barDir val="col"/>
        <c:grouping val="clustered"/>
        <c:varyColors val="0"/>
        <c:ser>
          <c:idx val="0"/>
          <c:order val="0"/>
          <c:tx>
            <c:strRef>
              <c:f>II_Rajona_prok!$AA$4</c:f>
              <c:strCache>
                <c:ptCount val="1"/>
                <c:pt idx="0">
                  <c:v>2020</c:v>
                </c:pt>
              </c:strCache>
            </c:strRef>
          </c:tx>
          <c:spPr>
            <a:solidFill>
              <a:srgbClr val="5B9BD5">
                <a:lumMod val="40000"/>
                <a:lumOff val="60000"/>
              </a:srgbClr>
            </a:solidFill>
          </c:spPr>
          <c:invertIfNegative val="0"/>
          <c:cat>
            <c:strRef>
              <c:f>II_Rajona_prok!$Z$5:$Z$12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II_Rajona_prok!$AA$5:$AA$12</c:f>
              <c:numCache>
                <c:formatCode>General</c:formatCode>
                <c:ptCount val="8"/>
                <c:pt idx="0">
                  <c:v>1263</c:v>
                </c:pt>
                <c:pt idx="1">
                  <c:v>3553</c:v>
                </c:pt>
                <c:pt idx="2">
                  <c:v>3952</c:v>
                </c:pt>
                <c:pt idx="3">
                  <c:v>3250</c:v>
                </c:pt>
                <c:pt idx="4">
                  <c:v>1018</c:v>
                </c:pt>
                <c:pt idx="5">
                  <c:v>755</c:v>
                </c:pt>
                <c:pt idx="6">
                  <c:v>817</c:v>
                </c:pt>
                <c:pt idx="7">
                  <c:v>2106</c:v>
                </c:pt>
              </c:numCache>
            </c:numRef>
          </c:val>
          <c:extLst>
            <c:ext xmlns:c16="http://schemas.microsoft.com/office/drawing/2014/chart" uri="{C3380CC4-5D6E-409C-BE32-E72D297353CC}">
              <c16:uniqueId val="{00000000-18FD-456F-B286-31F89D089293}"/>
            </c:ext>
          </c:extLst>
        </c:ser>
        <c:ser>
          <c:idx val="1"/>
          <c:order val="1"/>
          <c:tx>
            <c:strRef>
              <c:f>II_Rajona_prok!$AB$4</c:f>
              <c:strCache>
                <c:ptCount val="1"/>
                <c:pt idx="0">
                  <c:v>2019</c:v>
                </c:pt>
              </c:strCache>
            </c:strRef>
          </c:tx>
          <c:spPr>
            <a:solidFill>
              <a:srgbClr val="7030A0"/>
            </a:solidFill>
          </c:spPr>
          <c:invertIfNegative val="0"/>
          <c:cat>
            <c:strRef>
              <c:f>II_Rajona_prok!$Z$5:$Z$12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II_Rajona_prok!$AB$5:$AB$12</c:f>
              <c:numCache>
                <c:formatCode>General</c:formatCode>
                <c:ptCount val="8"/>
                <c:pt idx="0">
                  <c:v>1417</c:v>
                </c:pt>
                <c:pt idx="1">
                  <c:v>3390</c:v>
                </c:pt>
                <c:pt idx="2">
                  <c:v>3676</c:v>
                </c:pt>
                <c:pt idx="3">
                  <c:v>3130</c:v>
                </c:pt>
                <c:pt idx="4">
                  <c:v>1353</c:v>
                </c:pt>
                <c:pt idx="5">
                  <c:v>753</c:v>
                </c:pt>
                <c:pt idx="6">
                  <c:v>685</c:v>
                </c:pt>
                <c:pt idx="7">
                  <c:v>2528</c:v>
                </c:pt>
              </c:numCache>
            </c:numRef>
          </c:val>
          <c:extLst>
            <c:ext xmlns:c16="http://schemas.microsoft.com/office/drawing/2014/chart" uri="{C3380CC4-5D6E-409C-BE32-E72D297353CC}">
              <c16:uniqueId val="{00000001-18FD-456F-B286-31F89D089293}"/>
            </c:ext>
          </c:extLst>
        </c:ser>
        <c:dLbls>
          <c:showLegendKey val="0"/>
          <c:showVal val="0"/>
          <c:showCatName val="0"/>
          <c:showSerName val="0"/>
          <c:showPercent val="0"/>
          <c:showBubbleSize val="0"/>
        </c:dLbls>
        <c:gapWidth val="150"/>
        <c:axId val="258908160"/>
        <c:axId val="258911232"/>
      </c:barChart>
      <c:catAx>
        <c:axId val="258908160"/>
        <c:scaling>
          <c:orientation val="minMax"/>
        </c:scaling>
        <c:delete val="0"/>
        <c:axPos val="b"/>
        <c:numFmt formatCode="General" sourceLinked="0"/>
        <c:majorTickMark val="none"/>
        <c:minorTickMark val="none"/>
        <c:tickLblPos val="nextTo"/>
        <c:crossAx val="258911232"/>
        <c:crosses val="autoZero"/>
        <c:auto val="1"/>
        <c:lblAlgn val="ctr"/>
        <c:lblOffset val="100"/>
        <c:noMultiLvlLbl val="0"/>
      </c:catAx>
      <c:valAx>
        <c:axId val="258911232"/>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8908160"/>
        <c:crosses val="autoZero"/>
        <c:crossBetween val="between"/>
      </c:valAx>
      <c:dTable>
        <c:showHorzBorder val="1"/>
        <c:showVertBorder val="1"/>
        <c:showOutline val="1"/>
        <c:showKeys val="1"/>
        <c:txPr>
          <a:bodyPr/>
          <a:lstStyle/>
          <a:p>
            <a:pPr rtl="0">
              <a:defRPr sz="1000" b="1"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lv-LV" sz="1200" baseline="0">
                <a:solidFill>
                  <a:schemeClr val="tx1"/>
                </a:solidFill>
              </a:rPr>
              <a:t>Ar prokurora piekrišanu atteikts uzsākt kriminālprocesu par maznozīmīgu noziedzīgu nodarījumu</a:t>
            </a:r>
          </a:p>
        </c:rich>
      </c:tx>
      <c:layout>
        <c:manualLayout>
          <c:xMode val="edge"/>
          <c:yMode val="edge"/>
          <c:x val="0.19459207459207459"/>
          <c:y val="2.9476832222895214E-2"/>
        </c:manualLayout>
      </c:layout>
      <c:overlay val="0"/>
    </c:title>
    <c:autoTitleDeleted val="0"/>
    <c:plotArea>
      <c:layout/>
      <c:barChart>
        <c:barDir val="col"/>
        <c:grouping val="clustered"/>
        <c:varyColors val="0"/>
        <c:ser>
          <c:idx val="0"/>
          <c:order val="0"/>
          <c:tx>
            <c:strRef>
              <c:f>II_Rajona_prok!$AE$4</c:f>
              <c:strCache>
                <c:ptCount val="1"/>
                <c:pt idx="0">
                  <c:v>2020</c:v>
                </c:pt>
              </c:strCache>
            </c:strRef>
          </c:tx>
          <c:spPr>
            <a:solidFill>
              <a:srgbClr val="5B9BD5">
                <a:lumMod val="40000"/>
                <a:lumOff val="60000"/>
              </a:srgbClr>
            </a:solidFill>
          </c:spPr>
          <c:invertIfNegative val="0"/>
          <c:cat>
            <c:strRef>
              <c:f>II_Rajona_prok!$AD$5:$AD$12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II_Rajona_prok!$AE$5:$AE$12</c:f>
              <c:numCache>
                <c:formatCode>General</c:formatCode>
                <c:ptCount val="8"/>
                <c:pt idx="0">
                  <c:v>274</c:v>
                </c:pt>
                <c:pt idx="1">
                  <c:v>1097</c:v>
                </c:pt>
                <c:pt idx="2">
                  <c:v>376</c:v>
                </c:pt>
                <c:pt idx="3">
                  <c:v>272</c:v>
                </c:pt>
                <c:pt idx="4">
                  <c:v>228</c:v>
                </c:pt>
                <c:pt idx="5">
                  <c:v>126</c:v>
                </c:pt>
                <c:pt idx="6">
                  <c:v>68</c:v>
                </c:pt>
                <c:pt idx="7">
                  <c:v>200</c:v>
                </c:pt>
              </c:numCache>
            </c:numRef>
          </c:val>
          <c:extLst>
            <c:ext xmlns:c16="http://schemas.microsoft.com/office/drawing/2014/chart" uri="{C3380CC4-5D6E-409C-BE32-E72D297353CC}">
              <c16:uniqueId val="{00000000-78A7-49F5-93E2-E9B700754B5B}"/>
            </c:ext>
          </c:extLst>
        </c:ser>
        <c:ser>
          <c:idx val="1"/>
          <c:order val="1"/>
          <c:tx>
            <c:strRef>
              <c:f>II_Rajona_prok!$AF$4</c:f>
              <c:strCache>
                <c:ptCount val="1"/>
                <c:pt idx="0">
                  <c:v>2019</c:v>
                </c:pt>
              </c:strCache>
            </c:strRef>
          </c:tx>
          <c:spPr>
            <a:solidFill>
              <a:srgbClr val="7030A0"/>
            </a:solidFill>
          </c:spPr>
          <c:invertIfNegative val="0"/>
          <c:cat>
            <c:strRef>
              <c:f>II_Rajona_prok!$AD$5:$AD$12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II_Rajona_prok!$AF$5:$AF$12</c:f>
              <c:numCache>
                <c:formatCode>General</c:formatCode>
                <c:ptCount val="8"/>
                <c:pt idx="0">
                  <c:v>292</c:v>
                </c:pt>
                <c:pt idx="1">
                  <c:v>1000</c:v>
                </c:pt>
                <c:pt idx="2">
                  <c:v>267</c:v>
                </c:pt>
                <c:pt idx="3">
                  <c:v>139</c:v>
                </c:pt>
                <c:pt idx="4">
                  <c:v>78</c:v>
                </c:pt>
                <c:pt idx="5">
                  <c:v>109</c:v>
                </c:pt>
                <c:pt idx="6">
                  <c:v>32</c:v>
                </c:pt>
                <c:pt idx="7">
                  <c:v>152</c:v>
                </c:pt>
              </c:numCache>
            </c:numRef>
          </c:val>
          <c:extLst>
            <c:ext xmlns:c16="http://schemas.microsoft.com/office/drawing/2014/chart" uri="{C3380CC4-5D6E-409C-BE32-E72D297353CC}">
              <c16:uniqueId val="{00000001-78A7-49F5-93E2-E9B700754B5B}"/>
            </c:ext>
          </c:extLst>
        </c:ser>
        <c:dLbls>
          <c:showLegendKey val="0"/>
          <c:showVal val="0"/>
          <c:showCatName val="0"/>
          <c:showSerName val="0"/>
          <c:showPercent val="0"/>
          <c:showBubbleSize val="0"/>
        </c:dLbls>
        <c:gapWidth val="150"/>
        <c:axId val="243090560"/>
        <c:axId val="243092480"/>
      </c:barChart>
      <c:catAx>
        <c:axId val="243090560"/>
        <c:scaling>
          <c:orientation val="minMax"/>
        </c:scaling>
        <c:delete val="0"/>
        <c:axPos val="b"/>
        <c:numFmt formatCode="General" sourceLinked="0"/>
        <c:majorTickMark val="none"/>
        <c:minorTickMark val="none"/>
        <c:tickLblPos val="nextTo"/>
        <c:crossAx val="243092480"/>
        <c:crosses val="autoZero"/>
        <c:auto val="1"/>
        <c:lblAlgn val="ctr"/>
        <c:lblOffset val="100"/>
        <c:noMultiLvlLbl val="0"/>
      </c:catAx>
      <c:valAx>
        <c:axId val="243092480"/>
        <c:scaling>
          <c:orientation val="minMax"/>
          <c:max val="1200"/>
          <c:min val="0"/>
        </c:scaling>
        <c:delete val="0"/>
        <c:axPos val="l"/>
        <c:majorGridlines/>
        <c:numFmt formatCode="General" sourceLinked="1"/>
        <c:majorTickMark val="none"/>
        <c:minorTickMark val="none"/>
        <c:tickLblPos val="nextTo"/>
        <c:txPr>
          <a:bodyPr/>
          <a:lstStyle/>
          <a:p>
            <a:pPr>
              <a:defRPr b="0" i="0" baseline="0">
                <a:solidFill>
                  <a:schemeClr val="tx1"/>
                </a:solidFill>
              </a:defRPr>
            </a:pPr>
            <a:endParaRPr lang="lv-LV"/>
          </a:p>
        </c:txPr>
        <c:crossAx val="243090560"/>
        <c:crosses val="autoZero"/>
        <c:crossBetween val="between"/>
        <c:majorUnit val="300"/>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lv-LV" sz="1200" baseline="0"/>
              <a:t>Dota piekrišana kriminālprocesa apturēšanai izmeklēšanā</a:t>
            </a:r>
          </a:p>
        </c:rich>
      </c:tx>
      <c:overlay val="0"/>
    </c:title>
    <c:autoTitleDeleted val="0"/>
    <c:plotArea>
      <c:layout/>
      <c:barChart>
        <c:barDir val="col"/>
        <c:grouping val="clustered"/>
        <c:varyColors val="0"/>
        <c:ser>
          <c:idx val="0"/>
          <c:order val="0"/>
          <c:tx>
            <c:strRef>
              <c:f>II_Rajona_prok!$AI$4</c:f>
              <c:strCache>
                <c:ptCount val="1"/>
                <c:pt idx="0">
                  <c:v>2020</c:v>
                </c:pt>
              </c:strCache>
            </c:strRef>
          </c:tx>
          <c:spPr>
            <a:solidFill>
              <a:srgbClr val="5B9BD5">
                <a:lumMod val="40000"/>
                <a:lumOff val="60000"/>
              </a:srgbClr>
            </a:solidFill>
          </c:spPr>
          <c:invertIfNegative val="0"/>
          <c:cat>
            <c:strRef>
              <c:f>II_Rajona_prok!$AH$5:$AH$12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II_Rajona_prok!$AI$5:$AI$12</c:f>
              <c:numCache>
                <c:formatCode>General</c:formatCode>
                <c:ptCount val="8"/>
                <c:pt idx="0">
                  <c:v>884</c:v>
                </c:pt>
                <c:pt idx="1">
                  <c:v>2263</c:v>
                </c:pt>
                <c:pt idx="2">
                  <c:v>3345</c:v>
                </c:pt>
                <c:pt idx="3">
                  <c:v>2447</c:v>
                </c:pt>
                <c:pt idx="4">
                  <c:v>1237</c:v>
                </c:pt>
                <c:pt idx="5">
                  <c:v>381</c:v>
                </c:pt>
                <c:pt idx="6">
                  <c:v>303</c:v>
                </c:pt>
                <c:pt idx="7">
                  <c:v>1064</c:v>
                </c:pt>
              </c:numCache>
            </c:numRef>
          </c:val>
          <c:extLst>
            <c:ext xmlns:c16="http://schemas.microsoft.com/office/drawing/2014/chart" uri="{C3380CC4-5D6E-409C-BE32-E72D297353CC}">
              <c16:uniqueId val="{00000000-2C12-424C-9581-300ED3D1D737}"/>
            </c:ext>
          </c:extLst>
        </c:ser>
        <c:ser>
          <c:idx val="1"/>
          <c:order val="1"/>
          <c:tx>
            <c:strRef>
              <c:f>II_Rajona_prok!$AJ$4</c:f>
              <c:strCache>
                <c:ptCount val="1"/>
                <c:pt idx="0">
                  <c:v>2019</c:v>
                </c:pt>
              </c:strCache>
            </c:strRef>
          </c:tx>
          <c:spPr>
            <a:solidFill>
              <a:srgbClr val="7030A0"/>
            </a:solidFill>
          </c:spPr>
          <c:invertIfNegative val="0"/>
          <c:cat>
            <c:strRef>
              <c:f>II_Rajona_prok!$AH$5:$AH$12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II_Rajona_prok!$AJ$5:$AJ$12</c:f>
              <c:numCache>
                <c:formatCode>General</c:formatCode>
                <c:ptCount val="8"/>
                <c:pt idx="0">
                  <c:v>1703</c:v>
                </c:pt>
                <c:pt idx="1">
                  <c:v>2435</c:v>
                </c:pt>
                <c:pt idx="2">
                  <c:v>1808</c:v>
                </c:pt>
                <c:pt idx="3">
                  <c:v>2485</c:v>
                </c:pt>
                <c:pt idx="4">
                  <c:v>1167</c:v>
                </c:pt>
                <c:pt idx="5">
                  <c:v>559</c:v>
                </c:pt>
                <c:pt idx="6">
                  <c:v>417</c:v>
                </c:pt>
                <c:pt idx="7">
                  <c:v>1445</c:v>
                </c:pt>
              </c:numCache>
            </c:numRef>
          </c:val>
          <c:extLst>
            <c:ext xmlns:c16="http://schemas.microsoft.com/office/drawing/2014/chart" uri="{C3380CC4-5D6E-409C-BE32-E72D297353CC}">
              <c16:uniqueId val="{00000001-2C12-424C-9581-300ED3D1D737}"/>
            </c:ext>
          </c:extLst>
        </c:ser>
        <c:dLbls>
          <c:showLegendKey val="0"/>
          <c:showVal val="0"/>
          <c:showCatName val="0"/>
          <c:showSerName val="0"/>
          <c:showPercent val="0"/>
          <c:showBubbleSize val="0"/>
        </c:dLbls>
        <c:gapWidth val="150"/>
        <c:axId val="291249152"/>
        <c:axId val="291261824"/>
      </c:barChart>
      <c:catAx>
        <c:axId val="291249152"/>
        <c:scaling>
          <c:orientation val="minMax"/>
        </c:scaling>
        <c:delete val="0"/>
        <c:axPos val="b"/>
        <c:numFmt formatCode="General" sourceLinked="0"/>
        <c:majorTickMark val="none"/>
        <c:minorTickMark val="none"/>
        <c:tickLblPos val="nextTo"/>
        <c:crossAx val="291261824"/>
        <c:crosses val="autoZero"/>
        <c:auto val="1"/>
        <c:lblAlgn val="ctr"/>
        <c:lblOffset val="100"/>
        <c:noMultiLvlLbl val="0"/>
      </c:catAx>
      <c:valAx>
        <c:axId val="291261824"/>
        <c:scaling>
          <c:orientation val="minMax"/>
          <c:max val="3500"/>
          <c:min val="0"/>
        </c:scaling>
        <c:delete val="0"/>
        <c:axPos val="l"/>
        <c:majorGridlines/>
        <c:numFmt formatCode="General" sourceLinked="1"/>
        <c:majorTickMark val="none"/>
        <c:minorTickMark val="none"/>
        <c:tickLblPos val="nextTo"/>
        <c:crossAx val="291249152"/>
        <c:crosses val="autoZero"/>
        <c:crossBetween val="between"/>
      </c:valAx>
      <c:dTable>
        <c:showHorzBorder val="1"/>
        <c:showVertBorder val="1"/>
        <c:showOutline val="1"/>
        <c:showKeys val="1"/>
        <c:txPr>
          <a:bodyPr/>
          <a:lstStyle/>
          <a:p>
            <a:pPr rtl="0">
              <a:defRPr b="1" i="0" baseline="0"/>
            </a:pPr>
            <a:endParaRPr lang="lv-LV"/>
          </a:p>
        </c:txPr>
      </c:dTable>
    </c:plotArea>
    <c:plotVisOnly val="1"/>
    <c:dispBlanksAs val="gap"/>
    <c:showDLblsOverMax val="0"/>
  </c:chart>
  <c:spPr>
    <a:solidFill>
      <a:schemeClr val="accent4">
        <a:lumMod val="20000"/>
        <a:lumOff val="80000"/>
      </a:schemeClr>
    </a:solidFill>
  </c:spPr>
  <c:txPr>
    <a:bodyPr/>
    <a:lstStyle/>
    <a:p>
      <a:pPr>
        <a:defRPr baseline="0">
          <a:solidFill>
            <a:schemeClr val="tx1"/>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lv-LV" sz="1200">
                <a:solidFill>
                  <a:schemeClr val="tx1"/>
                </a:solidFill>
              </a:rPr>
              <a:t>Prokuroru dotie norādījumi</a:t>
            </a:r>
          </a:p>
        </c:rich>
      </c:tx>
      <c:overlay val="0"/>
    </c:title>
    <c:autoTitleDeleted val="0"/>
    <c:plotArea>
      <c:layout/>
      <c:barChart>
        <c:barDir val="col"/>
        <c:grouping val="clustered"/>
        <c:varyColors val="0"/>
        <c:ser>
          <c:idx val="0"/>
          <c:order val="0"/>
          <c:tx>
            <c:strRef>
              <c:f>II_Rajona_prok!$AM$4</c:f>
              <c:strCache>
                <c:ptCount val="1"/>
                <c:pt idx="0">
                  <c:v>2020</c:v>
                </c:pt>
              </c:strCache>
            </c:strRef>
          </c:tx>
          <c:spPr>
            <a:solidFill>
              <a:srgbClr val="5B9BD5">
                <a:lumMod val="40000"/>
                <a:lumOff val="60000"/>
              </a:srgbClr>
            </a:solidFill>
          </c:spPr>
          <c:invertIfNegative val="0"/>
          <c:cat>
            <c:strRef>
              <c:f>II_Rajona_prok!$AL$5:$AL$12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II_Rajona_prok!$AM$5:$AM$12</c:f>
              <c:numCache>
                <c:formatCode>General</c:formatCode>
                <c:ptCount val="8"/>
                <c:pt idx="0">
                  <c:v>969</c:v>
                </c:pt>
                <c:pt idx="1">
                  <c:v>2298</c:v>
                </c:pt>
                <c:pt idx="2">
                  <c:v>1955</c:v>
                </c:pt>
                <c:pt idx="3">
                  <c:v>1430</c:v>
                </c:pt>
                <c:pt idx="4">
                  <c:v>690</c:v>
                </c:pt>
                <c:pt idx="5">
                  <c:v>293</c:v>
                </c:pt>
                <c:pt idx="6">
                  <c:v>230</c:v>
                </c:pt>
                <c:pt idx="7">
                  <c:v>1104</c:v>
                </c:pt>
              </c:numCache>
            </c:numRef>
          </c:val>
          <c:extLst>
            <c:ext xmlns:c16="http://schemas.microsoft.com/office/drawing/2014/chart" uri="{C3380CC4-5D6E-409C-BE32-E72D297353CC}">
              <c16:uniqueId val="{00000000-0C10-4686-83A1-D3444896E093}"/>
            </c:ext>
          </c:extLst>
        </c:ser>
        <c:ser>
          <c:idx val="1"/>
          <c:order val="1"/>
          <c:tx>
            <c:strRef>
              <c:f>II_Rajona_prok!$AN$4</c:f>
              <c:strCache>
                <c:ptCount val="1"/>
                <c:pt idx="0">
                  <c:v>2019</c:v>
                </c:pt>
              </c:strCache>
            </c:strRef>
          </c:tx>
          <c:spPr>
            <a:solidFill>
              <a:srgbClr val="7030A0"/>
            </a:solidFill>
          </c:spPr>
          <c:invertIfNegative val="0"/>
          <c:cat>
            <c:strRef>
              <c:f>II_Rajona_prok!$AL$5:$AL$12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II_Rajona_prok!$AN$5:$AN$12</c:f>
              <c:numCache>
                <c:formatCode>General</c:formatCode>
                <c:ptCount val="8"/>
                <c:pt idx="0">
                  <c:v>1083</c:v>
                </c:pt>
                <c:pt idx="1">
                  <c:v>3311</c:v>
                </c:pt>
                <c:pt idx="2">
                  <c:v>1973</c:v>
                </c:pt>
                <c:pt idx="3">
                  <c:v>1431</c:v>
                </c:pt>
                <c:pt idx="4">
                  <c:v>780</c:v>
                </c:pt>
                <c:pt idx="5">
                  <c:v>230</c:v>
                </c:pt>
                <c:pt idx="6">
                  <c:v>293</c:v>
                </c:pt>
                <c:pt idx="7">
                  <c:v>791</c:v>
                </c:pt>
              </c:numCache>
            </c:numRef>
          </c:val>
          <c:extLst>
            <c:ext xmlns:c16="http://schemas.microsoft.com/office/drawing/2014/chart" uri="{C3380CC4-5D6E-409C-BE32-E72D297353CC}">
              <c16:uniqueId val="{00000001-0C10-4686-83A1-D3444896E093}"/>
            </c:ext>
          </c:extLst>
        </c:ser>
        <c:dLbls>
          <c:showLegendKey val="0"/>
          <c:showVal val="0"/>
          <c:showCatName val="0"/>
          <c:showSerName val="0"/>
          <c:showPercent val="0"/>
          <c:showBubbleSize val="0"/>
        </c:dLbls>
        <c:gapWidth val="150"/>
        <c:axId val="258443904"/>
        <c:axId val="258512000"/>
      </c:barChart>
      <c:catAx>
        <c:axId val="258443904"/>
        <c:scaling>
          <c:orientation val="minMax"/>
        </c:scaling>
        <c:delete val="0"/>
        <c:axPos val="b"/>
        <c:numFmt formatCode="General" sourceLinked="0"/>
        <c:majorTickMark val="none"/>
        <c:minorTickMark val="none"/>
        <c:tickLblPos val="nextTo"/>
        <c:crossAx val="258512000"/>
        <c:crosses val="autoZero"/>
        <c:auto val="1"/>
        <c:lblAlgn val="ctr"/>
        <c:lblOffset val="100"/>
        <c:noMultiLvlLbl val="0"/>
      </c:catAx>
      <c:valAx>
        <c:axId val="258512000"/>
        <c:scaling>
          <c:orientation val="minMax"/>
        </c:scaling>
        <c:delete val="0"/>
        <c:axPos val="l"/>
        <c:majorGridlines/>
        <c:numFmt formatCode="General" sourceLinked="1"/>
        <c:majorTickMark val="none"/>
        <c:minorTickMark val="none"/>
        <c:tickLblPos val="nextTo"/>
        <c:txPr>
          <a:bodyPr/>
          <a:lstStyle/>
          <a:p>
            <a:pPr>
              <a:defRPr b="0" i="0" baseline="0">
                <a:solidFill>
                  <a:schemeClr val="tx1"/>
                </a:solidFill>
              </a:defRPr>
            </a:pPr>
            <a:endParaRPr lang="lv-LV"/>
          </a:p>
        </c:txPr>
        <c:crossAx val="258443904"/>
        <c:crosses val="autoZero"/>
        <c:crossBetween val="between"/>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a:solidFill>
                  <a:schemeClr val="tx1"/>
                </a:solidFill>
              </a:rPr>
              <a:t>Valsts apsūdzības uzturēšana pirmās</a:t>
            </a:r>
            <a:r>
              <a:rPr lang="lv-LV" sz="1200" baseline="0">
                <a:solidFill>
                  <a:schemeClr val="tx1"/>
                </a:solidFill>
              </a:rPr>
              <a:t> </a:t>
            </a:r>
            <a:r>
              <a:rPr lang="lv-LV" sz="1200">
                <a:solidFill>
                  <a:schemeClr val="tx1"/>
                </a:solidFill>
              </a:rPr>
              <a:t>instances tiesā (izskatītas krimināllietas), no tām bez pierādījumu pārbaudes</a:t>
            </a:r>
          </a:p>
        </c:rich>
      </c:tx>
      <c:overlay val="0"/>
    </c:title>
    <c:autoTitleDeleted val="0"/>
    <c:plotArea>
      <c:layout>
        <c:manualLayout>
          <c:layoutTarget val="inner"/>
          <c:xMode val="edge"/>
          <c:yMode val="edge"/>
          <c:x val="6.7923892537180799E-2"/>
          <c:y val="0.19088202210017866"/>
          <c:w val="0.80567924911025468"/>
          <c:h val="0.54288129424998344"/>
        </c:manualLayout>
      </c:layout>
      <c:barChart>
        <c:barDir val="col"/>
        <c:grouping val="clustered"/>
        <c:varyColors val="0"/>
        <c:ser>
          <c:idx val="0"/>
          <c:order val="0"/>
          <c:tx>
            <c:strRef>
              <c:f>'[Chart in Microsoft Word]II_Rajona_prok'!$AQ$4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Word]II_Rajona_prok'!$AP$5:$AP$12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Word]II_Rajona_prok'!$AQ$5:$AQ$12</c:f>
              <c:numCache>
                <c:formatCode>General</c:formatCode>
                <c:ptCount val="8"/>
                <c:pt idx="0">
                  <c:v>186</c:v>
                </c:pt>
                <c:pt idx="1">
                  <c:v>343</c:v>
                </c:pt>
                <c:pt idx="2">
                  <c:v>249</c:v>
                </c:pt>
                <c:pt idx="3">
                  <c:v>230</c:v>
                </c:pt>
                <c:pt idx="4">
                  <c:v>96</c:v>
                </c:pt>
                <c:pt idx="5">
                  <c:v>142</c:v>
                </c:pt>
                <c:pt idx="6">
                  <c:v>162</c:v>
                </c:pt>
                <c:pt idx="7">
                  <c:v>227</c:v>
                </c:pt>
              </c:numCache>
            </c:numRef>
          </c:val>
          <c:extLst>
            <c:ext xmlns:c16="http://schemas.microsoft.com/office/drawing/2014/chart" uri="{C3380CC4-5D6E-409C-BE32-E72D297353CC}">
              <c16:uniqueId val="{00000000-7959-4A35-97D7-DE4509EAEF68}"/>
            </c:ext>
          </c:extLst>
        </c:ser>
        <c:ser>
          <c:idx val="1"/>
          <c:order val="1"/>
          <c:tx>
            <c:strRef>
              <c:f>'[Chart in Microsoft Word]II_Rajona_prok'!$AQ$4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Word]II_Rajona_prok'!$AP$5:$AP$12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Word]II_Rajona_prok'!$AR$5:$AR$12</c:f>
              <c:numCache>
                <c:formatCode>General</c:formatCode>
                <c:ptCount val="8"/>
                <c:pt idx="0">
                  <c:v>156</c:v>
                </c:pt>
                <c:pt idx="1">
                  <c:v>296</c:v>
                </c:pt>
                <c:pt idx="2">
                  <c:v>191</c:v>
                </c:pt>
                <c:pt idx="3">
                  <c:v>164</c:v>
                </c:pt>
                <c:pt idx="4">
                  <c:v>80</c:v>
                </c:pt>
                <c:pt idx="5">
                  <c:v>121</c:v>
                </c:pt>
                <c:pt idx="6">
                  <c:v>136</c:v>
                </c:pt>
                <c:pt idx="7">
                  <c:v>162</c:v>
                </c:pt>
              </c:numCache>
            </c:numRef>
          </c:val>
          <c:extLst>
            <c:ext xmlns:c16="http://schemas.microsoft.com/office/drawing/2014/chart" uri="{C3380CC4-5D6E-409C-BE32-E72D297353CC}">
              <c16:uniqueId val="{00000001-7959-4A35-97D7-DE4509EAEF68}"/>
            </c:ext>
          </c:extLst>
        </c:ser>
        <c:ser>
          <c:idx val="2"/>
          <c:order val="2"/>
          <c:tx>
            <c:strRef>
              <c:f>'[Chart in Microsoft Word]II_Rajona_prok'!$AS$4</c:f>
              <c:strCache>
                <c:ptCount val="1"/>
                <c:pt idx="0">
                  <c:v>2019</c:v>
                </c:pt>
              </c:strCache>
            </c:strRef>
          </c:tx>
          <c:invertIfNegative val="0"/>
          <c:dLbls>
            <c:dLbl>
              <c:idx val="0"/>
              <c:layout>
                <c:manualLayout>
                  <c:x val="0"/>
                  <c:y val="0.1228973282516589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59-4A35-97D7-DE4509EAEF68}"/>
                </c:ext>
              </c:extLst>
            </c:dLbl>
            <c:dLbl>
              <c:idx val="1"/>
              <c:layout>
                <c:manualLayout>
                  <c:x val="0"/>
                  <c:y val="0.1054882083228539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959-4A35-97D7-DE4509EAEF68}"/>
                </c:ext>
              </c:extLst>
            </c:dLbl>
            <c:dLbl>
              <c:idx val="2"/>
              <c:layout>
                <c:manualLayout>
                  <c:x val="0"/>
                  <c:y val="0.1196684014006848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959-4A35-97D7-DE4509EAEF68}"/>
                </c:ext>
              </c:extLst>
            </c:dLbl>
            <c:dLbl>
              <c:idx val="3"/>
              <c:layout>
                <c:manualLayout>
                  <c:x val="0"/>
                  <c:y val="0.1123678152024608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959-4A35-97D7-DE4509EAEF68}"/>
                </c:ext>
              </c:extLst>
            </c:dLbl>
            <c:dLbl>
              <c:idx val="4"/>
              <c:layout>
                <c:manualLayout>
                  <c:x val="-2.3512814483893723E-3"/>
                  <c:y val="0.1308533730580974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959-4A35-97D7-DE4509EAEF68}"/>
                </c:ext>
              </c:extLst>
            </c:dLbl>
            <c:dLbl>
              <c:idx val="5"/>
              <c:layout>
                <c:manualLayout>
                  <c:x val="-8.6212657171637858E-17"/>
                  <c:y val="0.129028226508541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959-4A35-97D7-DE4509EAEF68}"/>
                </c:ext>
              </c:extLst>
            </c:dLbl>
            <c:dLbl>
              <c:idx val="6"/>
              <c:layout>
                <c:manualLayout>
                  <c:x val="8.6212657171637858E-17"/>
                  <c:y val="0.120603996981949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59-4A35-97D7-DE4509EAEF68}"/>
                </c:ext>
              </c:extLst>
            </c:dLbl>
            <c:dLbl>
              <c:idx val="7"/>
              <c:layout>
                <c:manualLayout>
                  <c:x val="-1.7242531434327572E-16"/>
                  <c:y val="0.1310874654181740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959-4A35-97D7-DE4509EAEF68}"/>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Word]II_Rajona_prok'!$AP$5:$AP$12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Word]II_Rajona_prok'!$AS$5:$AS$12</c:f>
              <c:numCache>
                <c:formatCode>General</c:formatCode>
                <c:ptCount val="8"/>
                <c:pt idx="0">
                  <c:v>239</c:v>
                </c:pt>
                <c:pt idx="1">
                  <c:v>371</c:v>
                </c:pt>
                <c:pt idx="2">
                  <c:v>233</c:v>
                </c:pt>
                <c:pt idx="3">
                  <c:v>329</c:v>
                </c:pt>
                <c:pt idx="4">
                  <c:v>129</c:v>
                </c:pt>
                <c:pt idx="5">
                  <c:v>153</c:v>
                </c:pt>
                <c:pt idx="6">
                  <c:v>183</c:v>
                </c:pt>
                <c:pt idx="7">
                  <c:v>274</c:v>
                </c:pt>
              </c:numCache>
            </c:numRef>
          </c:val>
          <c:extLst>
            <c:ext xmlns:c16="http://schemas.microsoft.com/office/drawing/2014/chart" uri="{C3380CC4-5D6E-409C-BE32-E72D297353CC}">
              <c16:uniqueId val="{00000002-7959-4A35-97D7-DE4509EAEF68}"/>
            </c:ext>
          </c:extLst>
        </c:ser>
        <c:ser>
          <c:idx val="3"/>
          <c:order val="3"/>
          <c:tx>
            <c:strRef>
              <c:f>'[Chart in Microsoft Word]II_Rajona_prok'!$AS$4</c:f>
              <c:strCache>
                <c:ptCount val="1"/>
                <c:pt idx="0">
                  <c:v>2019</c:v>
                </c:pt>
              </c:strCache>
            </c:strRef>
          </c:tx>
          <c:invertIfNegative val="0"/>
          <c:dLbls>
            <c:dLbl>
              <c:idx val="0"/>
              <c:layout>
                <c:manualLayout>
                  <c:x val="2.3512814483893723E-3"/>
                  <c:y val="0.1368906343709493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59-4A35-97D7-DE4509EAEF68}"/>
                </c:ext>
              </c:extLst>
            </c:dLbl>
            <c:dLbl>
              <c:idx val="1"/>
              <c:layout>
                <c:manualLayout>
                  <c:x val="0"/>
                  <c:y val="0.1291222503820929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959-4A35-97D7-DE4509EAEF68}"/>
                </c:ext>
              </c:extLst>
            </c:dLbl>
            <c:dLbl>
              <c:idx val="2"/>
              <c:layout>
                <c:manualLayout>
                  <c:x val="-4.3106328585818929E-17"/>
                  <c:y val="0.1167196115227611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59-4A35-97D7-DE4509EAEF68}"/>
                </c:ext>
              </c:extLst>
            </c:dLbl>
            <c:dLbl>
              <c:idx val="3"/>
              <c:layout>
                <c:manualLayout>
                  <c:x val="0"/>
                  <c:y val="0.1270158060709241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959-4A35-97D7-DE4509EAEF68}"/>
                </c:ext>
              </c:extLst>
            </c:dLbl>
            <c:dLbl>
              <c:idx val="5"/>
              <c:layout>
                <c:manualLayout>
                  <c:x val="-8.6212657171637858E-17"/>
                  <c:y val="0.1278113331656638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959-4A35-97D7-DE4509EAEF68}"/>
                </c:ext>
              </c:extLst>
            </c:dLbl>
            <c:dLbl>
              <c:idx val="6"/>
              <c:layout>
                <c:manualLayout>
                  <c:x val="8.6212657171637858E-17"/>
                  <c:y val="0.1259861866161078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959-4A35-97D7-DE4509EAEF68}"/>
                </c:ext>
              </c:extLst>
            </c:dLbl>
            <c:dLbl>
              <c:idx val="7"/>
              <c:layout>
                <c:manualLayout>
                  <c:x val="0"/>
                  <c:y val="0.1275772408055872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959-4A35-97D7-DE4509EAEF68}"/>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Word]II_Rajona_prok'!$AP$5:$AP$12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Word]II_Rajona_prok'!$AT$5:$AT$12</c:f>
              <c:numCache>
                <c:formatCode>General</c:formatCode>
                <c:ptCount val="8"/>
                <c:pt idx="0">
                  <c:v>195</c:v>
                </c:pt>
                <c:pt idx="1">
                  <c:v>316</c:v>
                </c:pt>
                <c:pt idx="2">
                  <c:v>191</c:v>
                </c:pt>
                <c:pt idx="3">
                  <c:v>271</c:v>
                </c:pt>
                <c:pt idx="4">
                  <c:v>101</c:v>
                </c:pt>
                <c:pt idx="5">
                  <c:v>134</c:v>
                </c:pt>
                <c:pt idx="6">
                  <c:v>158</c:v>
                </c:pt>
                <c:pt idx="7">
                  <c:v>199</c:v>
                </c:pt>
              </c:numCache>
            </c:numRef>
          </c:val>
          <c:extLst>
            <c:ext xmlns:c16="http://schemas.microsoft.com/office/drawing/2014/chart" uri="{C3380CC4-5D6E-409C-BE32-E72D297353CC}">
              <c16:uniqueId val="{00000003-7959-4A35-97D7-DE4509EAEF68}"/>
            </c:ext>
          </c:extLst>
        </c:ser>
        <c:dLbls>
          <c:showLegendKey val="0"/>
          <c:showVal val="0"/>
          <c:showCatName val="0"/>
          <c:showSerName val="0"/>
          <c:showPercent val="0"/>
          <c:showBubbleSize val="0"/>
        </c:dLbls>
        <c:gapWidth val="150"/>
        <c:axId val="256409600"/>
        <c:axId val="256412672"/>
      </c:barChart>
      <c:catAx>
        <c:axId val="256409600"/>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56412672"/>
        <c:crosses val="autoZero"/>
        <c:auto val="1"/>
        <c:lblAlgn val="ctr"/>
        <c:lblOffset val="100"/>
        <c:noMultiLvlLbl val="0"/>
      </c:catAx>
      <c:valAx>
        <c:axId val="256412672"/>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256409600"/>
        <c:crosses val="autoZero"/>
        <c:crossBetween val="between"/>
      </c:valAx>
    </c:plotArea>
    <c:legend>
      <c:legendPos val="r"/>
      <c:layout>
        <c:manualLayout>
          <c:xMode val="edge"/>
          <c:yMode val="edge"/>
          <c:x val="0.9017155027752678"/>
          <c:y val="0.31867155219458959"/>
          <c:w val="8.42329749764886E-2"/>
          <c:h val="0.33592422234349417"/>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a:solidFill>
                  <a:schemeClr val="tx1"/>
                </a:solidFill>
              </a:rPr>
              <a:t>Iesniegti protesti, no tiem apmierināti</a:t>
            </a:r>
          </a:p>
        </c:rich>
      </c:tx>
      <c:layout>
        <c:manualLayout>
          <c:xMode val="edge"/>
          <c:yMode val="edge"/>
          <c:x val="0.26617050092937672"/>
          <c:y val="3.0237580993520519E-2"/>
        </c:manualLayout>
      </c:layout>
      <c:overlay val="0"/>
    </c:title>
    <c:autoTitleDeleted val="0"/>
    <c:plotArea>
      <c:layout>
        <c:manualLayout>
          <c:layoutTarget val="inner"/>
          <c:xMode val="edge"/>
          <c:yMode val="edge"/>
          <c:x val="5.8841130152848538E-2"/>
          <c:y val="0.12622914576282715"/>
          <c:w val="0.81652950440018524"/>
          <c:h val="0.58628220608493065"/>
        </c:manualLayout>
      </c:layout>
      <c:barChart>
        <c:barDir val="col"/>
        <c:grouping val="clustered"/>
        <c:varyColors val="0"/>
        <c:ser>
          <c:idx val="0"/>
          <c:order val="0"/>
          <c:tx>
            <c:strRef>
              <c:f>'[Chart in Microsoft Word]II_Rajona_prok'!$AW$4</c:f>
              <c:strCache>
                <c:ptCount val="1"/>
                <c:pt idx="0">
                  <c:v>2020</c:v>
                </c:pt>
              </c:strCache>
            </c:strRef>
          </c:tx>
          <c:invertIfNegative val="0"/>
          <c:dLbls>
            <c:spPr>
              <a:noFill/>
              <a:ln>
                <a:noFill/>
              </a:ln>
              <a:effectLst/>
            </c:spPr>
            <c:txPr>
              <a:bodyPr/>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Word]II_Rajona_prok'!$AV$5:$AV$12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Word]II_Rajona_prok'!$AW$5:$AW$12</c:f>
              <c:numCache>
                <c:formatCode>General</c:formatCode>
                <c:ptCount val="8"/>
                <c:pt idx="0">
                  <c:v>16</c:v>
                </c:pt>
                <c:pt idx="1">
                  <c:v>9</c:v>
                </c:pt>
                <c:pt idx="2">
                  <c:v>18</c:v>
                </c:pt>
                <c:pt idx="3">
                  <c:v>13</c:v>
                </c:pt>
                <c:pt idx="4">
                  <c:v>7</c:v>
                </c:pt>
                <c:pt idx="5">
                  <c:v>10</c:v>
                </c:pt>
                <c:pt idx="6">
                  <c:v>5</c:v>
                </c:pt>
                <c:pt idx="7">
                  <c:v>17</c:v>
                </c:pt>
              </c:numCache>
            </c:numRef>
          </c:val>
          <c:extLst>
            <c:ext xmlns:c16="http://schemas.microsoft.com/office/drawing/2014/chart" uri="{C3380CC4-5D6E-409C-BE32-E72D297353CC}">
              <c16:uniqueId val="{00000000-7A9B-4074-8C97-D18FBAFA1E95}"/>
            </c:ext>
          </c:extLst>
        </c:ser>
        <c:ser>
          <c:idx val="1"/>
          <c:order val="1"/>
          <c:tx>
            <c:strRef>
              <c:f>'[Chart in Microsoft Word]II_Rajona_prok'!$AW$4</c:f>
              <c:strCache>
                <c:ptCount val="1"/>
                <c:pt idx="0">
                  <c:v>2020</c:v>
                </c:pt>
              </c:strCache>
            </c:strRef>
          </c:tx>
          <c:invertIfNegative val="0"/>
          <c:dLbls>
            <c:dLbl>
              <c:idx val="3"/>
              <c:layout>
                <c:manualLayout>
                  <c:x val="-2.3724792408066865E-3"/>
                  <c:y val="0.110151187904967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A9B-4074-8C97-D18FBAFA1E95}"/>
                </c:ext>
              </c:extLst>
            </c:dLbl>
            <c:dLbl>
              <c:idx val="5"/>
              <c:layout>
                <c:manualLayout>
                  <c:x val="0"/>
                  <c:y val="0.1231101511879048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A9B-4074-8C97-D18FBAFA1E95}"/>
                </c:ext>
              </c:extLst>
            </c:dLbl>
            <c:spPr>
              <a:noFill/>
              <a:ln>
                <a:noFill/>
              </a:ln>
              <a:effectLst/>
            </c:spPr>
            <c:txPr>
              <a:bodyPr/>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Word]II_Rajona_prok'!$AV$5:$AV$12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Word]II_Rajona_prok'!$AX$5:$AX$12</c:f>
              <c:numCache>
                <c:formatCode>General</c:formatCode>
                <c:ptCount val="8"/>
                <c:pt idx="0">
                  <c:v>19</c:v>
                </c:pt>
                <c:pt idx="1">
                  <c:v>13</c:v>
                </c:pt>
                <c:pt idx="2">
                  <c:v>14</c:v>
                </c:pt>
                <c:pt idx="3">
                  <c:v>12</c:v>
                </c:pt>
                <c:pt idx="4">
                  <c:v>8</c:v>
                </c:pt>
                <c:pt idx="5">
                  <c:v>10</c:v>
                </c:pt>
                <c:pt idx="6">
                  <c:v>4</c:v>
                </c:pt>
                <c:pt idx="7">
                  <c:v>13</c:v>
                </c:pt>
              </c:numCache>
            </c:numRef>
          </c:val>
          <c:extLst>
            <c:ext xmlns:c16="http://schemas.microsoft.com/office/drawing/2014/chart" uri="{C3380CC4-5D6E-409C-BE32-E72D297353CC}">
              <c16:uniqueId val="{00000001-7A9B-4074-8C97-D18FBAFA1E95}"/>
            </c:ext>
          </c:extLst>
        </c:ser>
        <c:ser>
          <c:idx val="2"/>
          <c:order val="2"/>
          <c:tx>
            <c:strRef>
              <c:f>'[Chart in Microsoft Word]II_Rajona_prok'!$AY$4</c:f>
              <c:strCache>
                <c:ptCount val="1"/>
                <c:pt idx="0">
                  <c:v>2019</c:v>
                </c:pt>
              </c:strCache>
            </c:strRef>
          </c:tx>
          <c:invertIfNegative val="0"/>
          <c:dLbls>
            <c:dLbl>
              <c:idx val="0"/>
              <c:layout>
                <c:manualLayout>
                  <c:x val="0"/>
                  <c:y val="0.1044691413573303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9B-4074-8C97-D18FBAFA1E95}"/>
                </c:ext>
              </c:extLst>
            </c:dLbl>
            <c:dLbl>
              <c:idx val="1"/>
              <c:layout>
                <c:manualLayout>
                  <c:x val="0"/>
                  <c:y val="0.1143253093363329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9B-4074-8C97-D18FBAFA1E95}"/>
                </c:ext>
              </c:extLst>
            </c:dLbl>
            <c:dLbl>
              <c:idx val="2"/>
              <c:layout>
                <c:manualLayout>
                  <c:x val="-6.0555306898370237E-17"/>
                  <c:y val="7.49000374953130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9B-4074-8C97-D18FBAFA1E95}"/>
                </c:ext>
              </c:extLst>
            </c:dLbl>
            <c:dLbl>
              <c:idx val="3"/>
              <c:layout>
                <c:manualLayout>
                  <c:x val="-6.0555306898370237E-17"/>
                  <c:y val="8.90900637420322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9B-4074-8C97-D18FBAFA1E95}"/>
                </c:ext>
              </c:extLst>
            </c:dLbl>
            <c:dLbl>
              <c:idx val="4"/>
              <c:layout>
                <c:manualLayout>
                  <c:x val="-6.0555306898370237E-17"/>
                  <c:y val="9.17105361829771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A9B-4074-8C97-D18FBAFA1E95}"/>
                </c:ext>
              </c:extLst>
            </c:dLbl>
            <c:dLbl>
              <c:idx val="5"/>
              <c:layout>
                <c:manualLayout>
                  <c:x val="-1.2111061379674047E-16"/>
                  <c:y val="7.90926134233220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A9B-4074-8C97-D18FBAFA1E95}"/>
                </c:ext>
              </c:extLst>
            </c:dLbl>
            <c:dLbl>
              <c:idx val="6"/>
              <c:layout>
                <c:manualLayout>
                  <c:x val="0"/>
                  <c:y val="7.75205099362579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A9B-4074-8C97-D18FBAFA1E95}"/>
                </c:ext>
              </c:extLst>
            </c:dLbl>
            <c:dLbl>
              <c:idx val="7"/>
              <c:layout>
                <c:manualLayout>
                  <c:x val="0"/>
                  <c:y val="8.1752680914885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A9B-4074-8C97-D18FBAFA1E95}"/>
                </c:ext>
              </c:extLst>
            </c:dLbl>
            <c:spPr>
              <a:noFill/>
              <a:ln>
                <a:noFill/>
              </a:ln>
              <a:effectLst/>
            </c:spPr>
            <c:txPr>
              <a:bodyPr/>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Word]II_Rajona_prok'!$AV$5:$AV$12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Word]II_Rajona_prok'!$AY$5:$AY$12</c:f>
              <c:numCache>
                <c:formatCode>General</c:formatCode>
                <c:ptCount val="8"/>
                <c:pt idx="0">
                  <c:v>26</c:v>
                </c:pt>
                <c:pt idx="1">
                  <c:v>29</c:v>
                </c:pt>
                <c:pt idx="2">
                  <c:v>17</c:v>
                </c:pt>
                <c:pt idx="3">
                  <c:v>19</c:v>
                </c:pt>
                <c:pt idx="4">
                  <c:v>14</c:v>
                </c:pt>
                <c:pt idx="5">
                  <c:v>9</c:v>
                </c:pt>
                <c:pt idx="6">
                  <c:v>12</c:v>
                </c:pt>
                <c:pt idx="7">
                  <c:v>33</c:v>
                </c:pt>
              </c:numCache>
            </c:numRef>
          </c:val>
          <c:extLst>
            <c:ext xmlns:c16="http://schemas.microsoft.com/office/drawing/2014/chart" uri="{C3380CC4-5D6E-409C-BE32-E72D297353CC}">
              <c16:uniqueId val="{0000000A-7A9B-4074-8C97-D18FBAFA1E95}"/>
            </c:ext>
          </c:extLst>
        </c:ser>
        <c:ser>
          <c:idx val="3"/>
          <c:order val="3"/>
          <c:tx>
            <c:strRef>
              <c:f>'[Chart in Microsoft Word]II_Rajona_prok'!$AY$4</c:f>
              <c:strCache>
                <c:ptCount val="1"/>
                <c:pt idx="0">
                  <c:v>2019</c:v>
                </c:pt>
              </c:strCache>
            </c:strRef>
          </c:tx>
          <c:invertIfNegative val="0"/>
          <c:dLbls>
            <c:dLbl>
              <c:idx val="0"/>
              <c:layout>
                <c:manualLayout>
                  <c:x val="1.6515274483211552E-3"/>
                  <c:y val="7.9757630296213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A9B-4074-8C97-D18FBAFA1E95}"/>
                </c:ext>
              </c:extLst>
            </c:dLbl>
            <c:dLbl>
              <c:idx val="1"/>
              <c:layout>
                <c:manualLayout>
                  <c:x val="0"/>
                  <c:y val="8.25190851143607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A9B-4074-8C97-D18FBAFA1E95}"/>
                </c:ext>
              </c:extLst>
            </c:dLbl>
            <c:dLbl>
              <c:idx val="2"/>
              <c:layout>
                <c:manualLayout>
                  <c:x val="1.6515274483211704E-3"/>
                  <c:y val="6.7664041994750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A9B-4074-8C97-D18FBAFA1E95}"/>
                </c:ext>
              </c:extLst>
            </c:dLbl>
            <c:dLbl>
              <c:idx val="3"/>
              <c:layout>
                <c:manualLayout>
                  <c:x val="0"/>
                  <c:y val="9.0279115110611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A9B-4074-8C97-D18FBAFA1E95}"/>
                </c:ext>
              </c:extLst>
            </c:dLbl>
            <c:dLbl>
              <c:idx val="4"/>
              <c:layout>
                <c:manualLayout>
                  <c:x val="0"/>
                  <c:y val="7.90926134233220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A9B-4074-8C97-D18FBAFA1E95}"/>
                </c:ext>
              </c:extLst>
            </c:dLbl>
            <c:dLbl>
              <c:idx val="5"/>
              <c:layout>
                <c:manualLayout>
                  <c:x val="-1.2111061379674047E-16"/>
                  <c:y val="6.16173978252718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A9B-4074-8C97-D18FBAFA1E95}"/>
                </c:ext>
              </c:extLst>
            </c:dLbl>
            <c:dLbl>
              <c:idx val="6"/>
              <c:layout>
                <c:manualLayout>
                  <c:x val="0"/>
                  <c:y val="5.60947881514810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A9B-4074-8C97-D18FBAFA1E95}"/>
                </c:ext>
              </c:extLst>
            </c:dLbl>
            <c:dLbl>
              <c:idx val="7"/>
              <c:layout>
                <c:manualLayout>
                  <c:x val="-1.2111061379674047E-16"/>
                  <c:y val="8.5280539932508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A9B-4074-8C97-D18FBAFA1E95}"/>
                </c:ext>
              </c:extLst>
            </c:dLbl>
            <c:spPr>
              <a:noFill/>
              <a:ln>
                <a:noFill/>
              </a:ln>
              <a:effectLst/>
            </c:spPr>
            <c:txPr>
              <a:bodyPr/>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Word]II_Rajona_prok'!$AV$5:$AV$12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Word]II_Rajona_prok'!$AZ$5:$AZ$12</c:f>
              <c:numCache>
                <c:formatCode>General</c:formatCode>
                <c:ptCount val="8"/>
                <c:pt idx="0">
                  <c:v>15</c:v>
                </c:pt>
                <c:pt idx="1">
                  <c:v>17</c:v>
                </c:pt>
                <c:pt idx="2">
                  <c:v>9</c:v>
                </c:pt>
                <c:pt idx="3">
                  <c:v>24</c:v>
                </c:pt>
                <c:pt idx="4">
                  <c:v>9</c:v>
                </c:pt>
                <c:pt idx="5">
                  <c:v>6</c:v>
                </c:pt>
                <c:pt idx="6">
                  <c:v>2</c:v>
                </c:pt>
                <c:pt idx="7">
                  <c:v>19</c:v>
                </c:pt>
              </c:numCache>
            </c:numRef>
          </c:val>
          <c:extLst>
            <c:ext xmlns:c16="http://schemas.microsoft.com/office/drawing/2014/chart" uri="{C3380CC4-5D6E-409C-BE32-E72D297353CC}">
              <c16:uniqueId val="{00000013-7A9B-4074-8C97-D18FBAFA1E95}"/>
            </c:ext>
          </c:extLst>
        </c:ser>
        <c:dLbls>
          <c:showLegendKey val="0"/>
          <c:showVal val="0"/>
          <c:showCatName val="0"/>
          <c:showSerName val="0"/>
          <c:showPercent val="0"/>
          <c:showBubbleSize val="0"/>
        </c:dLbls>
        <c:gapWidth val="150"/>
        <c:axId val="240398336"/>
        <c:axId val="240425216"/>
      </c:barChart>
      <c:catAx>
        <c:axId val="24039833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40425216"/>
        <c:crosses val="autoZero"/>
        <c:auto val="1"/>
        <c:lblAlgn val="ctr"/>
        <c:lblOffset val="100"/>
        <c:noMultiLvlLbl val="0"/>
      </c:catAx>
      <c:valAx>
        <c:axId val="240425216"/>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4039833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a:solidFill>
                  <a:schemeClr val="tx1"/>
                </a:solidFill>
              </a:rPr>
              <a:t>Izlemtas sūdzības, no tām apmierinātas</a:t>
            </a:r>
          </a:p>
        </c:rich>
      </c:tx>
      <c:overlay val="0"/>
    </c:title>
    <c:autoTitleDeleted val="0"/>
    <c:plotArea>
      <c:layout>
        <c:manualLayout>
          <c:layoutTarget val="inner"/>
          <c:xMode val="edge"/>
          <c:yMode val="edge"/>
          <c:x val="7.0855915737805503E-2"/>
          <c:y val="0.14889867841409693"/>
          <c:w val="0.80407329249133119"/>
          <c:h val="0.5873505844809046"/>
        </c:manualLayout>
      </c:layout>
      <c:barChart>
        <c:barDir val="col"/>
        <c:grouping val="clustered"/>
        <c:varyColors val="0"/>
        <c:ser>
          <c:idx val="0"/>
          <c:order val="0"/>
          <c:tx>
            <c:strRef>
              <c:f>'[Chart in Microsoft Word]II_Rajona_prok'!$BC$4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Word]II_Rajona_prok'!$BB$5:$BB$12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Word]II_Rajona_prok'!$BC$5:$BC$12</c:f>
              <c:numCache>
                <c:formatCode>General</c:formatCode>
                <c:ptCount val="8"/>
                <c:pt idx="0">
                  <c:v>270</c:v>
                </c:pt>
                <c:pt idx="1">
                  <c:v>856</c:v>
                </c:pt>
                <c:pt idx="2">
                  <c:v>759</c:v>
                </c:pt>
                <c:pt idx="3">
                  <c:v>546</c:v>
                </c:pt>
                <c:pt idx="4">
                  <c:v>438</c:v>
                </c:pt>
                <c:pt idx="5">
                  <c:v>202</c:v>
                </c:pt>
                <c:pt idx="6">
                  <c:v>149</c:v>
                </c:pt>
                <c:pt idx="7">
                  <c:v>579</c:v>
                </c:pt>
              </c:numCache>
            </c:numRef>
          </c:val>
          <c:extLst>
            <c:ext xmlns:c16="http://schemas.microsoft.com/office/drawing/2014/chart" uri="{C3380CC4-5D6E-409C-BE32-E72D297353CC}">
              <c16:uniqueId val="{00000000-46C0-4B58-8DDE-4AA728B97F2E}"/>
            </c:ext>
          </c:extLst>
        </c:ser>
        <c:ser>
          <c:idx val="1"/>
          <c:order val="1"/>
          <c:tx>
            <c:strRef>
              <c:f>'[Chart in Microsoft Word]II_Rajona_prok'!$BC$4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Word]II_Rajona_prok'!$BB$5:$BB$12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Word]II_Rajona_prok'!$BD$5:$BD$12</c:f>
              <c:numCache>
                <c:formatCode>General</c:formatCode>
                <c:ptCount val="8"/>
                <c:pt idx="0">
                  <c:v>55</c:v>
                </c:pt>
                <c:pt idx="1">
                  <c:v>259</c:v>
                </c:pt>
                <c:pt idx="2">
                  <c:v>186</c:v>
                </c:pt>
                <c:pt idx="3">
                  <c:v>113</c:v>
                </c:pt>
                <c:pt idx="4">
                  <c:v>91</c:v>
                </c:pt>
                <c:pt idx="5">
                  <c:v>71</c:v>
                </c:pt>
                <c:pt idx="6">
                  <c:v>42</c:v>
                </c:pt>
                <c:pt idx="7">
                  <c:v>136</c:v>
                </c:pt>
              </c:numCache>
            </c:numRef>
          </c:val>
          <c:extLst>
            <c:ext xmlns:c16="http://schemas.microsoft.com/office/drawing/2014/chart" uri="{C3380CC4-5D6E-409C-BE32-E72D297353CC}">
              <c16:uniqueId val="{00000001-46C0-4B58-8DDE-4AA728B97F2E}"/>
            </c:ext>
          </c:extLst>
        </c:ser>
        <c:ser>
          <c:idx val="2"/>
          <c:order val="2"/>
          <c:tx>
            <c:strRef>
              <c:f>'[Chart in Microsoft Word]II_Rajona_prok'!$BE$4</c:f>
              <c:strCache>
                <c:ptCount val="1"/>
                <c:pt idx="0">
                  <c:v>2019</c:v>
                </c:pt>
              </c:strCache>
            </c:strRef>
          </c:tx>
          <c:invertIfNegative val="0"/>
          <c:dLbls>
            <c:dLbl>
              <c:idx val="0"/>
              <c:layout>
                <c:manualLayout>
                  <c:x val="-1.863932898415657E-3"/>
                  <c:y val="0.1074255893966333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C0-4B58-8DDE-4AA728B97F2E}"/>
                </c:ext>
              </c:extLst>
            </c:dLbl>
            <c:dLbl>
              <c:idx val="1"/>
              <c:layout>
                <c:manualLayout>
                  <c:x val="-1.8639328984156912E-3"/>
                  <c:y val="0.1076552674317469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C0-4B58-8DDE-4AA728B97F2E}"/>
                </c:ext>
              </c:extLst>
            </c:dLbl>
            <c:dLbl>
              <c:idx val="2"/>
              <c:layout>
                <c:manualLayout>
                  <c:x val="1.4676636995398874E-7"/>
                  <c:y val="0.1120173028224844"/>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16868592730661697"/>
                      <c:h val="7.4291300097751714E-2"/>
                    </c:manualLayout>
                  </c15:layout>
                </c:ext>
                <c:ext xmlns:c16="http://schemas.microsoft.com/office/drawing/2014/chart" uri="{C3380CC4-5D6E-409C-BE32-E72D297353CC}">
                  <c16:uniqueId val="{00000004-46C0-4B58-8DDE-4AA728B97F2E}"/>
                </c:ext>
              </c:extLst>
            </c:dLbl>
            <c:dLbl>
              <c:idx val="3"/>
              <c:layout>
                <c:manualLayout>
                  <c:x val="0"/>
                  <c:y val="0.1127309672801163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C0-4B58-8DDE-4AA728B97F2E}"/>
                </c:ext>
              </c:extLst>
            </c:dLbl>
            <c:dLbl>
              <c:idx val="4"/>
              <c:layout>
                <c:manualLayout>
                  <c:x val="-3.727865796831314E-3"/>
                  <c:y val="8.744945005041532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9.4128611369990678E-2"/>
                      <c:h val="7.4291300097751714E-2"/>
                    </c:manualLayout>
                  </c15:layout>
                </c:ext>
                <c:ext xmlns:c16="http://schemas.microsoft.com/office/drawing/2014/chart" uri="{C3380CC4-5D6E-409C-BE32-E72D297353CC}">
                  <c16:uniqueId val="{00000006-46C0-4B58-8DDE-4AA728B97F2E}"/>
                </c:ext>
              </c:extLst>
            </c:dLbl>
            <c:dLbl>
              <c:idx val="5"/>
              <c:layout>
                <c:manualLayout>
                  <c:x val="-6.8343416766258303E-17"/>
                  <c:y val="0.10194348873546247"/>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7.1761416589002799E-2"/>
                      <c:h val="8.2111436950146624E-2"/>
                    </c:manualLayout>
                  </c15:layout>
                </c:ext>
                <c:ext xmlns:c16="http://schemas.microsoft.com/office/drawing/2014/chart" uri="{C3380CC4-5D6E-409C-BE32-E72D297353CC}">
                  <c16:uniqueId val="{00000007-46C0-4B58-8DDE-4AA728B97F2E}"/>
                </c:ext>
              </c:extLst>
            </c:dLbl>
            <c:dLbl>
              <c:idx val="7"/>
              <c:layout>
                <c:manualLayout>
                  <c:x val="-1.3668683353251661E-16"/>
                  <c:y val="0.1088208988539189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6C0-4B58-8DDE-4AA728B97F2E}"/>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Word]II_Rajona_prok'!$BB$5:$BB$12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Word]II_Rajona_prok'!$BE$5:$BE$12</c:f>
              <c:numCache>
                <c:formatCode>General</c:formatCode>
                <c:ptCount val="8"/>
                <c:pt idx="0">
                  <c:v>373</c:v>
                </c:pt>
                <c:pt idx="1">
                  <c:v>744</c:v>
                </c:pt>
                <c:pt idx="2">
                  <c:v>759</c:v>
                </c:pt>
                <c:pt idx="3">
                  <c:v>601</c:v>
                </c:pt>
                <c:pt idx="4">
                  <c:v>281</c:v>
                </c:pt>
                <c:pt idx="5">
                  <c:v>217</c:v>
                </c:pt>
                <c:pt idx="6">
                  <c:v>143</c:v>
                </c:pt>
                <c:pt idx="7">
                  <c:v>601</c:v>
                </c:pt>
              </c:numCache>
            </c:numRef>
          </c:val>
          <c:extLst>
            <c:ext xmlns:c16="http://schemas.microsoft.com/office/drawing/2014/chart" uri="{C3380CC4-5D6E-409C-BE32-E72D297353CC}">
              <c16:uniqueId val="{00000009-46C0-4B58-8DDE-4AA728B97F2E}"/>
            </c:ext>
          </c:extLst>
        </c:ser>
        <c:ser>
          <c:idx val="3"/>
          <c:order val="3"/>
          <c:tx>
            <c:strRef>
              <c:f>'[Chart in Microsoft Word]II_Rajona_prok'!$BE$4</c:f>
              <c:strCache>
                <c:ptCount val="1"/>
                <c:pt idx="0">
                  <c:v>2019</c:v>
                </c:pt>
              </c:strCache>
            </c:strRef>
          </c:tx>
          <c:invertIfNegative val="0"/>
          <c:dLbls>
            <c:dLbl>
              <c:idx val="0"/>
              <c:layout>
                <c:manualLayout>
                  <c:x val="3.727865796831297E-3"/>
                  <c:y val="8.09538103924692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6C0-4B58-8DDE-4AA728B97F2E}"/>
                </c:ext>
              </c:extLst>
            </c:dLbl>
            <c:dLbl>
              <c:idx val="1"/>
              <c:layout>
                <c:manualLayout>
                  <c:x val="-3.4171708383129152E-17"/>
                  <c:y val="1.06889571354901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6C0-4B58-8DDE-4AA728B97F2E}"/>
                </c:ext>
              </c:extLst>
            </c:dLbl>
            <c:dLbl>
              <c:idx val="2"/>
              <c:layout>
                <c:manualLayout>
                  <c:x val="0"/>
                  <c:y val="2.04936846237328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6C0-4B58-8DDE-4AA728B97F2E}"/>
                </c:ext>
              </c:extLst>
            </c:dLbl>
            <c:dLbl>
              <c:idx val="3"/>
              <c:layout>
                <c:manualLayout>
                  <c:x val="1.863932898415657E-3"/>
                  <c:y val="1.47431131225898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6C0-4B58-8DDE-4AA728B97F2E}"/>
                </c:ext>
              </c:extLst>
            </c:dLbl>
            <c:dLbl>
              <c:idx val="4"/>
              <c:layout>
                <c:manualLayout>
                  <c:x val="-8.6579086411092273E-17"/>
                  <c:y val="2.47986402580733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6C0-4B58-8DDE-4AA728B97F2E}"/>
                </c:ext>
              </c:extLst>
            </c:dLbl>
            <c:dLbl>
              <c:idx val="5"/>
              <c:layout>
                <c:manualLayout>
                  <c:x val="3.727865796831314E-3"/>
                  <c:y val="7.492861046328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6C0-4B58-8DDE-4AA728B97F2E}"/>
                </c:ext>
              </c:extLst>
            </c:dLbl>
            <c:dLbl>
              <c:idx val="6"/>
              <c:layout>
                <c:manualLayout>
                  <c:x val="1.863932898415657E-3"/>
                  <c:y val="1.03481346356630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6C0-4B58-8DDE-4AA728B97F2E}"/>
                </c:ext>
              </c:extLst>
            </c:dLbl>
            <c:dLbl>
              <c:idx val="7"/>
              <c:layout>
                <c:manualLayout>
                  <c:x val="0"/>
                  <c:y val="8.730536248951285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6C0-4B58-8DDE-4AA728B97F2E}"/>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Word]II_Rajona_prok'!$BB$5:$BB$12</c:f>
              <c:strCache>
                <c:ptCount val="8"/>
                <c:pt idx="0">
                  <c:v>Centra raj.</c:v>
                </c:pt>
                <c:pt idx="1">
                  <c:v>Latgales prp.</c:v>
                </c:pt>
                <c:pt idx="2">
                  <c:v>Pārdaugava</c:v>
                </c:pt>
                <c:pt idx="3">
                  <c:v>Vidzemes prp.</c:v>
                </c:pt>
                <c:pt idx="4">
                  <c:v>Ziemeļu raj.</c:v>
                </c:pt>
                <c:pt idx="5">
                  <c:v>Jūrmala</c:v>
                </c:pt>
                <c:pt idx="6">
                  <c:v>Ogre</c:v>
                </c:pt>
                <c:pt idx="7">
                  <c:v>Rīgas raj.</c:v>
                </c:pt>
              </c:strCache>
            </c:strRef>
          </c:cat>
          <c:val>
            <c:numRef>
              <c:f>'[Chart in Microsoft Word]II_Rajona_prok'!$BF$5:$BF$12</c:f>
              <c:numCache>
                <c:formatCode>General</c:formatCode>
                <c:ptCount val="8"/>
                <c:pt idx="0">
                  <c:v>87</c:v>
                </c:pt>
                <c:pt idx="1">
                  <c:v>225</c:v>
                </c:pt>
                <c:pt idx="2">
                  <c:v>213</c:v>
                </c:pt>
                <c:pt idx="3">
                  <c:v>100</c:v>
                </c:pt>
                <c:pt idx="4">
                  <c:v>65</c:v>
                </c:pt>
                <c:pt idx="5">
                  <c:v>67</c:v>
                </c:pt>
                <c:pt idx="6">
                  <c:v>32</c:v>
                </c:pt>
                <c:pt idx="7">
                  <c:v>160</c:v>
                </c:pt>
              </c:numCache>
            </c:numRef>
          </c:val>
          <c:extLst>
            <c:ext xmlns:c16="http://schemas.microsoft.com/office/drawing/2014/chart" uri="{C3380CC4-5D6E-409C-BE32-E72D297353CC}">
              <c16:uniqueId val="{00000011-46C0-4B58-8DDE-4AA728B97F2E}"/>
            </c:ext>
          </c:extLst>
        </c:ser>
        <c:dLbls>
          <c:showLegendKey val="0"/>
          <c:showVal val="0"/>
          <c:showCatName val="0"/>
          <c:showSerName val="0"/>
          <c:showPercent val="0"/>
          <c:showBubbleSize val="0"/>
        </c:dLbls>
        <c:gapWidth val="150"/>
        <c:axId val="304738304"/>
        <c:axId val="304741760"/>
      </c:barChart>
      <c:catAx>
        <c:axId val="304738304"/>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304741760"/>
        <c:crosses val="autoZero"/>
        <c:auto val="1"/>
        <c:lblAlgn val="ctr"/>
        <c:lblOffset val="100"/>
        <c:noMultiLvlLbl val="0"/>
      </c:catAx>
      <c:valAx>
        <c:axId val="30474176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304738304"/>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lv-LV" sz="1200" b="1">
                <a:solidFill>
                  <a:schemeClr val="tx1"/>
                </a:solidFill>
                <a:effectLst/>
                <a:latin typeface="Times New Roman" panose="02020603050405020304" pitchFamily="18" charset="0"/>
                <a:cs typeface="Times New Roman" panose="02020603050405020304" pitchFamily="18" charset="0"/>
              </a:rPr>
              <a:t>Prokuroru dotie norādījumi izmeklēšanas iestādēm</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lv-LV"/>
        </a:p>
      </c:txPr>
    </c:title>
    <c:autoTitleDeleted val="0"/>
    <c:plotArea>
      <c:layout>
        <c:manualLayout>
          <c:layoutTarget val="inner"/>
          <c:xMode val="edge"/>
          <c:yMode val="edge"/>
          <c:x val="2.8132992327365727E-2"/>
          <c:y val="0.18903803131991051"/>
          <c:w val="0.94373401534526857"/>
          <c:h val="0.57671044055734644"/>
        </c:manualLayout>
      </c:layout>
      <c:barChart>
        <c:barDir val="col"/>
        <c:grouping val="clustered"/>
        <c:varyColors val="0"/>
        <c:ser>
          <c:idx val="0"/>
          <c:order val="0"/>
          <c:tx>
            <c:strRef>
              <c:f>Sheet1!$B$1</c:f>
              <c:strCache>
                <c:ptCount val="1"/>
                <c:pt idx="0">
                  <c:v>Kopā</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18389</c:v>
                </c:pt>
                <c:pt idx="1">
                  <c:v>21906</c:v>
                </c:pt>
                <c:pt idx="2">
                  <c:v>21014</c:v>
                </c:pt>
              </c:numCache>
            </c:numRef>
          </c:val>
          <c:extLst>
            <c:ext xmlns:c16="http://schemas.microsoft.com/office/drawing/2014/chart" uri="{C3380CC4-5D6E-409C-BE32-E72D297353CC}">
              <c16:uniqueId val="{00000000-98F2-4D88-A351-7F69CD44EF92}"/>
            </c:ext>
          </c:extLst>
        </c:ser>
        <c:ser>
          <c:idx val="1"/>
          <c:order val="1"/>
          <c:tx>
            <c:strRef>
              <c:f>Sheet1!$C$1</c:f>
              <c:strCache>
                <c:ptCount val="1"/>
                <c:pt idx="0">
                  <c:v>No tiem mutiski</c:v>
                </c:pt>
              </c:strCache>
            </c:strRef>
          </c:tx>
          <c:spPr>
            <a:solidFill>
              <a:schemeClr val="accent2"/>
            </a:solidFill>
            <a:ln>
              <a:noFill/>
            </a:ln>
            <a:effectLst/>
          </c:spPr>
          <c:invertIfNegative val="0"/>
          <c:dLbls>
            <c:dLbl>
              <c:idx val="0"/>
              <c:layout>
                <c:manualLayout>
                  <c:x val="0"/>
                  <c:y val="8.46881815829359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F2-4D88-A351-7F69CD44EF92}"/>
                </c:ext>
              </c:extLst>
            </c:dLbl>
            <c:dLbl>
              <c:idx val="2"/>
              <c:layout>
                <c:manualLayout>
                  <c:x val="-9.3775557787973344E-17"/>
                  <c:y val="7.90954123692284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F2-4D88-A351-7F69CD44EF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Sheet1!$C$2:$C$4</c:f>
              <c:numCache>
                <c:formatCode>General</c:formatCode>
                <c:ptCount val="3"/>
                <c:pt idx="0">
                  <c:v>10630</c:v>
                </c:pt>
                <c:pt idx="1">
                  <c:v>13380</c:v>
                </c:pt>
                <c:pt idx="2">
                  <c:v>12108</c:v>
                </c:pt>
              </c:numCache>
            </c:numRef>
          </c:val>
          <c:extLst>
            <c:ext xmlns:c16="http://schemas.microsoft.com/office/drawing/2014/chart" uri="{C3380CC4-5D6E-409C-BE32-E72D297353CC}">
              <c16:uniqueId val="{00000001-98F2-4D88-A351-7F69CD44EF92}"/>
            </c:ext>
          </c:extLst>
        </c:ser>
        <c:ser>
          <c:idx val="2"/>
          <c:order val="2"/>
          <c:tx>
            <c:strRef>
              <c:f>Sheet1!$D$1</c:f>
              <c:strCache>
                <c:ptCount val="1"/>
                <c:pt idx="0">
                  <c:v>No tiem rakstiski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Sheet1!$D$2:$D$4</c:f>
              <c:numCache>
                <c:formatCode>General</c:formatCode>
                <c:ptCount val="3"/>
                <c:pt idx="0">
                  <c:v>7759</c:v>
                </c:pt>
                <c:pt idx="1">
                  <c:v>852</c:v>
                </c:pt>
                <c:pt idx="2">
                  <c:v>8906</c:v>
                </c:pt>
              </c:numCache>
            </c:numRef>
          </c:val>
          <c:extLst>
            <c:ext xmlns:c16="http://schemas.microsoft.com/office/drawing/2014/chart" uri="{C3380CC4-5D6E-409C-BE32-E72D297353CC}">
              <c16:uniqueId val="{00000002-98F2-4D88-A351-7F69CD44EF92}"/>
            </c:ext>
          </c:extLst>
        </c:ser>
        <c:dLbls>
          <c:showLegendKey val="0"/>
          <c:showVal val="0"/>
          <c:showCatName val="0"/>
          <c:showSerName val="0"/>
          <c:showPercent val="0"/>
          <c:showBubbleSize val="0"/>
        </c:dLbls>
        <c:gapWidth val="219"/>
        <c:overlap val="100"/>
        <c:axId val="504351224"/>
        <c:axId val="504347288"/>
      </c:barChart>
      <c:catAx>
        <c:axId val="504351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4347288"/>
        <c:crosses val="autoZero"/>
        <c:auto val="1"/>
        <c:lblAlgn val="ctr"/>
        <c:lblOffset val="100"/>
        <c:noMultiLvlLbl val="0"/>
      </c:catAx>
      <c:valAx>
        <c:axId val="50434728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4351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200" baseline="0"/>
            </a:pPr>
            <a:r>
              <a:rPr lang="lv-LV" sz="1200" baseline="0">
                <a:solidFill>
                  <a:schemeClr val="tx1"/>
                </a:solidFill>
              </a:rPr>
              <a:t>Prokuroru personālsastāvs</a:t>
            </a:r>
          </a:p>
        </c:rich>
      </c:tx>
      <c:layout>
        <c:manualLayout>
          <c:xMode val="edge"/>
          <c:yMode val="edge"/>
          <c:x val="0.27961703102579255"/>
          <c:y val="2.1428571428571429E-2"/>
        </c:manualLayout>
      </c:layout>
      <c:overlay val="0"/>
    </c:title>
    <c:autoTitleDeleted val="0"/>
    <c:plotArea>
      <c:layout>
        <c:manualLayout>
          <c:layoutTarget val="inner"/>
          <c:xMode val="edge"/>
          <c:yMode val="edge"/>
          <c:x val="0.13913518467159447"/>
          <c:y val="0.16386744339884343"/>
          <c:w val="0.45558910419505372"/>
          <c:h val="0.80623220877878066"/>
        </c:manualLayout>
      </c:layout>
      <c:doughnutChart>
        <c:varyColors val="1"/>
        <c:ser>
          <c:idx val="0"/>
          <c:order val="0"/>
          <c:dLbls>
            <c:dLbl>
              <c:idx val="0"/>
              <c:layout>
                <c:manualLayout>
                  <c:x val="-5.8385737412575761E-17"/>
                  <c:y val="-1.488833746898263E-2"/>
                </c:manualLayout>
              </c:layout>
              <c:tx>
                <c:rich>
                  <a:bodyPr/>
                  <a:lstStyle/>
                  <a:p>
                    <a:r>
                      <a:rPr lang="en-US"/>
                      <a:t>34</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D980-4C05-AEE5-2141EC1FC896}"/>
                </c:ext>
              </c:extLst>
            </c:dLbl>
            <c:dLbl>
              <c:idx val="1"/>
              <c:tx>
                <c:rich>
                  <a:bodyPr/>
                  <a:lstStyle/>
                  <a:p>
                    <a:r>
                      <a:rPr lang="en-US"/>
                      <a:t>9</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980-4C05-AEE5-2141EC1FC896}"/>
                </c:ext>
              </c:extLst>
            </c:dLbl>
            <c:dLbl>
              <c:idx val="2"/>
              <c:tx>
                <c:rich>
                  <a:bodyPr/>
                  <a:lstStyle/>
                  <a:p>
                    <a:r>
                      <a:rPr lang="en-US"/>
                      <a:t>1</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D980-4C05-AEE5-2141EC1FC896}"/>
                </c:ext>
              </c:extLst>
            </c:dLbl>
            <c:dLbl>
              <c:idx val="3"/>
              <c:delete val="1"/>
              <c:extLst>
                <c:ext xmlns:c15="http://schemas.microsoft.com/office/drawing/2012/chart" uri="{CE6537A1-D6FC-4f65-9D91-7224C49458BB}"/>
                <c:ext xmlns:c16="http://schemas.microsoft.com/office/drawing/2014/chart" uri="{C3380CC4-5D6E-409C-BE32-E72D297353CC}">
                  <c16:uniqueId val="{00000003-D980-4C05-AEE5-2141EC1FC896}"/>
                </c:ext>
              </c:extLst>
            </c:dLbl>
            <c:spPr>
              <a:noFill/>
              <a:ln>
                <a:noFill/>
              </a:ln>
              <a:effectLst/>
            </c:spPr>
            <c:txPr>
              <a:bodyPr/>
              <a:lstStyle/>
              <a:p>
                <a:pPr>
                  <a:defRPr sz="1000" b="1" baseline="0">
                    <a:solidFill>
                      <a:schemeClr val="tx1"/>
                    </a:solidFill>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I_tiesas_apgabala_prok!$AR$6:$AR$9</c:f>
              <c:strCache>
                <c:ptCount val="3"/>
                <c:pt idx="0">
                  <c:v>Aizpildītas štata vietas</c:v>
                </c:pt>
                <c:pt idx="1">
                  <c:v>Brīvas štata vietas</c:v>
                </c:pt>
                <c:pt idx="2">
                  <c:v>Ilgstošā prombūtnē</c:v>
                </c:pt>
              </c:strCache>
            </c:strRef>
          </c:cat>
          <c:val>
            <c:numRef>
              <c:f>I_tiesas_apgabala_prok!$AS$6:$AS$9</c:f>
              <c:numCache>
                <c:formatCode>General</c:formatCode>
                <c:ptCount val="4"/>
                <c:pt idx="0">
                  <c:v>34</c:v>
                </c:pt>
                <c:pt idx="1">
                  <c:v>9</c:v>
                </c:pt>
                <c:pt idx="2">
                  <c:v>1</c:v>
                </c:pt>
              </c:numCache>
            </c:numRef>
          </c:val>
          <c:extLst>
            <c:ext xmlns:c16="http://schemas.microsoft.com/office/drawing/2014/chart" uri="{C3380CC4-5D6E-409C-BE32-E72D297353CC}">
              <c16:uniqueId val="{00000004-D980-4C05-AEE5-2141EC1FC896}"/>
            </c:ext>
          </c:extLst>
        </c:ser>
        <c:dLbls>
          <c:showLegendKey val="0"/>
          <c:showVal val="0"/>
          <c:showCatName val="0"/>
          <c:showSerName val="0"/>
          <c:showPercent val="1"/>
          <c:showBubbleSize val="0"/>
          <c:showLeaderLines val="1"/>
        </c:dLbls>
        <c:firstSliceAng val="0"/>
        <c:holeSize val="50"/>
      </c:doughnutChart>
      <c:spPr>
        <a:noFill/>
        <a:ln w="25400">
          <a:noFill/>
        </a:ln>
      </c:spPr>
    </c:plotArea>
    <c:legend>
      <c:legendPos val="r"/>
      <c:legendEntry>
        <c:idx val="3"/>
        <c:delete val="1"/>
      </c:legendEntry>
      <c:layout>
        <c:manualLayout>
          <c:xMode val="edge"/>
          <c:yMode val="edge"/>
          <c:x val="0.67664551883243895"/>
          <c:y val="0.24657703813224222"/>
          <c:w val="0.30591131253555282"/>
          <c:h val="0.64066207062545133"/>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9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Kriminālvājāšanai saņemti kriminālprocesi</a:t>
            </a:r>
          </a:p>
        </c:rich>
      </c:tx>
      <c:layout>
        <c:manualLayout>
          <c:xMode val="edge"/>
          <c:yMode val="edge"/>
          <c:x val="0.13970796850393702"/>
          <c:y val="4.667874015748031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2.3516977960172561E-2"/>
          <c:y val="0.19279252884087164"/>
          <c:w val="0.92156862745098034"/>
          <c:h val="0.69796233500009575"/>
        </c:manualLayout>
      </c:layout>
      <c:barChart>
        <c:barDir val="col"/>
        <c:grouping val="clustered"/>
        <c:varyColors val="0"/>
        <c:ser>
          <c:idx val="1"/>
          <c:order val="0"/>
          <c:tx>
            <c:strRef>
              <c:f>I_tiesas_apgabala_prok!$B$5:$B$7</c:f>
              <c:strCache>
                <c:ptCount val="3"/>
                <c:pt idx="0">
                  <c:v>2018</c:v>
                </c:pt>
                <c:pt idx="1">
                  <c:v>2019</c:v>
                </c:pt>
                <c:pt idx="2">
                  <c:v>2020</c:v>
                </c:pt>
              </c:strCache>
            </c:strRef>
          </c:tx>
          <c:spPr>
            <a:solidFill>
              <a:schemeClr val="accent3"/>
            </a:solidFill>
            <a:ln w="6350" cap="flat" cmpd="sng" algn="ctr">
              <a:solidFill>
                <a:schemeClr val="accent1">
                  <a:shade val="50000"/>
                </a:schemeClr>
              </a:solidFill>
              <a:prstDash val="solid"/>
              <a:round/>
            </a:ln>
            <a:effectLst/>
          </c:spPr>
          <c:invertIfNegative val="0"/>
          <c:dLbls>
            <c:spPr>
              <a:noFill/>
              <a:ln w="25398">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I_tiesas_apgabala_prok!$C$5:$C$7</c:f>
              <c:numCache>
                <c:formatCode>General</c:formatCode>
                <c:ptCount val="3"/>
                <c:pt idx="0">
                  <c:v>41</c:v>
                </c:pt>
                <c:pt idx="1">
                  <c:v>20</c:v>
                </c:pt>
                <c:pt idx="2">
                  <c:v>35</c:v>
                </c:pt>
              </c:numCache>
            </c:numRef>
          </c:val>
          <c:extLst>
            <c:ext xmlns:c16="http://schemas.microsoft.com/office/drawing/2014/chart" uri="{C3380CC4-5D6E-409C-BE32-E72D297353CC}">
              <c16:uniqueId val="{00000000-950F-4D50-8DDB-F6CCF2C7848A}"/>
            </c:ext>
          </c:extLst>
        </c:ser>
        <c:dLbls>
          <c:showLegendKey val="0"/>
          <c:showVal val="0"/>
          <c:showCatName val="0"/>
          <c:showSerName val="0"/>
          <c:showPercent val="0"/>
          <c:showBubbleSize val="0"/>
        </c:dLbls>
        <c:gapWidth val="150"/>
        <c:axId val="1802169488"/>
        <c:axId val="1"/>
      </c:barChart>
      <c:catAx>
        <c:axId val="1802169488"/>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out"/>
        <c:minorTickMark val="none"/>
        <c:tickLblPos val="nextTo"/>
        <c:crossAx val="1802169488"/>
        <c:crosses val="autoZero"/>
        <c:crossBetween val="between"/>
      </c:valAx>
      <c:spPr>
        <a:solidFill>
          <a:schemeClr val="accent1">
            <a:tint val="20000"/>
          </a:schemeClr>
        </a:solidFill>
        <a:ln>
          <a:noFill/>
        </a:ln>
        <a:effectLst/>
      </c:spPr>
    </c:plotArea>
    <c:plotVisOnly val="1"/>
    <c:dispBlanksAs val="gap"/>
    <c:showDLblsOverMax val="0"/>
  </c:chart>
  <c:spPr>
    <a:solidFill>
      <a:schemeClr val="lt1"/>
    </a:solidFill>
    <a:ln w="6350" cap="flat" cmpd="sng" algn="ctr">
      <a:solidFill>
        <a:schemeClr val="tx2"/>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 Tiesai nodotas krimināllietas, no tām vienošanās procesa kārtībā</a:t>
            </a:r>
          </a:p>
        </c:rich>
      </c:tx>
      <c:layout>
        <c:manualLayout>
          <c:xMode val="edge"/>
          <c:yMode val="edge"/>
          <c:x val="0.13316900300911122"/>
          <c:y val="4.4226044226044224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2.929427430093209E-2"/>
          <c:y val="0.24527220630372493"/>
          <c:w val="0.94141145139813587"/>
          <c:h val="0.61997112108837393"/>
        </c:manualLayout>
      </c:layout>
      <c:barChart>
        <c:barDir val="col"/>
        <c:grouping val="clustered"/>
        <c:varyColors val="0"/>
        <c:ser>
          <c:idx val="1"/>
          <c:order val="0"/>
          <c:tx>
            <c:strRef>
              <c:f>I_tiesas_apgabala_prok!$E$5:$E$7</c:f>
              <c:strCache>
                <c:ptCount val="3"/>
                <c:pt idx="0">
                  <c:v>2018</c:v>
                </c:pt>
                <c:pt idx="1">
                  <c:v>2019</c:v>
                </c:pt>
                <c:pt idx="2">
                  <c:v>2020</c:v>
                </c:pt>
              </c:strCache>
            </c:strRef>
          </c:tx>
          <c:spPr>
            <a:solidFill>
              <a:schemeClr val="accent3"/>
            </a:solidFill>
            <a:ln w="6350" cap="flat" cmpd="sng" algn="ctr">
              <a:solidFill>
                <a:schemeClr val="accent1">
                  <a:shade val="50000"/>
                </a:schemeClr>
              </a:solidFill>
              <a:prstDash val="solid"/>
              <a:round/>
            </a:ln>
            <a:effectLst/>
          </c:spPr>
          <c:invertIfNegative val="0"/>
          <c:dLbls>
            <c:spPr>
              <a:noFill/>
              <a:ln w="25394">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I_tiesas_apgabala_prok!$F$5:$F$7</c:f>
              <c:numCache>
                <c:formatCode>General</c:formatCode>
                <c:ptCount val="3"/>
                <c:pt idx="0">
                  <c:v>26</c:v>
                </c:pt>
                <c:pt idx="1">
                  <c:v>15</c:v>
                </c:pt>
                <c:pt idx="2">
                  <c:v>31</c:v>
                </c:pt>
              </c:numCache>
            </c:numRef>
          </c:val>
          <c:extLst>
            <c:ext xmlns:c16="http://schemas.microsoft.com/office/drawing/2014/chart" uri="{C3380CC4-5D6E-409C-BE32-E72D297353CC}">
              <c16:uniqueId val="{00000000-4BEB-495E-833E-9592718229E1}"/>
            </c:ext>
          </c:extLst>
        </c:ser>
        <c:ser>
          <c:idx val="0"/>
          <c:order val="1"/>
          <c:tx>
            <c:strRef>
              <c:f>I_tiesas_apgabala_prok!$E$5:$E$7</c:f>
              <c:strCache>
                <c:ptCount val="3"/>
                <c:pt idx="0">
                  <c:v>2018</c:v>
                </c:pt>
                <c:pt idx="1">
                  <c:v>2019</c:v>
                </c:pt>
                <c:pt idx="2">
                  <c:v>2020</c:v>
                </c:pt>
              </c:strCache>
            </c:strRef>
          </c:tx>
          <c:spPr>
            <a:solidFill>
              <a:schemeClr val="accent1"/>
            </a:solidFill>
            <a:ln w="6350" cap="flat" cmpd="sng" algn="ctr">
              <a:solidFill>
                <a:schemeClr val="accent1">
                  <a:shade val="50000"/>
                </a:schemeClr>
              </a:solidFill>
              <a:prstDash val="solid"/>
              <a:round/>
            </a:ln>
            <a:effectLst/>
          </c:spPr>
          <c:invertIfNegative val="0"/>
          <c:dLbls>
            <c:dLbl>
              <c:idx val="0"/>
              <c:layout>
                <c:manualLayout>
                  <c:x val="-2.6631158455392811E-3"/>
                  <c:y val="1.818181818181818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1.5978695073235686E-2"/>
                      <c:h val="8.7878787878787876E-2"/>
                    </c:manualLayout>
                  </c15:layout>
                </c:ext>
                <c:ext xmlns:c16="http://schemas.microsoft.com/office/drawing/2014/chart" uri="{C3380CC4-5D6E-409C-BE32-E72D297353CC}">
                  <c16:uniqueId val="{00000000-8493-4DD3-BAB6-D9BDFD0E46B7}"/>
                </c:ext>
              </c:extLst>
            </c:dLbl>
            <c:dLbl>
              <c:idx val="1"/>
              <c:layout>
                <c:manualLayout>
                  <c:x val="-9.7646452982949611E-17"/>
                  <c:y val="8.47449167134206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72-4BE0-AFFF-97819058374F}"/>
                </c:ext>
              </c:extLst>
            </c:dLbl>
            <c:spPr>
              <a:noFill/>
              <a:ln w="25394">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I_tiesas_apgabala_prok!$G$5:$G$7</c:f>
              <c:numCache>
                <c:formatCode>General</c:formatCode>
                <c:ptCount val="3"/>
                <c:pt idx="0">
                  <c:v>0</c:v>
                </c:pt>
                <c:pt idx="1">
                  <c:v>3</c:v>
                </c:pt>
                <c:pt idx="2">
                  <c:v>9</c:v>
                </c:pt>
              </c:numCache>
            </c:numRef>
          </c:val>
          <c:extLst>
            <c:ext xmlns:c16="http://schemas.microsoft.com/office/drawing/2014/chart" uri="{C3380CC4-5D6E-409C-BE32-E72D297353CC}">
              <c16:uniqueId val="{00000001-4BEB-495E-833E-9592718229E1}"/>
            </c:ext>
          </c:extLst>
        </c:ser>
        <c:dLbls>
          <c:showLegendKey val="0"/>
          <c:showVal val="0"/>
          <c:showCatName val="0"/>
          <c:showSerName val="0"/>
          <c:showPercent val="0"/>
          <c:showBubbleSize val="0"/>
        </c:dLbls>
        <c:gapWidth val="150"/>
        <c:axId val="1696060256"/>
        <c:axId val="1"/>
      </c:barChart>
      <c:catAx>
        <c:axId val="1696060256"/>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out"/>
        <c:minorTickMark val="none"/>
        <c:tickLblPos val="nextTo"/>
        <c:crossAx val="1696060256"/>
        <c:crosses val="autoZero"/>
        <c:crossBetween val="between"/>
      </c:valAx>
      <c:spPr>
        <a:solidFill>
          <a:schemeClr val="accent1">
            <a:tint val="20000"/>
          </a:schemeClr>
        </a:solidFill>
        <a:ln>
          <a:noFill/>
        </a:ln>
        <a:effectLst/>
      </c:spPr>
    </c:plotArea>
    <c:plotVisOnly val="1"/>
    <c:dispBlanksAs val="gap"/>
    <c:showDLblsOverMax val="0"/>
  </c:chart>
  <c:spPr>
    <a:solidFill>
      <a:schemeClr val="lt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1200" b="1" i="0" baseline="0">
                <a:solidFill>
                  <a:schemeClr val="tx1"/>
                </a:solidFill>
                <a:effectLst/>
                <a:latin typeface="Times New Roman" panose="02020603050405020304" pitchFamily="18" charset="0"/>
                <a:cs typeface="Times New Roman" panose="02020603050405020304" pitchFamily="18" charset="0"/>
              </a:rPr>
              <a:t> Prokuratūrā pabeigti kriminālprocesi, nenododot krimināllietu tiesai </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8046957766642807"/>
          <c:y val="6.5707503473830487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2.9411764705882353E-2"/>
          <c:y val="0.25956245070384876"/>
          <c:w val="0.94117647058823528"/>
          <c:h val="0.58326404021229095"/>
        </c:manualLayout>
      </c:layout>
      <c:barChart>
        <c:barDir val="col"/>
        <c:grouping val="clustered"/>
        <c:varyColors val="1"/>
        <c:ser>
          <c:idx val="1"/>
          <c:order val="0"/>
          <c:tx>
            <c:strRef>
              <c:f>I_tiesas_apgabala_prok!$I$5:$I$7</c:f>
              <c:strCache>
                <c:ptCount val="3"/>
                <c:pt idx="0">
                  <c:v>2018</c:v>
                </c:pt>
                <c:pt idx="1">
                  <c:v>2019</c:v>
                </c:pt>
                <c:pt idx="2">
                  <c:v>2020</c:v>
                </c:pt>
              </c:strCache>
            </c:strRef>
          </c:tx>
          <c:invertIfNegative val="0"/>
          <c:dPt>
            <c:idx val="0"/>
            <c:invertIfNegative val="0"/>
            <c:bubble3D val="0"/>
            <c:spPr>
              <a:solidFill>
                <a:schemeClr val="accent1"/>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0-5483-4C1D-BBAA-E4459266E69F}"/>
              </c:ext>
            </c:extLst>
          </c:dPt>
          <c:dPt>
            <c:idx val="1"/>
            <c:invertIfNegative val="0"/>
            <c:bubble3D val="0"/>
            <c:spPr>
              <a:solidFill>
                <a:schemeClr val="accent2"/>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5483-4C1D-BBAA-E4459266E69F}"/>
              </c:ext>
            </c:extLst>
          </c:dPt>
          <c:dPt>
            <c:idx val="2"/>
            <c:invertIfNegative val="0"/>
            <c:bubble3D val="0"/>
            <c:spPr>
              <a:solidFill>
                <a:schemeClr val="accent3"/>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2-5483-4C1D-BBAA-E4459266E69F}"/>
              </c:ext>
            </c:extLst>
          </c:dPt>
          <c:dLbls>
            <c:dLbl>
              <c:idx val="0"/>
              <c:layout>
                <c:manualLayout>
                  <c:x val="-2.6737967914438501E-3"/>
                  <c:y val="4.87249463135284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83-4C1D-BBAA-E4459266E69F}"/>
                </c:ext>
              </c:extLst>
            </c:dLbl>
            <c:dLbl>
              <c:idx val="1"/>
              <c:layout>
                <c:manualLayout>
                  <c:x val="-9.8038083141972132E-17"/>
                  <c:y val="3.2818669405454665E-2"/>
                </c:manualLayout>
              </c:layout>
              <c:tx>
                <c:rich>
                  <a:bodyPr/>
                  <a:lstStyle/>
                  <a:p>
                    <a:r>
                      <a:rPr lang="en-US" sz="1000" baseline="0">
                        <a:solidFill>
                          <a:schemeClr val="tx1"/>
                        </a:solidFill>
                      </a:rPr>
                      <a:t>1</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2.0962566844919785E-2"/>
                      <c:h val="0.12269863994273443"/>
                    </c:manualLayout>
                  </c15:layout>
                  <c15:showDataLabelsRange val="0"/>
                </c:ext>
                <c:ext xmlns:c16="http://schemas.microsoft.com/office/drawing/2014/chart" uri="{C3380CC4-5D6E-409C-BE32-E72D297353CC}">
                  <c16:uniqueId val="{00000001-5483-4C1D-BBAA-E4459266E69F}"/>
                </c:ext>
              </c:extLst>
            </c:dLbl>
            <c:dLbl>
              <c:idx val="2"/>
              <c:layout>
                <c:manualLayout>
                  <c:x val="-9.8038083141972132E-17"/>
                  <c:y val="6.054044380816034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83-4C1D-BBAA-E4459266E69F}"/>
                </c:ext>
              </c:extLst>
            </c:dLbl>
            <c:spPr>
              <a:noFill/>
              <a:ln w="25395">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dk1"/>
                      </a:solidFill>
                      <a:prstDash val="solid"/>
                      <a:round/>
                    </a:ln>
                    <a:effectLst/>
                  </c:spPr>
                </c15:leaderLines>
              </c:ext>
            </c:extLst>
          </c:dLbls>
          <c:cat>
            <c:numRef>
              <c:f>I_tiesas_apgabala_prok!$B$5:$B$7</c:f>
              <c:numCache>
                <c:formatCode>General</c:formatCode>
                <c:ptCount val="3"/>
                <c:pt idx="0">
                  <c:v>2018</c:v>
                </c:pt>
                <c:pt idx="1">
                  <c:v>2019</c:v>
                </c:pt>
                <c:pt idx="2">
                  <c:v>2020</c:v>
                </c:pt>
              </c:numCache>
            </c:numRef>
          </c:cat>
          <c:val>
            <c:numRef>
              <c:f>I_tiesas_apgabala_prok!$J$5:$J$7</c:f>
              <c:numCache>
                <c:formatCode>General</c:formatCode>
                <c:ptCount val="3"/>
                <c:pt idx="0">
                  <c:v>10</c:v>
                </c:pt>
                <c:pt idx="1">
                  <c:v>1</c:v>
                </c:pt>
                <c:pt idx="2">
                  <c:v>4</c:v>
                </c:pt>
              </c:numCache>
            </c:numRef>
          </c:val>
          <c:extLst>
            <c:ext xmlns:c16="http://schemas.microsoft.com/office/drawing/2014/chart" uri="{C3380CC4-5D6E-409C-BE32-E72D297353CC}">
              <c16:uniqueId val="{00000003-5483-4C1D-BBAA-E4459266E69F}"/>
            </c:ext>
          </c:extLst>
        </c:ser>
        <c:dLbls>
          <c:showLegendKey val="0"/>
          <c:showVal val="0"/>
          <c:showCatName val="0"/>
          <c:showSerName val="0"/>
          <c:showPercent val="0"/>
          <c:showBubbleSize val="0"/>
        </c:dLbls>
        <c:gapWidth val="150"/>
        <c:axId val="1691998832"/>
        <c:axId val="1"/>
      </c:barChart>
      <c:catAx>
        <c:axId val="1691998832"/>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out"/>
        <c:minorTickMark val="none"/>
        <c:tickLblPos val="nextTo"/>
        <c:crossAx val="1691998832"/>
        <c:crosses val="autoZero"/>
        <c:crossBetween val="between"/>
      </c:valAx>
      <c:spPr>
        <a:solidFill>
          <a:schemeClr val="accent1">
            <a:tint val="20000"/>
          </a:schemeClr>
        </a:solidFill>
        <a:ln>
          <a:noFill/>
        </a:ln>
        <a:effectLst/>
      </c:spPr>
    </c:plotArea>
    <c:plotVisOnly val="1"/>
    <c:dispBlanksAs val="gap"/>
    <c:showDLblsOverMax val="0"/>
  </c:chart>
  <c:spPr>
    <a:solidFill>
      <a:schemeClr val="bg1">
        <a:lumMod val="95000"/>
      </a:schemeClr>
    </a:solidFill>
    <a:ln w="6350" cap="flat" cmpd="sng" algn="ctr">
      <a:solidFill>
        <a:schemeClr val="tx2"/>
      </a:solidFill>
      <a:prstDash val="solid"/>
      <a:round/>
    </a:ln>
    <a:effectLst/>
  </c:spPr>
  <c:txPr>
    <a:bodyPr/>
    <a:lstStyle/>
    <a:p>
      <a:pPr>
        <a:defRPr baseline="0">
          <a:latin typeface="Arial" panose="020B0604020202020204" pitchFamily="34" charset="0"/>
        </a:defRPr>
      </a:pPr>
      <a:endParaRPr lang="lv-LV"/>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200" baseline="0">
                <a:solidFill>
                  <a:schemeClr val="tx1"/>
                </a:solidFill>
              </a:defRPr>
            </a:pPr>
            <a:r>
              <a:rPr lang="lv-LV" sz="1200" baseline="0">
                <a:solidFill>
                  <a:schemeClr val="tx1"/>
                </a:solidFill>
              </a:rPr>
              <a:t>Pabeigti kriminālprocesi par atsevišķiem noziedzīgiem</a:t>
            </a:r>
          </a:p>
          <a:p>
            <a:pPr>
              <a:defRPr sz="1200" baseline="0">
                <a:solidFill>
                  <a:schemeClr val="tx1"/>
                </a:solidFill>
              </a:defRPr>
            </a:pPr>
            <a:r>
              <a:rPr lang="lv-LV" sz="1200" baseline="0">
                <a:solidFill>
                  <a:schemeClr val="tx1"/>
                </a:solidFill>
              </a:rPr>
              <a:t>nodarījumiem (īpaši aktuāli)</a:t>
            </a:r>
          </a:p>
        </c:rich>
      </c:tx>
      <c:layout>
        <c:manualLayout>
          <c:xMode val="edge"/>
          <c:yMode val="edge"/>
          <c:x val="0.13272697308185311"/>
          <c:y val="2.8869051101153217E-2"/>
        </c:manualLayout>
      </c:layout>
      <c:overlay val="0"/>
    </c:title>
    <c:autoTitleDeleted val="0"/>
    <c:plotArea>
      <c:layout>
        <c:manualLayout>
          <c:layoutTarget val="inner"/>
          <c:xMode val="edge"/>
          <c:yMode val="edge"/>
          <c:x val="3.2693287920949686E-2"/>
          <c:y val="0.30027019036413549"/>
          <c:w val="0.48972702826862363"/>
          <c:h val="0.52865550426886299"/>
        </c:manualLayout>
      </c:layout>
      <c:barChart>
        <c:barDir val="col"/>
        <c:grouping val="clustered"/>
        <c:varyColors val="0"/>
        <c:ser>
          <c:idx val="0"/>
          <c:order val="0"/>
          <c:tx>
            <c:strRef>
              <c:f>'[Chart in Microsoft Word]I_tiesas_apgabala_prok'!$M$4</c:f>
              <c:strCache>
                <c:ptCount val="1"/>
                <c:pt idx="0">
                  <c:v>Slepkavības (ieskaitot KL 125.p.3.d.)</c:v>
                </c:pt>
              </c:strCache>
            </c:strRef>
          </c:tx>
          <c:spPr>
            <a:solidFill>
              <a:srgbClr val="C00000"/>
            </a:solidFill>
          </c:spPr>
          <c:invertIfNegative val="0"/>
          <c:dLbls>
            <c:dLbl>
              <c:idx val="0"/>
              <c:layout>
                <c:manualLayout>
                  <c:x val="-5.6653651259421474E-18"/>
                  <c:y val="1.11339908662976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A3-4CF8-81B2-8B2C57842CF8}"/>
                </c:ext>
              </c:extLst>
            </c:dLbl>
            <c:dLbl>
              <c:idx val="2"/>
              <c:layout>
                <c:manualLayout>
                  <c:x val="0"/>
                  <c:y val="1.82560946597870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4A3-4CF8-81B2-8B2C57842CF8}"/>
                </c:ext>
              </c:extLst>
            </c:dLbl>
            <c:spPr>
              <a:noFill/>
              <a:ln w="25400">
                <a:noFill/>
              </a:ln>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Word]I_tiesas_apgabala_prok'!$M$5:$M$7</c:f>
              <c:numCache>
                <c:formatCode>General</c:formatCode>
                <c:ptCount val="3"/>
                <c:pt idx="0">
                  <c:v>2</c:v>
                </c:pt>
                <c:pt idx="1">
                  <c:v>0</c:v>
                </c:pt>
                <c:pt idx="2">
                  <c:v>3</c:v>
                </c:pt>
              </c:numCache>
            </c:numRef>
          </c:val>
          <c:extLst>
            <c:ext xmlns:c16="http://schemas.microsoft.com/office/drawing/2014/chart" uri="{C3380CC4-5D6E-409C-BE32-E72D297353CC}">
              <c16:uniqueId val="{00000000-117C-40BD-A576-7AB1C0FD11FF}"/>
            </c:ext>
          </c:extLst>
        </c:ser>
        <c:ser>
          <c:idx val="1"/>
          <c:order val="1"/>
          <c:tx>
            <c:strRef>
              <c:f>'[Chart in Microsoft Word]I_tiesas_apgabala_prok'!$N$4</c:f>
              <c:strCache>
                <c:ptCount val="1"/>
                <c:pt idx="0">
                  <c:v>Noziegumi pret tikumību un dzimumneaizskaramību, kas izdarīti ar mazgadīgo vai nepilngadīgo 
          </c:v>
                </c:pt>
              </c:strCache>
            </c:strRef>
          </c:tx>
          <c:spPr>
            <a:solidFill>
              <a:schemeClr val="accent1"/>
            </a:solidFill>
          </c:spPr>
          <c:invertIfNegative val="0"/>
          <c:dLbls>
            <c:dLbl>
              <c:idx val="0"/>
              <c:layout>
                <c:manualLayout>
                  <c:x val="-1.1330730251884295E-17"/>
                  <c:y val="1.88496683085490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A3-4CF8-81B2-8B2C57842CF8}"/>
                </c:ext>
              </c:extLst>
            </c:dLbl>
            <c:dLbl>
              <c:idx val="1"/>
              <c:layout>
                <c:manualLayout>
                  <c:x val="-5.8184012536133852E-4"/>
                  <c:y val="1.1462757348496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7C-40BD-A576-7AB1C0FD11FF}"/>
                </c:ext>
              </c:extLst>
            </c:dLbl>
            <c:dLbl>
              <c:idx val="2"/>
              <c:layout>
                <c:manualLayout>
                  <c:x val="-2.472187886279357E-3"/>
                  <c:y val="1.5759341375047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A3-4CF8-81B2-8B2C57842CF8}"/>
                </c:ext>
              </c:extLst>
            </c:dLbl>
            <c:spPr>
              <a:noFill/>
              <a:ln w="25400">
                <a:noFill/>
              </a:ln>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Word]I_tiesas_apgabala_prok'!$N$5:$N$7</c:f>
              <c:numCache>
                <c:formatCode>General</c:formatCode>
                <c:ptCount val="3"/>
                <c:pt idx="0">
                  <c:v>13</c:v>
                </c:pt>
                <c:pt idx="1">
                  <c:v>3</c:v>
                </c:pt>
                <c:pt idx="2">
                  <c:v>11</c:v>
                </c:pt>
              </c:numCache>
            </c:numRef>
          </c:val>
          <c:extLst>
            <c:ext xmlns:c16="http://schemas.microsoft.com/office/drawing/2014/chart" uri="{C3380CC4-5D6E-409C-BE32-E72D297353CC}">
              <c16:uniqueId val="{00000002-117C-40BD-A576-7AB1C0FD11FF}"/>
            </c:ext>
          </c:extLst>
        </c:ser>
        <c:ser>
          <c:idx val="2"/>
          <c:order val="2"/>
          <c:tx>
            <c:strRef>
              <c:f>'[Chart in Microsoft Word]I_tiesas_apgabala_prok'!$O$4</c:f>
              <c:strCache>
                <c:ptCount val="1"/>
                <c:pt idx="0">
                  <c:v>Noziegumi pret īpašumu, ar ko radīts mantisks zaudējums lielā apmērā</c:v>
                </c:pt>
              </c:strCache>
            </c:strRef>
          </c:tx>
          <c:invertIfNegative val="0"/>
          <c:dLbls>
            <c:dLbl>
              <c:idx val="0"/>
              <c:layout>
                <c:manualLayout>
                  <c:x val="-1.1330730251884295E-17"/>
                  <c:y val="1.29962209404359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4A3-4CF8-81B2-8B2C57842CF8}"/>
                </c:ext>
              </c:extLst>
            </c:dLbl>
            <c:dLbl>
              <c:idx val="1"/>
              <c:layout>
                <c:manualLayout>
                  <c:x val="2.4721878862793119E-3"/>
                  <c:y val="2.10398848732317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A3-4CF8-81B2-8B2C57842CF8}"/>
                </c:ext>
              </c:extLst>
            </c:dLbl>
            <c:dLbl>
              <c:idx val="2"/>
              <c:layout>
                <c:manualLayout>
                  <c:x val="2.472187886279357E-3"/>
                  <c:y val="8.04327393696878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4A3-4CF8-81B2-8B2C57842CF8}"/>
                </c:ext>
              </c:extLst>
            </c:dLbl>
            <c:spPr>
              <a:noFill/>
              <a:ln w="25400">
                <a:noFill/>
              </a:ln>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Word]I_tiesas_apgabala_prok'!$O$5:$O$7</c:f>
              <c:numCache>
                <c:formatCode>General</c:formatCode>
                <c:ptCount val="3"/>
                <c:pt idx="0">
                  <c:v>1</c:v>
                </c:pt>
                <c:pt idx="1">
                  <c:v>2</c:v>
                </c:pt>
                <c:pt idx="2">
                  <c:v>1</c:v>
                </c:pt>
              </c:numCache>
            </c:numRef>
          </c:val>
          <c:extLst>
            <c:ext xmlns:c16="http://schemas.microsoft.com/office/drawing/2014/chart" uri="{C3380CC4-5D6E-409C-BE32-E72D297353CC}">
              <c16:uniqueId val="{00000003-117C-40BD-A576-7AB1C0FD11FF}"/>
            </c:ext>
          </c:extLst>
        </c:ser>
        <c:ser>
          <c:idx val="3"/>
          <c:order val="3"/>
          <c:tx>
            <c:strRef>
              <c:f>'[Chart in Microsoft Word]I_tiesas_apgabala_prok'!$P$4</c:f>
              <c:strCache>
                <c:ptCount val="1"/>
                <c:pt idx="0">
                  <c:v>Noziedzīgi iegūtu līdzekļu legalizēšana</c:v>
                </c:pt>
              </c:strCache>
            </c:strRef>
          </c:tx>
          <c:invertIfNegative val="0"/>
          <c:dLbls>
            <c:spPr>
              <a:noFill/>
              <a:ln w="25400">
                <a:noFill/>
              </a:ln>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Word]I_tiesas_apgabala_prok'!$P$5:$P$7</c:f>
              <c:numCache>
                <c:formatCode>General</c:formatCode>
                <c:ptCount val="3"/>
                <c:pt idx="0">
                  <c:v>0</c:v>
                </c:pt>
                <c:pt idx="1">
                  <c:v>0</c:v>
                </c:pt>
                <c:pt idx="2">
                  <c:v>0</c:v>
                </c:pt>
              </c:numCache>
            </c:numRef>
          </c:val>
          <c:extLst>
            <c:ext xmlns:c16="http://schemas.microsoft.com/office/drawing/2014/chart" uri="{C3380CC4-5D6E-409C-BE32-E72D297353CC}">
              <c16:uniqueId val="{00000004-117C-40BD-A576-7AB1C0FD11FF}"/>
            </c:ext>
          </c:extLst>
        </c:ser>
        <c:ser>
          <c:idx val="4"/>
          <c:order val="4"/>
          <c:tx>
            <c:strRef>
              <c:f>'[Chart in Microsoft Word]I_tiesas_apgabala_prok'!$Q$4</c:f>
              <c:strCache>
                <c:ptCount val="1"/>
                <c:pt idx="0">
                  <c:v>Noziedzīgi nodarījumi valsts institūciju dienestā</c:v>
                </c:pt>
              </c:strCache>
            </c:strRef>
          </c:tx>
          <c:spPr>
            <a:solidFill>
              <a:schemeClr val="accent6"/>
            </a:solidFill>
          </c:spPr>
          <c:invertIfNegative val="0"/>
          <c:dLbls>
            <c:dLbl>
              <c:idx val="2"/>
              <c:layout>
                <c:manualLayout>
                  <c:x val="-9.0645842015074358E-17"/>
                  <c:y val="1.4858841010401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4A3-4CF8-81B2-8B2C57842CF8}"/>
                </c:ext>
              </c:extLst>
            </c:dLbl>
            <c:spPr>
              <a:noFill/>
              <a:ln w="25400">
                <a:noFill/>
              </a:ln>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Word]I_tiesas_apgabala_prok'!$Q$5:$Q$7</c:f>
              <c:numCache>
                <c:formatCode>General</c:formatCode>
                <c:ptCount val="3"/>
                <c:pt idx="0">
                  <c:v>0</c:v>
                </c:pt>
                <c:pt idx="1">
                  <c:v>0</c:v>
                </c:pt>
                <c:pt idx="2">
                  <c:v>1</c:v>
                </c:pt>
              </c:numCache>
            </c:numRef>
          </c:val>
          <c:extLst>
            <c:ext xmlns:c16="http://schemas.microsoft.com/office/drawing/2014/chart" uri="{C3380CC4-5D6E-409C-BE32-E72D297353CC}">
              <c16:uniqueId val="{00000005-117C-40BD-A576-7AB1C0FD11FF}"/>
            </c:ext>
          </c:extLst>
        </c:ser>
        <c:dLbls>
          <c:showLegendKey val="0"/>
          <c:showVal val="0"/>
          <c:showCatName val="0"/>
          <c:showSerName val="0"/>
          <c:showPercent val="0"/>
          <c:showBubbleSize val="0"/>
        </c:dLbls>
        <c:gapWidth val="150"/>
        <c:axId val="1799037056"/>
        <c:axId val="1"/>
      </c:barChart>
      <c:catAx>
        <c:axId val="1799037056"/>
        <c:scaling>
          <c:orientation val="minMax"/>
        </c:scaling>
        <c:delete val="0"/>
        <c:axPos val="b"/>
        <c:numFmt formatCode="General" sourceLinked="1"/>
        <c:majorTickMark val="none"/>
        <c:minorTickMark val="none"/>
        <c:tickLblPos val="nextTo"/>
        <c:txPr>
          <a:bodyPr/>
          <a:lstStyle/>
          <a:p>
            <a:pPr>
              <a:defRPr sz="1000" b="1" baseline="0">
                <a:solidFill>
                  <a:schemeClr val="tx1"/>
                </a:solidFill>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799037056"/>
        <c:crosses val="autoZero"/>
        <c:crossBetween val="between"/>
      </c:valAx>
      <c:spPr>
        <a:noFill/>
      </c:spPr>
    </c:plotArea>
    <c:legend>
      <c:legendPos val="r"/>
      <c:legendEntry>
        <c:idx val="1"/>
        <c:txPr>
          <a:bodyPr/>
          <a:lstStyle/>
          <a:p>
            <a:pPr>
              <a:defRPr sz="800" b="1" i="0" baseline="0">
                <a:solidFill>
                  <a:schemeClr val="tx1"/>
                </a:solidFill>
              </a:defRPr>
            </a:pPr>
            <a:endParaRPr lang="lv-LV"/>
          </a:p>
        </c:txPr>
      </c:legendEntry>
      <c:legendEntry>
        <c:idx val="2"/>
        <c:txPr>
          <a:bodyPr/>
          <a:lstStyle/>
          <a:p>
            <a:pPr>
              <a:defRPr sz="800" b="1" i="0" baseline="0">
                <a:solidFill>
                  <a:schemeClr val="tx1"/>
                </a:solidFill>
              </a:defRPr>
            </a:pPr>
            <a:endParaRPr lang="lv-LV"/>
          </a:p>
        </c:txPr>
      </c:legendEntry>
      <c:legendEntry>
        <c:idx val="3"/>
        <c:txPr>
          <a:bodyPr/>
          <a:lstStyle/>
          <a:p>
            <a:pPr>
              <a:defRPr sz="800" b="1" i="0" baseline="0">
                <a:solidFill>
                  <a:schemeClr val="tx1"/>
                </a:solidFill>
              </a:defRPr>
            </a:pPr>
            <a:endParaRPr lang="lv-LV"/>
          </a:p>
        </c:txPr>
      </c:legendEntry>
      <c:legendEntry>
        <c:idx val="4"/>
        <c:txPr>
          <a:bodyPr/>
          <a:lstStyle/>
          <a:p>
            <a:pPr>
              <a:defRPr sz="800" b="1" i="0" baseline="0">
                <a:solidFill>
                  <a:schemeClr val="tx1"/>
                </a:solidFill>
              </a:defRPr>
            </a:pPr>
            <a:endParaRPr lang="lv-LV"/>
          </a:p>
        </c:txPr>
      </c:legendEntry>
      <c:layout>
        <c:manualLayout>
          <c:xMode val="edge"/>
          <c:yMode val="edge"/>
          <c:x val="0.5268115124577909"/>
          <c:y val="0.28148522719063784"/>
          <c:w val="0.46524789144439949"/>
          <c:h val="0.71851477280936216"/>
        </c:manualLayout>
      </c:layout>
      <c:overlay val="0"/>
      <c:txPr>
        <a:bodyPr/>
        <a:lstStyle/>
        <a:p>
          <a:pPr>
            <a:defRPr sz="800" b="1" i="0" baseline="0">
              <a:solidFill>
                <a:schemeClr val="tx1"/>
              </a:solidFill>
            </a:defRPr>
          </a:pPr>
          <a:endParaRPr lang="lv-LV"/>
        </a:p>
      </c:txPr>
    </c:legend>
    <c:plotVisOnly val="1"/>
    <c:dispBlanksAs val="gap"/>
    <c:showDLblsOverMax val="0"/>
  </c:chart>
  <c:spPr>
    <a:solidFill>
      <a:schemeClr val="bg1">
        <a:lumMod val="95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baseline="0">
                <a:latin typeface="Times New Roman" panose="02020603050405020304" pitchFamily="18" charset="0"/>
                <a:cs typeface="Times New Roman" panose="02020603050405020304" pitchFamily="18" charset="0"/>
              </a:defRPr>
            </a:pPr>
            <a:r>
              <a:rPr lang="lv-LV" sz="1200" b="1" i="0" baseline="0">
                <a:solidFill>
                  <a:schemeClr val="tx2"/>
                </a:solidFill>
                <a:effectLst/>
                <a:latin typeface="Times New Roman" panose="02020603050405020304" pitchFamily="18" charset="0"/>
                <a:cs typeface="Times New Roman" panose="02020603050405020304" pitchFamily="18" charset="0"/>
              </a:rPr>
              <a:t> </a:t>
            </a:r>
            <a:r>
              <a:rPr lang="lv-LV" sz="1200" b="1" i="0" baseline="0">
                <a:solidFill>
                  <a:schemeClr val="tx1"/>
                </a:solidFill>
                <a:effectLst/>
                <a:latin typeface="Times New Roman" panose="02020603050405020304" pitchFamily="18" charset="0"/>
                <a:cs typeface="Times New Roman" panose="02020603050405020304" pitchFamily="18" charset="0"/>
              </a:rPr>
              <a:t>Prokuroru uzraudzībā pieņemti kriminālprocesi</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1882932097602631"/>
          <c:y val="4.6851298760068785E-2"/>
        </c:manualLayout>
      </c:layout>
      <c:overlay val="0"/>
    </c:title>
    <c:autoTitleDeleted val="0"/>
    <c:plotArea>
      <c:layout/>
      <c:lineChart>
        <c:grouping val="standard"/>
        <c:varyColors val="0"/>
        <c:ser>
          <c:idx val="1"/>
          <c:order val="0"/>
          <c:tx>
            <c:strRef>
              <c:f>I_tiesas_apgabala_prok!$S$5:$S$7</c:f>
              <c:strCache>
                <c:ptCount val="3"/>
                <c:pt idx="0">
                  <c:v>2018</c:v>
                </c:pt>
                <c:pt idx="1">
                  <c:v>2019</c:v>
                </c:pt>
                <c:pt idx="2">
                  <c:v>2020</c:v>
                </c:pt>
              </c:strCache>
            </c:strRef>
          </c:tx>
          <c:marker>
            <c:symbol val="none"/>
          </c:marker>
          <c:dLbls>
            <c:dLbl>
              <c:idx val="0"/>
              <c:layout>
                <c:manualLayout>
                  <c:x val="-4.8993736006641343E-2"/>
                  <c:y val="-6.8654803197104569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1118210862619806E-2"/>
                      <c:h val="7.7363896848137534E-2"/>
                    </c:manualLayout>
                  </c15:layout>
                </c:ext>
                <c:ext xmlns:c16="http://schemas.microsoft.com/office/drawing/2014/chart" uri="{C3380CC4-5D6E-409C-BE32-E72D297353CC}">
                  <c16:uniqueId val="{00000001-DFA3-4841-8816-D9D521FEFC3C}"/>
                </c:ext>
              </c:extLst>
            </c:dLbl>
            <c:dLbl>
              <c:idx val="1"/>
              <c:layout>
                <c:manualLayout>
                  <c:x val="-4.5798470478730154E-2"/>
                  <c:y val="-4.2018590799359275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6453674121405742E-2"/>
                      <c:h val="0.15174368006630751"/>
                    </c:manualLayout>
                  </c15:layout>
                </c:ext>
                <c:ext xmlns:c16="http://schemas.microsoft.com/office/drawing/2014/chart" uri="{C3380CC4-5D6E-409C-BE32-E72D297353CC}">
                  <c16:uniqueId val="{00000002-DFA3-4841-8816-D9D521FEFC3C}"/>
                </c:ext>
              </c:extLst>
            </c:dLbl>
            <c:dLbl>
              <c:idx val="2"/>
              <c:layout>
                <c:manualLayout>
                  <c:x val="-5.2188624185555081E-2"/>
                  <c:y val="-6.57894736842105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FA3-4841-8816-D9D521FEFC3C}"/>
                </c:ext>
              </c:extLst>
            </c:dLbl>
            <c:spPr>
              <a:noFill/>
              <a:ln w="25387">
                <a:noFill/>
              </a:ln>
            </c:spPr>
            <c:txPr>
              <a:bodyPr/>
              <a:lstStyle/>
              <a:p>
                <a:pPr>
                  <a:defRPr sz="1000" b="1" baseline="0">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I_tiesas_apgabala_prok!$T$5:$T$7</c:f>
              <c:numCache>
                <c:formatCode>General</c:formatCode>
                <c:ptCount val="3"/>
                <c:pt idx="0">
                  <c:v>24</c:v>
                </c:pt>
                <c:pt idx="1">
                  <c:v>44</c:v>
                </c:pt>
                <c:pt idx="2">
                  <c:v>35</c:v>
                </c:pt>
              </c:numCache>
            </c:numRef>
          </c:val>
          <c:smooth val="0"/>
          <c:extLst>
            <c:ext xmlns:c16="http://schemas.microsoft.com/office/drawing/2014/chart" uri="{C3380CC4-5D6E-409C-BE32-E72D297353CC}">
              <c16:uniqueId val="{00000000-9735-4B83-BFDE-16638FE5CFDB}"/>
            </c:ext>
          </c:extLst>
        </c:ser>
        <c:dLbls>
          <c:showLegendKey val="0"/>
          <c:showVal val="0"/>
          <c:showCatName val="0"/>
          <c:showSerName val="0"/>
          <c:showPercent val="0"/>
          <c:showBubbleSize val="0"/>
        </c:dLbls>
        <c:smooth val="0"/>
        <c:axId val="1798870096"/>
        <c:axId val="1"/>
      </c:lineChart>
      <c:catAx>
        <c:axId val="1798870096"/>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798870096"/>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baseline="0">
                <a:latin typeface="Times New Roman" panose="02020603050405020304" pitchFamily="18" charset="0"/>
              </a:defRPr>
            </a:pPr>
            <a:r>
              <a:rPr lang="lv-LV" sz="1200" b="1" i="0" baseline="0">
                <a:solidFill>
                  <a:schemeClr val="tx2"/>
                </a:solidFill>
                <a:effectLst/>
                <a:latin typeface="Times New Roman" panose="02020603050405020304" pitchFamily="18" charset="0"/>
              </a:rPr>
              <a:t> </a:t>
            </a:r>
            <a:r>
              <a:rPr lang="lv-LV" sz="1200" b="1" i="0" baseline="0">
                <a:solidFill>
                  <a:schemeClr val="tx1"/>
                </a:solidFill>
                <a:effectLst/>
                <a:latin typeface="Times New Roman" panose="02020603050405020304" pitchFamily="18" charset="0"/>
                <a:cs typeface="Times New Roman" panose="02020603050405020304" pitchFamily="18" charset="0"/>
              </a:rPr>
              <a:t>Prokuroru dotie norādījumi</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8180373841102563"/>
          <c:y val="7.4453767049610597E-2"/>
        </c:manualLayout>
      </c:layout>
      <c:overlay val="0"/>
    </c:title>
    <c:autoTitleDeleted val="0"/>
    <c:plotArea>
      <c:layout>
        <c:manualLayout>
          <c:layoutTarget val="inner"/>
          <c:xMode val="edge"/>
          <c:yMode val="edge"/>
          <c:x val="3.1100478468899517E-2"/>
          <c:y val="0.25224017316560532"/>
          <c:w val="0.94423320659062104"/>
          <c:h val="0.60435302264741342"/>
        </c:manualLayout>
      </c:layout>
      <c:lineChart>
        <c:grouping val="standard"/>
        <c:varyColors val="0"/>
        <c:ser>
          <c:idx val="1"/>
          <c:order val="0"/>
          <c:tx>
            <c:strRef>
              <c:f>I_tiesas_apgabala_prok!$V$6:$V$8</c:f>
              <c:strCache>
                <c:ptCount val="3"/>
                <c:pt idx="0">
                  <c:v>2018</c:v>
                </c:pt>
                <c:pt idx="1">
                  <c:v>2019</c:v>
                </c:pt>
                <c:pt idx="2">
                  <c:v>2020</c:v>
                </c:pt>
              </c:strCache>
            </c:strRef>
          </c:tx>
          <c:marker>
            <c:symbol val="none"/>
          </c:marker>
          <c:dLbls>
            <c:dLbl>
              <c:idx val="0"/>
              <c:layout>
                <c:manualLayout>
                  <c:x val="-3.8884664131812421E-2"/>
                  <c:y val="-7.03975732541629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A6-4DA7-A6DB-4FF4ACE6E0A8}"/>
                </c:ext>
              </c:extLst>
            </c:dLbl>
            <c:dLbl>
              <c:idx val="1"/>
              <c:layout>
                <c:manualLayout>
                  <c:x val="-3.3814955640050694E-2"/>
                  <c:y val="-7.81758957654723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A6-4DA7-A6DB-4FF4ACE6E0A8}"/>
                </c:ext>
              </c:extLst>
            </c:dLbl>
            <c:dLbl>
              <c:idx val="2"/>
              <c:layout>
                <c:manualLayout>
                  <c:x val="-3.6349809885931651E-2"/>
                  <c:y val="-6.51465798045603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A6-4DA7-A6DB-4FF4ACE6E0A8}"/>
                </c:ext>
              </c:extLst>
            </c:dLbl>
            <c:spPr>
              <a:noFill/>
              <a:ln w="25394">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I_tiesas_apgabala_prok!$W$6:$W$8</c:f>
              <c:numCache>
                <c:formatCode>General</c:formatCode>
                <c:ptCount val="3"/>
                <c:pt idx="0">
                  <c:v>28</c:v>
                </c:pt>
                <c:pt idx="1">
                  <c:v>52</c:v>
                </c:pt>
                <c:pt idx="2">
                  <c:v>58</c:v>
                </c:pt>
              </c:numCache>
            </c:numRef>
          </c:val>
          <c:smooth val="0"/>
          <c:extLst>
            <c:ext xmlns:c16="http://schemas.microsoft.com/office/drawing/2014/chart" uri="{C3380CC4-5D6E-409C-BE32-E72D297353CC}">
              <c16:uniqueId val="{00000000-9635-40EC-A723-70EF14A554FA}"/>
            </c:ext>
          </c:extLst>
        </c:ser>
        <c:dLbls>
          <c:showLegendKey val="0"/>
          <c:showVal val="0"/>
          <c:showCatName val="0"/>
          <c:showSerName val="0"/>
          <c:showPercent val="0"/>
          <c:showBubbleSize val="0"/>
        </c:dLbls>
        <c:smooth val="0"/>
        <c:axId val="1799128592"/>
        <c:axId val="1"/>
      </c:lineChart>
      <c:catAx>
        <c:axId val="17991285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7991285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lv-LV" sz="1200" b="1" i="0" baseline="0">
                <a:solidFill>
                  <a:schemeClr val="tx1"/>
                </a:solidFill>
                <a:effectLst/>
                <a:latin typeface="Times New Roman" panose="02020603050405020304" pitchFamily="18" charset="0"/>
                <a:cs typeface="Times New Roman" panose="02020603050405020304" pitchFamily="18" charset="0"/>
              </a:rPr>
              <a:t>Valsts apsūdzības uzturēšana pirmās instances tiesā (izskatītas krimināllietas), no tām ar pierādījumu pārbaudi</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3585309534255433"/>
          <c:y val="6.9526984309443074E-3"/>
        </c:manualLayout>
      </c:layout>
      <c:overlay val="0"/>
    </c:title>
    <c:autoTitleDeleted val="0"/>
    <c:plotArea>
      <c:layout>
        <c:manualLayout>
          <c:layoutTarget val="inner"/>
          <c:xMode val="edge"/>
          <c:yMode val="edge"/>
          <c:x val="2.1941019165057196E-2"/>
          <c:y val="0.32069314328409676"/>
          <c:w val="0.96286919831223627"/>
          <c:h val="0.52565952066210697"/>
        </c:manualLayout>
      </c:layout>
      <c:barChart>
        <c:barDir val="col"/>
        <c:grouping val="clustered"/>
        <c:varyColors val="0"/>
        <c:ser>
          <c:idx val="1"/>
          <c:order val="0"/>
          <c:tx>
            <c:strRef>
              <c:f>I_tiesas_apgabala_prok!$Y$6:$Y$8</c:f>
              <c:strCache>
                <c:ptCount val="3"/>
                <c:pt idx="0">
                  <c:v>2018</c:v>
                </c:pt>
                <c:pt idx="1">
                  <c:v>2019</c:v>
                </c:pt>
                <c:pt idx="2">
                  <c:v>2020</c:v>
                </c:pt>
              </c:strCache>
            </c:strRef>
          </c:tx>
          <c:spPr>
            <a:solidFill>
              <a:schemeClr val="accent5">
                <a:lumMod val="60000"/>
                <a:lumOff val="40000"/>
              </a:schemeClr>
            </a:solidFill>
          </c:spPr>
          <c:invertIfNegative val="0"/>
          <c:dLbls>
            <c:spPr>
              <a:noFill/>
              <a:ln w="25388">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I_tiesas_apgabala_prok!$Z$6:$Z$8</c:f>
              <c:numCache>
                <c:formatCode>General</c:formatCode>
                <c:ptCount val="3"/>
                <c:pt idx="0">
                  <c:v>37</c:v>
                </c:pt>
                <c:pt idx="1">
                  <c:v>28</c:v>
                </c:pt>
                <c:pt idx="2">
                  <c:v>25</c:v>
                </c:pt>
              </c:numCache>
            </c:numRef>
          </c:val>
          <c:extLst>
            <c:ext xmlns:c16="http://schemas.microsoft.com/office/drawing/2014/chart" uri="{C3380CC4-5D6E-409C-BE32-E72D297353CC}">
              <c16:uniqueId val="{00000000-77D1-4289-AADA-62851CB4C9FE}"/>
            </c:ext>
          </c:extLst>
        </c:ser>
        <c:ser>
          <c:idx val="0"/>
          <c:order val="1"/>
          <c:tx>
            <c:strRef>
              <c:f>I_tiesas_apgabala_prok!$Y$6:$Y$8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w="25388">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I_tiesas_apgabala_prok!$AA$6:$AA$8</c:f>
              <c:numCache>
                <c:formatCode>General</c:formatCode>
                <c:ptCount val="3"/>
                <c:pt idx="0">
                  <c:v>17</c:v>
                </c:pt>
                <c:pt idx="1">
                  <c:v>21</c:v>
                </c:pt>
                <c:pt idx="2">
                  <c:v>10</c:v>
                </c:pt>
              </c:numCache>
            </c:numRef>
          </c:val>
          <c:extLst>
            <c:ext xmlns:c16="http://schemas.microsoft.com/office/drawing/2014/chart" uri="{C3380CC4-5D6E-409C-BE32-E72D297353CC}">
              <c16:uniqueId val="{00000001-77D1-4289-AADA-62851CB4C9FE}"/>
            </c:ext>
          </c:extLst>
        </c:ser>
        <c:dLbls>
          <c:showLegendKey val="0"/>
          <c:showVal val="0"/>
          <c:showCatName val="0"/>
          <c:showSerName val="0"/>
          <c:showPercent val="0"/>
          <c:showBubbleSize val="0"/>
        </c:dLbls>
        <c:gapWidth val="150"/>
        <c:axId val="1637753728"/>
        <c:axId val="1"/>
      </c:barChart>
      <c:catAx>
        <c:axId val="163775372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63775372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baseline="0">
                <a:latin typeface="Times New Roman" panose="02020603050405020304" pitchFamily="18" charset="0"/>
              </a:defRPr>
            </a:pPr>
            <a:r>
              <a:rPr lang="lv-LV" sz="1200" b="1" i="0" baseline="0">
                <a:solidFill>
                  <a:schemeClr val="tx2"/>
                </a:solidFill>
                <a:effectLst/>
                <a:latin typeface="Times New Roman" panose="02020603050405020304" pitchFamily="18" charset="0"/>
              </a:rPr>
              <a:t> </a:t>
            </a:r>
            <a:r>
              <a:rPr lang="lv-LV" sz="1200" b="1" i="0" baseline="0">
                <a:solidFill>
                  <a:schemeClr val="tx1"/>
                </a:solidFill>
                <a:effectLst/>
                <a:latin typeface="Times New Roman" panose="02020603050405020304" pitchFamily="18" charset="0"/>
                <a:cs typeface="Times New Roman" panose="02020603050405020304" pitchFamily="18" charset="0"/>
              </a:rPr>
              <a:t>Valsts apsūdzības uzturēšana apelācijas instances tiesā (izskatītas krimināllietas), no tām mutvārdu/rakstveida procesā</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1474089499143185"/>
          <c:y val="3.4630767062045632E-2"/>
        </c:manualLayout>
      </c:layout>
      <c:overlay val="0"/>
    </c:title>
    <c:autoTitleDeleted val="0"/>
    <c:plotArea>
      <c:layout/>
      <c:barChart>
        <c:barDir val="col"/>
        <c:grouping val="clustered"/>
        <c:varyColors val="0"/>
        <c:ser>
          <c:idx val="1"/>
          <c:order val="0"/>
          <c:tx>
            <c:strRef>
              <c:f>I_tiesas_apgabala_prok!$AC$6:$AC$8</c:f>
              <c:strCache>
                <c:ptCount val="3"/>
                <c:pt idx="0">
                  <c:v>2018</c:v>
                </c:pt>
                <c:pt idx="1">
                  <c:v>2019</c:v>
                </c:pt>
                <c:pt idx="2">
                  <c:v>2020</c:v>
                </c:pt>
              </c:strCache>
            </c:strRef>
          </c:tx>
          <c:spPr>
            <a:solidFill>
              <a:schemeClr val="accent5">
                <a:lumMod val="60000"/>
                <a:lumOff val="40000"/>
              </a:schemeClr>
            </a:solidFill>
          </c:spPr>
          <c:invertIfNegative val="0"/>
          <c:dLbls>
            <c:spPr>
              <a:noFill/>
              <a:ln w="25387">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I_tiesas_apgabala_prok!$AD$6:$AD$8</c:f>
              <c:numCache>
                <c:formatCode>General</c:formatCode>
                <c:ptCount val="3"/>
                <c:pt idx="0">
                  <c:v>72</c:v>
                </c:pt>
                <c:pt idx="1">
                  <c:v>71</c:v>
                </c:pt>
                <c:pt idx="2">
                  <c:v>42</c:v>
                </c:pt>
              </c:numCache>
            </c:numRef>
          </c:val>
          <c:extLst>
            <c:ext xmlns:c16="http://schemas.microsoft.com/office/drawing/2014/chart" uri="{C3380CC4-5D6E-409C-BE32-E72D297353CC}">
              <c16:uniqueId val="{00000000-7B3F-4F0E-908C-3C27F7B57A56}"/>
            </c:ext>
          </c:extLst>
        </c:ser>
        <c:ser>
          <c:idx val="0"/>
          <c:order val="1"/>
          <c:tx>
            <c:strRef>
              <c:f>I_tiesas_apgabala_prok!$AC$6:$AC$8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w="25387">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I_tiesas_apgabala_prok!$AE$6:$AE$8</c:f>
              <c:numCache>
                <c:formatCode>General</c:formatCode>
                <c:ptCount val="3"/>
                <c:pt idx="0">
                  <c:v>66</c:v>
                </c:pt>
                <c:pt idx="1">
                  <c:v>57</c:v>
                </c:pt>
                <c:pt idx="2">
                  <c:v>80</c:v>
                </c:pt>
              </c:numCache>
            </c:numRef>
          </c:val>
          <c:extLst>
            <c:ext xmlns:c16="http://schemas.microsoft.com/office/drawing/2014/chart" uri="{C3380CC4-5D6E-409C-BE32-E72D297353CC}">
              <c16:uniqueId val="{00000001-7B3F-4F0E-908C-3C27F7B57A56}"/>
            </c:ext>
          </c:extLst>
        </c:ser>
        <c:dLbls>
          <c:showLegendKey val="0"/>
          <c:showVal val="0"/>
          <c:showCatName val="0"/>
          <c:showSerName val="0"/>
          <c:showPercent val="0"/>
          <c:showBubbleSize val="0"/>
        </c:dLbls>
        <c:gapWidth val="150"/>
        <c:axId val="1684900944"/>
        <c:axId val="1"/>
      </c:barChart>
      <c:catAx>
        <c:axId val="168490094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68490094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baseline="0">
                <a:solidFill>
                  <a:schemeClr val="tx1"/>
                </a:solidFill>
                <a:latin typeface="Times New Roman" panose="02020603050405020304" pitchFamily="18" charset="0"/>
              </a:defRPr>
            </a:pPr>
            <a:r>
              <a:rPr lang="lv-LV" sz="1200" b="1" i="0" baseline="0">
                <a:solidFill>
                  <a:schemeClr val="tx1"/>
                </a:solidFill>
                <a:effectLst/>
                <a:latin typeface="Times New Roman" panose="02020603050405020304" pitchFamily="18" charset="0"/>
              </a:rPr>
              <a:t> </a:t>
            </a:r>
            <a:r>
              <a:rPr lang="lv-LV" sz="1200" b="1" i="0" baseline="0">
                <a:solidFill>
                  <a:schemeClr val="tx1"/>
                </a:solidFill>
                <a:effectLst/>
                <a:latin typeface="Times New Roman" panose="02020603050405020304" pitchFamily="18" charset="0"/>
                <a:cs typeface="Times New Roman" panose="02020603050405020304" pitchFamily="18" charset="0"/>
              </a:rPr>
              <a:t>Iesniegti protesti, no tiem apmierināti</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9061269685039373"/>
          <c:y val="2.7613048368953882E-2"/>
        </c:manualLayout>
      </c:layout>
      <c:overlay val="0"/>
    </c:title>
    <c:autoTitleDeleted val="0"/>
    <c:plotArea>
      <c:layout/>
      <c:barChart>
        <c:barDir val="col"/>
        <c:grouping val="clustered"/>
        <c:varyColors val="0"/>
        <c:ser>
          <c:idx val="1"/>
          <c:order val="0"/>
          <c:tx>
            <c:strRef>
              <c:f>I_tiesas_apgabala_prok!$AG$6:$AG$8</c:f>
              <c:strCache>
                <c:ptCount val="3"/>
                <c:pt idx="0">
                  <c:v>2018</c:v>
                </c:pt>
                <c:pt idx="1">
                  <c:v>2019</c:v>
                </c:pt>
                <c:pt idx="2">
                  <c:v>2020</c:v>
                </c:pt>
              </c:strCache>
            </c:strRef>
          </c:tx>
          <c:spPr>
            <a:solidFill>
              <a:schemeClr val="accent5">
                <a:lumMod val="60000"/>
                <a:lumOff val="40000"/>
              </a:schemeClr>
            </a:solidFill>
          </c:spPr>
          <c:invertIfNegative val="0"/>
          <c:dLbls>
            <c:spPr>
              <a:noFill/>
              <a:ln w="25378">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I_tiesas_apgabala_prok!$AH$6:$AH$8</c:f>
              <c:numCache>
                <c:formatCode>General</c:formatCode>
                <c:ptCount val="3"/>
                <c:pt idx="0">
                  <c:v>6</c:v>
                </c:pt>
                <c:pt idx="1">
                  <c:v>14</c:v>
                </c:pt>
                <c:pt idx="2">
                  <c:v>13</c:v>
                </c:pt>
              </c:numCache>
            </c:numRef>
          </c:val>
          <c:extLst>
            <c:ext xmlns:c16="http://schemas.microsoft.com/office/drawing/2014/chart" uri="{C3380CC4-5D6E-409C-BE32-E72D297353CC}">
              <c16:uniqueId val="{00000000-0F8F-4630-B64C-4A176BD41FB3}"/>
            </c:ext>
          </c:extLst>
        </c:ser>
        <c:ser>
          <c:idx val="0"/>
          <c:order val="1"/>
          <c:tx>
            <c:strRef>
              <c:f>I_tiesas_apgabala_prok!$AG$6:$AG$8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w="25378">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I_tiesas_apgabala_prok!$AI$6:$AI$8</c:f>
              <c:numCache>
                <c:formatCode>General</c:formatCode>
                <c:ptCount val="3"/>
                <c:pt idx="0">
                  <c:v>10</c:v>
                </c:pt>
                <c:pt idx="1">
                  <c:v>3</c:v>
                </c:pt>
                <c:pt idx="2">
                  <c:v>3</c:v>
                </c:pt>
              </c:numCache>
            </c:numRef>
          </c:val>
          <c:extLst>
            <c:ext xmlns:c16="http://schemas.microsoft.com/office/drawing/2014/chart" uri="{C3380CC4-5D6E-409C-BE32-E72D297353CC}">
              <c16:uniqueId val="{00000001-0F8F-4630-B64C-4A176BD41FB3}"/>
            </c:ext>
          </c:extLst>
        </c:ser>
        <c:dLbls>
          <c:showLegendKey val="0"/>
          <c:showVal val="0"/>
          <c:showCatName val="0"/>
          <c:showSerName val="0"/>
          <c:showPercent val="0"/>
          <c:showBubbleSize val="0"/>
        </c:dLbls>
        <c:gapWidth val="150"/>
        <c:axId val="1684905744"/>
        <c:axId val="1"/>
      </c:barChart>
      <c:catAx>
        <c:axId val="168490574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68490574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lv-LV" sz="1200" b="1">
                <a:solidFill>
                  <a:schemeClr val="tx1"/>
                </a:solidFill>
                <a:latin typeface="Times New Roman" panose="02020603050405020304" pitchFamily="18" charset="0"/>
                <a:cs typeface="Times New Roman" panose="02020603050405020304" pitchFamily="18" charset="0"/>
              </a:rPr>
              <a:t>K</a:t>
            </a:r>
            <a:r>
              <a:rPr lang="lv-LV" sz="1200" b="1" baseline="0">
                <a:solidFill>
                  <a:schemeClr val="tx1"/>
                </a:solidFill>
                <a:latin typeface="Times New Roman" panose="02020603050405020304" pitchFamily="18" charset="0"/>
                <a:cs typeface="Times New Roman" panose="02020603050405020304" pitchFamily="18" charset="0"/>
              </a:rPr>
              <a:t>riminālprocesa apturēšana ar prokurora piekrišanu</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13575</c:v>
                </c:pt>
                <c:pt idx="1">
                  <c:v>19089</c:v>
                </c:pt>
                <c:pt idx="2">
                  <c:v>18310</c:v>
                </c:pt>
              </c:numCache>
            </c:numRef>
          </c:val>
          <c:extLst>
            <c:ext xmlns:c16="http://schemas.microsoft.com/office/drawing/2014/chart" uri="{C3380CC4-5D6E-409C-BE32-E72D297353CC}">
              <c16:uniqueId val="{00000000-5460-4BA7-9222-CD4D72E40712}"/>
            </c:ext>
          </c:extLst>
        </c:ser>
        <c:dLbls>
          <c:showLegendKey val="0"/>
          <c:showVal val="0"/>
          <c:showCatName val="0"/>
          <c:showSerName val="0"/>
          <c:showPercent val="0"/>
          <c:showBubbleSize val="0"/>
        </c:dLbls>
        <c:gapWidth val="219"/>
        <c:overlap val="-27"/>
        <c:axId val="583289160"/>
        <c:axId val="583294408"/>
      </c:barChart>
      <c:catAx>
        <c:axId val="58328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83294408"/>
        <c:crosses val="autoZero"/>
        <c:auto val="1"/>
        <c:lblAlgn val="ctr"/>
        <c:lblOffset val="100"/>
        <c:noMultiLvlLbl val="0"/>
      </c:catAx>
      <c:valAx>
        <c:axId val="58329440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83289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lv-LV" sz="1200" b="1" i="0" baseline="0">
                <a:solidFill>
                  <a:schemeClr val="tx1"/>
                </a:solidFill>
                <a:effectLst/>
                <a:latin typeface="Times New Roman" panose="02020603050405020304" pitchFamily="18" charset="0"/>
                <a:cs typeface="Times New Roman" panose="02020603050405020304" pitchFamily="18" charset="0"/>
              </a:rPr>
              <a:t>Tiesā attaisnoto apsūdzēto skaits </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3379225196850389"/>
          <c:y val="9.0821961734421211E-2"/>
        </c:manualLayout>
      </c:layout>
      <c:overlay val="0"/>
    </c:title>
    <c:autoTitleDeleted val="0"/>
    <c:plotArea>
      <c:layout>
        <c:manualLayout>
          <c:layoutTarget val="inner"/>
          <c:xMode val="edge"/>
          <c:yMode val="edge"/>
          <c:x val="2.7180861934242947E-2"/>
          <c:y val="0.36233013859692881"/>
          <c:w val="0.93342433630222454"/>
          <c:h val="0.45201339651548084"/>
        </c:manualLayout>
      </c:layout>
      <c:lineChart>
        <c:grouping val="standard"/>
        <c:varyColors val="0"/>
        <c:ser>
          <c:idx val="1"/>
          <c:order val="0"/>
          <c:tx>
            <c:strRef>
              <c:f>I_tiesas_apgabala_prok!$AK$6:$AK$8</c:f>
              <c:strCache>
                <c:ptCount val="3"/>
                <c:pt idx="0">
                  <c:v>2018</c:v>
                </c:pt>
                <c:pt idx="1">
                  <c:v>2019</c:v>
                </c:pt>
                <c:pt idx="2">
                  <c:v>2020</c:v>
                </c:pt>
              </c:strCache>
            </c:strRef>
          </c:tx>
          <c:marker>
            <c:symbol val="none"/>
          </c:marker>
          <c:dLbls>
            <c:dLbl>
              <c:idx val="0"/>
              <c:layout>
                <c:manualLayout>
                  <c:x val="-4.3076997054757468E-2"/>
                  <c:y val="-6.98179356539709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83-436A-BE8D-7E3F1E48E2A2}"/>
                </c:ext>
              </c:extLst>
            </c:dLbl>
            <c:dLbl>
              <c:idx val="1"/>
              <c:layout>
                <c:manualLayout>
                  <c:x val="-3.0505499789625534E-2"/>
                  <c:y val="-9.2005558128763321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4.0480855923543911E-2"/>
                      <c:h val="0.23499412120996188"/>
                    </c:manualLayout>
                  </c15:layout>
                </c:ext>
                <c:ext xmlns:c16="http://schemas.microsoft.com/office/drawing/2014/chart" uri="{C3380CC4-5D6E-409C-BE32-E72D297353CC}">
                  <c16:uniqueId val="{00000001-5583-436A-BE8D-7E3F1E48E2A2}"/>
                </c:ext>
              </c:extLst>
            </c:dLbl>
            <c:dLbl>
              <c:idx val="2"/>
              <c:layout>
                <c:manualLayout>
                  <c:x val="-2.6648073570956301E-2"/>
                  <c:y val="-0.1146299925179035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83-436A-BE8D-7E3F1E48E2A2}"/>
                </c:ext>
              </c:extLst>
            </c:dLbl>
            <c:spPr>
              <a:noFill/>
              <a:ln w="25388">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I_tiesas_apgabala_prok!$AL$6:$AL$8</c:f>
              <c:numCache>
                <c:formatCode>General</c:formatCode>
                <c:ptCount val="3"/>
                <c:pt idx="0">
                  <c:v>0</c:v>
                </c:pt>
                <c:pt idx="1">
                  <c:v>1</c:v>
                </c:pt>
                <c:pt idx="2">
                  <c:v>1</c:v>
                </c:pt>
              </c:numCache>
            </c:numRef>
          </c:val>
          <c:smooth val="0"/>
          <c:extLst>
            <c:ext xmlns:c16="http://schemas.microsoft.com/office/drawing/2014/chart" uri="{C3380CC4-5D6E-409C-BE32-E72D297353CC}">
              <c16:uniqueId val="{00000003-5583-436A-BE8D-7E3F1E48E2A2}"/>
            </c:ext>
          </c:extLst>
        </c:ser>
        <c:dLbls>
          <c:showLegendKey val="0"/>
          <c:showVal val="0"/>
          <c:showCatName val="0"/>
          <c:showSerName val="0"/>
          <c:showPercent val="0"/>
          <c:showBubbleSize val="0"/>
        </c:dLbls>
        <c:smooth val="0"/>
        <c:axId val="1693872336"/>
        <c:axId val="1"/>
      </c:lineChart>
      <c:catAx>
        <c:axId val="1693872336"/>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693872336"/>
        <c:crosses val="autoZero"/>
        <c:crossBetween val="between"/>
      </c:valAx>
      <c:spPr>
        <a:noFill/>
        <a:ln w="25400">
          <a:noFill/>
        </a:ln>
      </c:spPr>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200" baseline="0">
                <a:solidFill>
                  <a:schemeClr val="tx1"/>
                </a:solidFill>
                <a:latin typeface="Times New Roman" panose="02020603050405020304" pitchFamily="18" charset="0"/>
                <a:cs typeface="Times New Roman" panose="02020603050405020304" pitchFamily="18" charset="0"/>
              </a:defRPr>
            </a:pPr>
            <a:r>
              <a:rPr lang="lv-LV" sz="1200" b="1" i="0" baseline="0">
                <a:solidFill>
                  <a:schemeClr val="tx1"/>
                </a:solidFill>
                <a:effectLst/>
                <a:latin typeface="Times New Roman" panose="02020603050405020304" pitchFamily="18" charset="0"/>
                <a:cs typeface="Times New Roman" panose="02020603050405020304" pitchFamily="18" charset="0"/>
              </a:rPr>
              <a:t> Izlemtas sūdzības, no tām apmierinātas</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1856155627605373"/>
          <c:y val="5.2077283692139639E-2"/>
        </c:manualLayout>
      </c:layout>
      <c:overlay val="0"/>
    </c:title>
    <c:autoTitleDeleted val="0"/>
    <c:plotArea>
      <c:layout/>
      <c:barChart>
        <c:barDir val="col"/>
        <c:grouping val="clustered"/>
        <c:varyColors val="0"/>
        <c:ser>
          <c:idx val="1"/>
          <c:order val="0"/>
          <c:tx>
            <c:strRef>
              <c:f>I_tiesas_apgabala_prok!$AN$6:$AN$8</c:f>
              <c:strCache>
                <c:ptCount val="3"/>
                <c:pt idx="0">
                  <c:v>2018</c:v>
                </c:pt>
                <c:pt idx="1">
                  <c:v>2019</c:v>
                </c:pt>
                <c:pt idx="2">
                  <c:v>2020</c:v>
                </c:pt>
              </c:strCache>
            </c:strRef>
          </c:tx>
          <c:spPr>
            <a:solidFill>
              <a:schemeClr val="accent5">
                <a:lumMod val="60000"/>
                <a:lumOff val="40000"/>
              </a:schemeClr>
            </a:solidFill>
          </c:spPr>
          <c:invertIfNegative val="0"/>
          <c:dLbls>
            <c:spPr>
              <a:noFill/>
              <a:ln w="25388">
                <a:noFill/>
              </a:ln>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I_tiesas_apgabala_prok!$AO$6:$AO$8</c:f>
              <c:numCache>
                <c:formatCode>General</c:formatCode>
                <c:ptCount val="3"/>
                <c:pt idx="0">
                  <c:v>107</c:v>
                </c:pt>
                <c:pt idx="1">
                  <c:v>115</c:v>
                </c:pt>
                <c:pt idx="2">
                  <c:v>124</c:v>
                </c:pt>
              </c:numCache>
            </c:numRef>
          </c:val>
          <c:extLst>
            <c:ext xmlns:c16="http://schemas.microsoft.com/office/drawing/2014/chart" uri="{C3380CC4-5D6E-409C-BE32-E72D297353CC}">
              <c16:uniqueId val="{00000000-BE24-4A9E-A7AA-DA353BA292BB}"/>
            </c:ext>
          </c:extLst>
        </c:ser>
        <c:ser>
          <c:idx val="0"/>
          <c:order val="1"/>
          <c:tx>
            <c:strRef>
              <c:f>I_tiesas_apgabala_prok!$AN$6:$AN$8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I_tiesas_apgabala_prok!$E$5:$E$7</c:f>
              <c:numCache>
                <c:formatCode>General</c:formatCode>
                <c:ptCount val="3"/>
                <c:pt idx="0">
                  <c:v>2018</c:v>
                </c:pt>
                <c:pt idx="1">
                  <c:v>2019</c:v>
                </c:pt>
                <c:pt idx="2">
                  <c:v>2020</c:v>
                </c:pt>
              </c:numCache>
            </c:numRef>
          </c:cat>
          <c:val>
            <c:numRef>
              <c:f>I_tiesas_apgabala_prok!$AP$6:$AP$8</c:f>
              <c:numCache>
                <c:formatCode>General</c:formatCode>
                <c:ptCount val="3"/>
                <c:pt idx="0">
                  <c:v>6</c:v>
                </c:pt>
                <c:pt idx="1">
                  <c:v>9</c:v>
                </c:pt>
                <c:pt idx="2">
                  <c:v>16</c:v>
                </c:pt>
              </c:numCache>
            </c:numRef>
          </c:val>
          <c:extLst>
            <c:ext xmlns:c16="http://schemas.microsoft.com/office/drawing/2014/chart" uri="{C3380CC4-5D6E-409C-BE32-E72D297353CC}">
              <c16:uniqueId val="{00000001-BE24-4A9E-A7AA-DA353BA292BB}"/>
            </c:ext>
          </c:extLst>
        </c:ser>
        <c:dLbls>
          <c:showLegendKey val="0"/>
          <c:showVal val="0"/>
          <c:showCatName val="0"/>
          <c:showSerName val="0"/>
          <c:showPercent val="0"/>
          <c:showBubbleSize val="0"/>
        </c:dLbls>
        <c:gapWidth val="150"/>
        <c:axId val="1693872336"/>
        <c:axId val="1"/>
      </c:barChart>
      <c:catAx>
        <c:axId val="1693872336"/>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1"/>
        <c:axPos val="l"/>
        <c:majorGridlines/>
        <c:numFmt formatCode="General" sourceLinked="1"/>
        <c:majorTickMark val="out"/>
        <c:minorTickMark val="none"/>
        <c:tickLblPos val="nextTo"/>
        <c:crossAx val="1693872336"/>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a:t> </a:t>
            </a:r>
            <a:r>
              <a:rPr lang="lv-LV" sz="1200"/>
              <a:t>Kriminālvajāšanai saņemti kriminālprocesi</a:t>
            </a:r>
          </a:p>
        </c:rich>
      </c:tx>
      <c:layout>
        <c:manualLayout>
          <c:xMode val="edge"/>
          <c:yMode val="edge"/>
          <c:x val="0.24837687691865373"/>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8.5549683683783934E-2"/>
          <c:y val="0.17582402302381606"/>
          <c:w val="0.89348545968887272"/>
          <c:h val="0.60058270950217474"/>
        </c:manualLayout>
      </c:layout>
      <c:barChart>
        <c:barDir val="col"/>
        <c:grouping val="clustered"/>
        <c:varyColors val="0"/>
        <c:ser>
          <c:idx val="1"/>
          <c:order val="0"/>
          <c:tx>
            <c:strRef>
              <c:f>II_Rajona_prok!$D$4</c:f>
              <c:strCache>
                <c:ptCount val="1"/>
                <c:pt idx="0">
                  <c:v>2019</c:v>
                </c:pt>
              </c:strCache>
            </c:strRef>
          </c:tx>
          <c:spPr>
            <a:solidFill>
              <a:schemeClr val="accent3"/>
            </a:solidFill>
            <a:ln w="6350" cap="flat" cmpd="sng" algn="ctr">
              <a:solidFill>
                <a:schemeClr val="accent1">
                  <a:shade val="50000"/>
                </a:schemeClr>
              </a:solidFill>
              <a:prstDash val="solid"/>
              <a:round/>
            </a:ln>
            <a:effectLst/>
          </c:spPr>
          <c:invertIfNegative val="0"/>
          <c:dLbls>
            <c:dLbl>
              <c:idx val="2"/>
              <c:layout>
                <c:manualLayout>
                  <c:x val="0"/>
                  <c:y val="2.0533880903490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DF9-42D9-8C51-E78893E34497}"/>
                </c:ext>
              </c:extLst>
            </c:dLbl>
            <c:spPr>
              <a:noFill/>
              <a:ln w="25388">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II_Rajona_prok!$B$5:$B$9</c:f>
              <c:strCache>
                <c:ptCount val="5"/>
                <c:pt idx="0">
                  <c:v>Liepājas prok.</c:v>
                </c:pt>
                <c:pt idx="1">
                  <c:v>Ventspils prok.</c:v>
                </c:pt>
                <c:pt idx="2">
                  <c:v>Kuldīgas raj. prok.</c:v>
                </c:pt>
                <c:pt idx="3">
                  <c:v>Saldus raj. prok.</c:v>
                </c:pt>
                <c:pt idx="4">
                  <c:v>Talsu raj. prok.</c:v>
                </c:pt>
              </c:strCache>
            </c:strRef>
          </c:cat>
          <c:val>
            <c:numRef>
              <c:f>II_Rajona_prok!$D$5:$D$9</c:f>
              <c:numCache>
                <c:formatCode>General</c:formatCode>
                <c:ptCount val="5"/>
                <c:pt idx="0">
                  <c:v>577</c:v>
                </c:pt>
                <c:pt idx="1">
                  <c:v>176</c:v>
                </c:pt>
                <c:pt idx="2">
                  <c:v>158</c:v>
                </c:pt>
                <c:pt idx="3">
                  <c:v>167</c:v>
                </c:pt>
                <c:pt idx="4">
                  <c:v>196</c:v>
                </c:pt>
              </c:numCache>
            </c:numRef>
          </c:val>
          <c:extLst>
            <c:ext xmlns:c16="http://schemas.microsoft.com/office/drawing/2014/chart" uri="{C3380CC4-5D6E-409C-BE32-E72D297353CC}">
              <c16:uniqueId val="{00000000-B309-415D-B641-6FBEE7982284}"/>
            </c:ext>
          </c:extLst>
        </c:ser>
        <c:ser>
          <c:idx val="2"/>
          <c:order val="1"/>
          <c:tx>
            <c:strRef>
              <c:f>II_Rajona_prok!$E$4</c:f>
              <c:strCache>
                <c:ptCount val="1"/>
                <c:pt idx="0">
                  <c:v>2020</c:v>
                </c:pt>
              </c:strCache>
            </c:strRef>
          </c:tx>
          <c:spPr>
            <a:solidFill>
              <a:schemeClr val="accent5"/>
            </a:solidFill>
            <a:ln w="6350" cap="flat" cmpd="sng" algn="ctr">
              <a:solidFill>
                <a:schemeClr val="accent1">
                  <a:shade val="50000"/>
                </a:schemeClr>
              </a:solidFill>
              <a:prstDash val="solid"/>
              <a:round/>
            </a:ln>
            <a:effectLst/>
          </c:spPr>
          <c:invertIfNegative val="0"/>
          <c:dLbls>
            <c:dLbl>
              <c:idx val="0"/>
              <c:layout>
                <c:manualLayout>
                  <c:x val="0"/>
                  <c:y val="1.8480492813141687E-2"/>
                </c:manualLayout>
              </c:layout>
              <c:spPr>
                <a:noFill/>
                <a:ln w="25388">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5.0480769230769232E-2"/>
                      <c:h val="6.7761806981519512E-2"/>
                    </c:manualLayout>
                  </c15:layout>
                </c:ext>
                <c:ext xmlns:c16="http://schemas.microsoft.com/office/drawing/2014/chart" uri="{C3380CC4-5D6E-409C-BE32-E72D297353CC}">
                  <c16:uniqueId val="{00000006-2DF9-42D9-8C51-E78893E34497}"/>
                </c:ext>
              </c:extLst>
            </c:dLbl>
            <c:dLbl>
              <c:idx val="1"/>
              <c:layout>
                <c:manualLayout>
                  <c:x val="0"/>
                  <c:y val="1.6427104722792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DF9-42D9-8C51-E78893E34497}"/>
                </c:ext>
              </c:extLst>
            </c:dLbl>
            <c:dLbl>
              <c:idx val="2"/>
              <c:layout>
                <c:manualLayout>
                  <c:x val="-8.8140007440138411E-17"/>
                  <c:y val="2.0533880903490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DF9-42D9-8C51-E78893E34497}"/>
                </c:ext>
              </c:extLst>
            </c:dLbl>
            <c:dLbl>
              <c:idx val="3"/>
              <c:layout>
                <c:manualLayout>
                  <c:x val="2.403846153846154E-3"/>
                  <c:y val="1.232032854209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DF9-42D9-8C51-E78893E34497}"/>
                </c:ext>
              </c:extLst>
            </c:dLbl>
            <c:spPr>
              <a:noFill/>
              <a:ln w="25388">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II_Rajona_prok!$E$5:$E$9</c:f>
              <c:numCache>
                <c:formatCode>General</c:formatCode>
                <c:ptCount val="5"/>
                <c:pt idx="0">
                  <c:v>467</c:v>
                </c:pt>
                <c:pt idx="1">
                  <c:v>166</c:v>
                </c:pt>
                <c:pt idx="2">
                  <c:v>149</c:v>
                </c:pt>
                <c:pt idx="3">
                  <c:v>144</c:v>
                </c:pt>
                <c:pt idx="4">
                  <c:v>211</c:v>
                </c:pt>
              </c:numCache>
            </c:numRef>
          </c:val>
          <c:extLst>
            <c:ext xmlns:c16="http://schemas.microsoft.com/office/drawing/2014/chart" uri="{C3380CC4-5D6E-409C-BE32-E72D297353CC}">
              <c16:uniqueId val="{00000001-B309-415D-B641-6FBEE7982284}"/>
            </c:ext>
          </c:extLst>
        </c:ser>
        <c:dLbls>
          <c:showLegendKey val="0"/>
          <c:showVal val="0"/>
          <c:showCatName val="0"/>
          <c:showSerName val="0"/>
          <c:showPercent val="0"/>
          <c:showBubbleSize val="0"/>
        </c:dLbls>
        <c:gapWidth val="150"/>
        <c:axId val="1693873536"/>
        <c:axId val="1"/>
      </c:barChart>
      <c:catAx>
        <c:axId val="1693873536"/>
        <c:scaling>
          <c:orientation val="minMax"/>
        </c:scaling>
        <c:delete val="0"/>
        <c:axPos val="b"/>
        <c:numFmt formatCode="General" sourceLinked="0"/>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0"/>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693873536"/>
        <c:crosses val="autoZero"/>
        <c:crossBetween val="between"/>
      </c:valAx>
      <c:dTable>
        <c:showHorzBorder val="1"/>
        <c:showVertBorder val="1"/>
        <c:showOutline val="1"/>
        <c:showKeys val="1"/>
        <c:spPr>
          <a:noFill/>
          <a:ln w="6350" cap="flat" cmpd="sng" algn="ctr">
            <a:solidFill>
              <a:schemeClr val="dk1">
                <a:tint val="75000"/>
              </a:schemeClr>
            </a:solidFill>
            <a:prstDash val="solid"/>
            <a:round/>
          </a:ln>
          <a:effectLst/>
        </c:spPr>
        <c:txPr>
          <a:bodyPr rot="0" spcFirstLastPara="1" vertOverflow="ellipsis" vert="horz" wrap="square" anchor="ctr" anchorCtr="1"/>
          <a:lstStyle/>
          <a:p>
            <a:pPr rtl="0">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Table>
      <c:spPr>
        <a:solidFill>
          <a:schemeClr val="accent1">
            <a:tint val="20000"/>
          </a:schemeClr>
        </a:solidFill>
        <a:ln>
          <a:noFill/>
        </a:ln>
        <a:effectLst/>
      </c:spPr>
    </c:plotArea>
    <c:plotVisOnly val="1"/>
    <c:dispBlanksAs val="gap"/>
    <c:showDLblsOverMax val="0"/>
  </c:chart>
  <c:spPr>
    <a:solidFill>
      <a:schemeClr val="bg1">
        <a:lumMod val="85000"/>
      </a:schemeClr>
    </a:solidFill>
    <a:ln w="6350" cap="flat" cmpd="sng" algn="ctr">
      <a:solidFill>
        <a:srgbClr val="7030A0">
          <a:alpha val="79000"/>
        </a:srgbClr>
      </a:solidFill>
      <a:prstDash val="solid"/>
      <a:round/>
    </a:ln>
    <a:effectLst/>
  </c:spPr>
  <c:txPr>
    <a:bodyPr/>
    <a:lstStyle/>
    <a:p>
      <a:pPr>
        <a:defRPr b="1" baseline="0">
          <a:solidFill>
            <a:schemeClr val="tx1"/>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lgn="ctr">
              <a:defRPr sz="1198"/>
            </a:pPr>
            <a:r>
              <a:rPr lang="lv-LV" sz="1200" baseline="0">
                <a:solidFill>
                  <a:schemeClr val="tx1"/>
                </a:solidFill>
              </a:rPr>
              <a:t>Paātrinātā procesa kārtībā kriminālvajāšanai saņemti kriminālprocesi, no tiem šī procesa kārtībā tiesai nodotas krimināllietas  </a:t>
            </a:r>
          </a:p>
        </c:rich>
      </c:tx>
      <c:layout>
        <c:manualLayout>
          <c:xMode val="edge"/>
          <c:yMode val="edge"/>
          <c:x val="0.12205804061726326"/>
          <c:y val="1.748424215052919E-2"/>
        </c:manualLayout>
      </c:layout>
      <c:overlay val="0"/>
    </c:title>
    <c:autoTitleDeleted val="0"/>
    <c:plotArea>
      <c:layout>
        <c:manualLayout>
          <c:layoutTarget val="inner"/>
          <c:xMode val="edge"/>
          <c:yMode val="edge"/>
          <c:x val="3.5469831586359933E-2"/>
          <c:y val="0.2620959037423693"/>
          <c:w val="0.83843388378249051"/>
          <c:h val="0.56927983721135977"/>
        </c:manualLayout>
      </c:layout>
      <c:barChart>
        <c:barDir val="col"/>
        <c:grouping val="clustered"/>
        <c:varyColors val="0"/>
        <c:ser>
          <c:idx val="2"/>
          <c:order val="0"/>
          <c:tx>
            <c:strRef>
              <c:f>II_Rajona_prok!$J$4</c:f>
              <c:strCache>
                <c:ptCount val="1"/>
                <c:pt idx="0">
                  <c:v>2019</c:v>
                </c:pt>
              </c:strCache>
            </c:strRef>
          </c:tx>
          <c:invertIfNegative val="0"/>
          <c:dLbls>
            <c:spPr>
              <a:noFill/>
              <a:ln w="2536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II_Rajona_prok!$G$5:$G$9</c:f>
              <c:strCache>
                <c:ptCount val="5"/>
                <c:pt idx="0">
                  <c:v>Liepājas prok.</c:v>
                </c:pt>
                <c:pt idx="1">
                  <c:v>Ventspils prok.</c:v>
                </c:pt>
                <c:pt idx="2">
                  <c:v>Kuldīgas raj. prok.</c:v>
                </c:pt>
                <c:pt idx="3">
                  <c:v>Saldus raj. prok.</c:v>
                </c:pt>
                <c:pt idx="4">
                  <c:v>Talsu raj. prok.</c:v>
                </c:pt>
              </c:strCache>
            </c:strRef>
          </c:cat>
          <c:val>
            <c:numRef>
              <c:f>II_Rajona_prok!$J$5:$J$9</c:f>
              <c:numCache>
                <c:formatCode>General</c:formatCode>
                <c:ptCount val="5"/>
                <c:pt idx="0">
                  <c:v>156</c:v>
                </c:pt>
                <c:pt idx="1">
                  <c:v>84</c:v>
                </c:pt>
                <c:pt idx="2">
                  <c:v>63</c:v>
                </c:pt>
                <c:pt idx="3">
                  <c:v>82</c:v>
                </c:pt>
                <c:pt idx="4">
                  <c:v>68</c:v>
                </c:pt>
              </c:numCache>
            </c:numRef>
          </c:val>
          <c:extLst>
            <c:ext xmlns:c16="http://schemas.microsoft.com/office/drawing/2014/chart" uri="{C3380CC4-5D6E-409C-BE32-E72D297353CC}">
              <c16:uniqueId val="{00000000-C92C-4E77-ADEE-A628C4963F72}"/>
            </c:ext>
          </c:extLst>
        </c:ser>
        <c:ser>
          <c:idx val="3"/>
          <c:order val="1"/>
          <c:tx>
            <c:strRef>
              <c:f>II_Rajona_prok!$J$4</c:f>
              <c:strCache>
                <c:ptCount val="1"/>
                <c:pt idx="0">
                  <c:v>2019</c:v>
                </c:pt>
              </c:strCache>
            </c:strRef>
          </c:tx>
          <c:invertIfNegative val="0"/>
          <c:dLbls>
            <c:spPr>
              <a:noFill/>
              <a:ln w="2536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II_Rajona_prok!$G$5:$G$9</c:f>
              <c:strCache>
                <c:ptCount val="5"/>
                <c:pt idx="0">
                  <c:v>Liepājas prok.</c:v>
                </c:pt>
                <c:pt idx="1">
                  <c:v>Ventspils prok.</c:v>
                </c:pt>
                <c:pt idx="2">
                  <c:v>Kuldīgas raj. prok.</c:v>
                </c:pt>
                <c:pt idx="3">
                  <c:v>Saldus raj. prok.</c:v>
                </c:pt>
                <c:pt idx="4">
                  <c:v>Talsu raj. prok.</c:v>
                </c:pt>
              </c:strCache>
            </c:strRef>
          </c:cat>
          <c:val>
            <c:numRef>
              <c:f>II_Rajona_prok!$K$5:$K$9</c:f>
              <c:numCache>
                <c:formatCode>General</c:formatCode>
                <c:ptCount val="5"/>
                <c:pt idx="0">
                  <c:v>111</c:v>
                </c:pt>
                <c:pt idx="1">
                  <c:v>52</c:v>
                </c:pt>
                <c:pt idx="2">
                  <c:v>13</c:v>
                </c:pt>
                <c:pt idx="3">
                  <c:v>70</c:v>
                </c:pt>
                <c:pt idx="4">
                  <c:v>56</c:v>
                </c:pt>
              </c:numCache>
            </c:numRef>
          </c:val>
          <c:extLst>
            <c:ext xmlns:c16="http://schemas.microsoft.com/office/drawing/2014/chart" uri="{C3380CC4-5D6E-409C-BE32-E72D297353CC}">
              <c16:uniqueId val="{00000001-C92C-4E77-ADEE-A628C4963F72}"/>
            </c:ext>
          </c:extLst>
        </c:ser>
        <c:ser>
          <c:idx val="4"/>
          <c:order val="2"/>
          <c:tx>
            <c:strRef>
              <c:f>II_Rajona_prok!$L$4</c:f>
              <c:strCache>
                <c:ptCount val="1"/>
                <c:pt idx="0">
                  <c:v>2020</c:v>
                </c:pt>
              </c:strCache>
            </c:strRef>
          </c:tx>
          <c:invertIfNegative val="0"/>
          <c:dLbls>
            <c:dLbl>
              <c:idx val="0"/>
              <c:spPr>
                <a:noFill/>
                <a:ln w="25369">
                  <a:noFill/>
                </a:ln>
              </c:spPr>
              <c:txPr>
                <a:bodyPr vertOverflow="overflow" horzOverflow="overflow"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extLst>
                <c:ext xmlns:c16="http://schemas.microsoft.com/office/drawing/2014/chart" uri="{C3380CC4-5D6E-409C-BE32-E72D297353CC}">
                  <c16:uniqueId val="{00000002-C92C-4E77-ADEE-A628C4963F72}"/>
                </c:ext>
              </c:extLst>
            </c:dLbl>
            <c:spPr>
              <a:noFill/>
              <a:ln w="2536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II_Rajona_prok!$L$5:$L$9</c:f>
              <c:numCache>
                <c:formatCode>General</c:formatCode>
                <c:ptCount val="5"/>
                <c:pt idx="0">
                  <c:v>121</c:v>
                </c:pt>
                <c:pt idx="1">
                  <c:v>53</c:v>
                </c:pt>
                <c:pt idx="2">
                  <c:v>39</c:v>
                </c:pt>
                <c:pt idx="3">
                  <c:v>47</c:v>
                </c:pt>
                <c:pt idx="4">
                  <c:v>55</c:v>
                </c:pt>
              </c:numCache>
            </c:numRef>
          </c:val>
          <c:extLst>
            <c:ext xmlns:c16="http://schemas.microsoft.com/office/drawing/2014/chart" uri="{C3380CC4-5D6E-409C-BE32-E72D297353CC}">
              <c16:uniqueId val="{00000007-C92C-4E77-ADEE-A628C4963F72}"/>
            </c:ext>
          </c:extLst>
        </c:ser>
        <c:ser>
          <c:idx val="5"/>
          <c:order val="3"/>
          <c:tx>
            <c:strRef>
              <c:f>II_Rajona_prok!$L$4</c:f>
              <c:strCache>
                <c:ptCount val="1"/>
                <c:pt idx="0">
                  <c:v>2020</c:v>
                </c:pt>
              </c:strCache>
            </c:strRef>
          </c:tx>
          <c:invertIfNegative val="0"/>
          <c:dLbls>
            <c:spPr>
              <a:noFill/>
              <a:ln w="2536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II_Rajona_prok!$M$5:$M$9</c:f>
              <c:numCache>
                <c:formatCode>General</c:formatCode>
                <c:ptCount val="5"/>
                <c:pt idx="0">
                  <c:v>69</c:v>
                </c:pt>
                <c:pt idx="1">
                  <c:v>41</c:v>
                </c:pt>
                <c:pt idx="2">
                  <c:v>11</c:v>
                </c:pt>
                <c:pt idx="3">
                  <c:v>30</c:v>
                </c:pt>
                <c:pt idx="4">
                  <c:v>39</c:v>
                </c:pt>
              </c:numCache>
            </c:numRef>
          </c:val>
          <c:extLst>
            <c:ext xmlns:c16="http://schemas.microsoft.com/office/drawing/2014/chart" uri="{C3380CC4-5D6E-409C-BE32-E72D297353CC}">
              <c16:uniqueId val="{00000008-C92C-4E77-ADEE-A628C4963F72}"/>
            </c:ext>
          </c:extLst>
        </c:ser>
        <c:dLbls>
          <c:showLegendKey val="0"/>
          <c:showVal val="0"/>
          <c:showCatName val="0"/>
          <c:showSerName val="0"/>
          <c:showPercent val="0"/>
          <c:showBubbleSize val="0"/>
        </c:dLbls>
        <c:gapWidth val="150"/>
        <c:axId val="1693873536"/>
        <c:axId val="1"/>
      </c:barChart>
      <c:catAx>
        <c:axId val="169387353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69387353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baseline="0">
          <a:solidFill>
            <a:schemeClr val="tx2"/>
          </a:solidFill>
          <a:latin typeface="Times New Roman" panose="02020603050405020304" pitchFamily="18" charset="0"/>
        </a:defRPr>
      </a:pPr>
      <a:endParaRPr lang="lv-LV"/>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lgn="ctr">
              <a:defRPr sz="1399"/>
            </a:pPr>
            <a:r>
              <a:rPr lang="lv-LV" sz="1200">
                <a:solidFill>
                  <a:schemeClr val="tx1"/>
                </a:solidFill>
              </a:rPr>
              <a:t>Tiesai nodotas krimināllietas, no </a:t>
            </a:r>
            <a:r>
              <a:rPr lang="lv-LV" sz="1200" baseline="0">
                <a:solidFill>
                  <a:schemeClr val="tx1"/>
                </a:solidFill>
              </a:rPr>
              <a:t>tām</a:t>
            </a:r>
            <a:r>
              <a:rPr lang="lv-LV" sz="1200">
                <a:solidFill>
                  <a:schemeClr val="tx1"/>
                </a:solidFill>
              </a:rPr>
              <a:t> vienošanās procesa kārtībā</a:t>
            </a:r>
          </a:p>
        </c:rich>
      </c:tx>
      <c:layout>
        <c:manualLayout>
          <c:xMode val="edge"/>
          <c:yMode val="edge"/>
          <c:x val="0.10078907097743524"/>
          <c:y val="4.7189911904576283E-2"/>
        </c:manualLayout>
      </c:layout>
      <c:overlay val="0"/>
    </c:title>
    <c:autoTitleDeleted val="0"/>
    <c:plotArea>
      <c:layout>
        <c:manualLayout>
          <c:layoutTarget val="inner"/>
          <c:xMode val="edge"/>
          <c:yMode val="edge"/>
          <c:x val="7.2133366141732283E-2"/>
          <c:y val="0.19374117647058822"/>
          <c:w val="0.8005409600242277"/>
          <c:h val="0.64148179712830022"/>
        </c:manualLayout>
      </c:layout>
      <c:barChart>
        <c:barDir val="col"/>
        <c:grouping val="clustered"/>
        <c:varyColors val="0"/>
        <c:ser>
          <c:idx val="2"/>
          <c:order val="0"/>
          <c:tx>
            <c:strRef>
              <c:f>II_Rajona_prok!$R$4</c:f>
              <c:strCache>
                <c:ptCount val="1"/>
                <c:pt idx="0">
                  <c:v>2019</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II_Rajona_prok!$O$5:$O$9</c:f>
              <c:strCache>
                <c:ptCount val="5"/>
                <c:pt idx="0">
                  <c:v>Liepājas prok.</c:v>
                </c:pt>
                <c:pt idx="1">
                  <c:v>Ventspils prok.</c:v>
                </c:pt>
                <c:pt idx="2">
                  <c:v>Kuldīgas raj. prok.</c:v>
                </c:pt>
                <c:pt idx="3">
                  <c:v>Saldus raj. prok.</c:v>
                </c:pt>
                <c:pt idx="4">
                  <c:v>Talsu raj. prok.</c:v>
                </c:pt>
              </c:strCache>
            </c:strRef>
          </c:cat>
          <c:val>
            <c:numRef>
              <c:f>II_Rajona_prok!$R$5:$R$9</c:f>
              <c:numCache>
                <c:formatCode>General</c:formatCode>
                <c:ptCount val="5"/>
                <c:pt idx="0">
                  <c:v>431</c:v>
                </c:pt>
                <c:pt idx="1">
                  <c:v>176</c:v>
                </c:pt>
                <c:pt idx="2">
                  <c:v>123</c:v>
                </c:pt>
                <c:pt idx="3">
                  <c:v>143</c:v>
                </c:pt>
                <c:pt idx="4">
                  <c:v>173</c:v>
                </c:pt>
              </c:numCache>
            </c:numRef>
          </c:val>
          <c:extLst>
            <c:ext xmlns:c16="http://schemas.microsoft.com/office/drawing/2014/chart" uri="{C3380CC4-5D6E-409C-BE32-E72D297353CC}">
              <c16:uniqueId val="{00000000-2A7C-484F-A983-BD20C9F7A8B9}"/>
            </c:ext>
          </c:extLst>
        </c:ser>
        <c:ser>
          <c:idx val="3"/>
          <c:order val="1"/>
          <c:tx>
            <c:strRef>
              <c:f>II_Rajona_prok!$R$4</c:f>
              <c:strCache>
                <c:ptCount val="1"/>
                <c:pt idx="0">
                  <c:v>2019</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II_Rajona_prok!$O$5:$O$9</c:f>
              <c:strCache>
                <c:ptCount val="5"/>
                <c:pt idx="0">
                  <c:v>Liepājas prok.</c:v>
                </c:pt>
                <c:pt idx="1">
                  <c:v>Ventspils prok.</c:v>
                </c:pt>
                <c:pt idx="2">
                  <c:v>Kuldīgas raj. prok.</c:v>
                </c:pt>
                <c:pt idx="3">
                  <c:v>Saldus raj. prok.</c:v>
                </c:pt>
                <c:pt idx="4">
                  <c:v>Talsu raj. prok.</c:v>
                </c:pt>
              </c:strCache>
            </c:strRef>
          </c:cat>
          <c:val>
            <c:numRef>
              <c:f>II_Rajona_prok!$S$5:$S$9</c:f>
              <c:numCache>
                <c:formatCode>General</c:formatCode>
                <c:ptCount val="5"/>
                <c:pt idx="0">
                  <c:v>50</c:v>
                </c:pt>
                <c:pt idx="1">
                  <c:v>3</c:v>
                </c:pt>
                <c:pt idx="2">
                  <c:v>42</c:v>
                </c:pt>
                <c:pt idx="3">
                  <c:v>7</c:v>
                </c:pt>
                <c:pt idx="4">
                  <c:v>11</c:v>
                </c:pt>
              </c:numCache>
            </c:numRef>
          </c:val>
          <c:extLst>
            <c:ext xmlns:c16="http://schemas.microsoft.com/office/drawing/2014/chart" uri="{C3380CC4-5D6E-409C-BE32-E72D297353CC}">
              <c16:uniqueId val="{00000001-2A7C-484F-A983-BD20C9F7A8B9}"/>
            </c:ext>
          </c:extLst>
        </c:ser>
        <c:ser>
          <c:idx val="4"/>
          <c:order val="2"/>
          <c:tx>
            <c:v>2020</c:v>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II_Rajona_prok!$T$5:$T$9</c:f>
              <c:numCache>
                <c:formatCode>General</c:formatCode>
                <c:ptCount val="5"/>
                <c:pt idx="0">
                  <c:v>328</c:v>
                </c:pt>
                <c:pt idx="1">
                  <c:v>166</c:v>
                </c:pt>
                <c:pt idx="2">
                  <c:v>112</c:v>
                </c:pt>
                <c:pt idx="3">
                  <c:v>91</c:v>
                </c:pt>
                <c:pt idx="4">
                  <c:v>178</c:v>
                </c:pt>
              </c:numCache>
            </c:numRef>
          </c:val>
          <c:extLst>
            <c:ext xmlns:c16="http://schemas.microsoft.com/office/drawing/2014/chart" uri="{C3380CC4-5D6E-409C-BE32-E72D297353CC}">
              <c16:uniqueId val="{00000002-2A7C-484F-A983-BD20C9F7A8B9}"/>
            </c:ext>
          </c:extLst>
        </c:ser>
        <c:ser>
          <c:idx val="5"/>
          <c:order val="3"/>
          <c:tx>
            <c:strRef>
              <c:f>II_Rajona_prok!$T$4</c:f>
              <c:strCache>
                <c:ptCount val="1"/>
                <c:pt idx="0">
                  <c:v>2020</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II_Rajona_prok!$U$5:$U$9</c:f>
              <c:numCache>
                <c:formatCode>General</c:formatCode>
                <c:ptCount val="5"/>
                <c:pt idx="0">
                  <c:v>69</c:v>
                </c:pt>
                <c:pt idx="1">
                  <c:v>3</c:v>
                </c:pt>
                <c:pt idx="2">
                  <c:v>29</c:v>
                </c:pt>
                <c:pt idx="3">
                  <c:v>9</c:v>
                </c:pt>
                <c:pt idx="4">
                  <c:v>13</c:v>
                </c:pt>
              </c:numCache>
            </c:numRef>
          </c:val>
          <c:extLst>
            <c:ext xmlns:c16="http://schemas.microsoft.com/office/drawing/2014/chart" uri="{C3380CC4-5D6E-409C-BE32-E72D297353CC}">
              <c16:uniqueId val="{00000003-2A7C-484F-A983-BD20C9F7A8B9}"/>
            </c:ext>
          </c:extLst>
        </c:ser>
        <c:dLbls>
          <c:showLegendKey val="0"/>
          <c:showVal val="0"/>
          <c:showCatName val="0"/>
          <c:showSerName val="0"/>
          <c:showPercent val="0"/>
          <c:showBubbleSize val="0"/>
        </c:dLbls>
        <c:gapWidth val="150"/>
        <c:axId val="1695166880"/>
        <c:axId val="1"/>
      </c:barChart>
      <c:catAx>
        <c:axId val="1695166880"/>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695166880"/>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 Prokuratūrā pabeigti kriminālprocesi ar prokurora priekšrakstu par sodu</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0.12492182768019384"/>
          <c:y val="0.28755905511811025"/>
          <c:w val="0.85344355693519081"/>
          <c:h val="0.38989521979043956"/>
        </c:manualLayout>
      </c:layout>
      <c:barChart>
        <c:barDir val="col"/>
        <c:grouping val="clustered"/>
        <c:varyColors val="0"/>
        <c:ser>
          <c:idx val="1"/>
          <c:order val="0"/>
          <c:tx>
            <c:strRef>
              <c:f>II_Rajona_prok!$Y$4</c:f>
              <c:strCache>
                <c:ptCount val="1"/>
                <c:pt idx="0">
                  <c:v>2019</c:v>
                </c:pt>
              </c:strCache>
            </c:strRef>
          </c:tx>
          <c:spPr>
            <a:solidFill>
              <a:schemeClr val="accent3"/>
            </a:solidFill>
            <a:ln w="6350" cap="flat" cmpd="sng" algn="ctr">
              <a:solidFill>
                <a:schemeClr val="accent1">
                  <a:shade val="50000"/>
                </a:schemeClr>
              </a:solidFill>
              <a:prstDash val="solid"/>
              <a:round/>
            </a:ln>
            <a:effectLst/>
          </c:spPr>
          <c:invertIfNegative val="0"/>
          <c:dLbls>
            <c:dLbl>
              <c:idx val="4"/>
              <c:layout>
                <c:manualLayout>
                  <c:x val="-3.6057692307692301E-3"/>
                  <c:y val="8.9980366627399819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403846153846154E-2"/>
                      <c:h val="7.6115485564304461E-2"/>
                    </c:manualLayout>
                  </c15:layout>
                </c:ext>
                <c:ext xmlns:c16="http://schemas.microsoft.com/office/drawing/2014/chart" uri="{C3380CC4-5D6E-409C-BE32-E72D297353CC}">
                  <c16:uniqueId val="{00000004-05B4-4D60-A1B7-E133AB2F7264}"/>
                </c:ext>
              </c:extLst>
            </c:dLbl>
            <c:spPr>
              <a:noFill/>
              <a:ln w="25388">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dk1"/>
                      </a:solidFill>
                      <a:prstDash val="solid"/>
                      <a:round/>
                    </a:ln>
                    <a:effectLst/>
                  </c:spPr>
                </c15:leaderLines>
              </c:ext>
            </c:extLst>
          </c:dLbls>
          <c:cat>
            <c:strRef>
              <c:f>II_Rajona_prok!$W$5:$W$9</c:f>
              <c:strCache>
                <c:ptCount val="5"/>
                <c:pt idx="0">
                  <c:v>Liepājas prok.</c:v>
                </c:pt>
                <c:pt idx="1">
                  <c:v>Ventspils prok.</c:v>
                </c:pt>
                <c:pt idx="2">
                  <c:v>Kuldīgas raj. prok.</c:v>
                </c:pt>
                <c:pt idx="3">
                  <c:v>Saldus raj. prok.</c:v>
                </c:pt>
                <c:pt idx="4">
                  <c:v>Talsu raj. prok.</c:v>
                </c:pt>
              </c:strCache>
            </c:strRef>
          </c:cat>
          <c:val>
            <c:numRef>
              <c:f>II_Rajona_prok!$Y$5:$Y$9</c:f>
              <c:numCache>
                <c:formatCode>General</c:formatCode>
                <c:ptCount val="5"/>
                <c:pt idx="0">
                  <c:v>29</c:v>
                </c:pt>
                <c:pt idx="1">
                  <c:v>31</c:v>
                </c:pt>
                <c:pt idx="2">
                  <c:v>22</c:v>
                </c:pt>
                <c:pt idx="3">
                  <c:v>17</c:v>
                </c:pt>
                <c:pt idx="4">
                  <c:v>6</c:v>
                </c:pt>
              </c:numCache>
            </c:numRef>
          </c:val>
          <c:extLst>
            <c:ext xmlns:c16="http://schemas.microsoft.com/office/drawing/2014/chart" uri="{C3380CC4-5D6E-409C-BE32-E72D297353CC}">
              <c16:uniqueId val="{00000000-FD68-409D-9388-53C4606E146D}"/>
            </c:ext>
          </c:extLst>
        </c:ser>
        <c:ser>
          <c:idx val="2"/>
          <c:order val="1"/>
          <c:tx>
            <c:strRef>
              <c:f>II_Rajona_prok!$Z$4</c:f>
              <c:strCache>
                <c:ptCount val="1"/>
                <c:pt idx="0">
                  <c:v>2020</c:v>
                </c:pt>
              </c:strCache>
            </c:strRef>
          </c:tx>
          <c:spPr>
            <a:solidFill>
              <a:schemeClr val="accent5"/>
            </a:solidFill>
            <a:ln w="6350" cap="flat" cmpd="sng" algn="ctr">
              <a:solidFill>
                <a:schemeClr val="accent1">
                  <a:shade val="50000"/>
                </a:schemeClr>
              </a:solidFill>
              <a:prstDash val="solid"/>
              <a:round/>
            </a:ln>
            <a:effectLst/>
          </c:spPr>
          <c:invertIfNegative val="0"/>
          <c:dLbls>
            <c:dLbl>
              <c:idx val="0"/>
              <c:layout>
                <c:manualLayout>
                  <c:x val="-4.4070003720069206E-17"/>
                  <c:y val="0.110236220472440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5B4-4D60-A1B7-E133AB2F7264}"/>
                </c:ext>
              </c:extLst>
            </c:dLbl>
            <c:dLbl>
              <c:idx val="1"/>
              <c:layout>
                <c:manualLayout>
                  <c:x val="-4.4070003720069206E-17"/>
                  <c:y val="9.44881889763779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5B4-4D60-A1B7-E133AB2F7264}"/>
                </c:ext>
              </c:extLst>
            </c:dLbl>
            <c:dLbl>
              <c:idx val="2"/>
              <c:layout>
                <c:manualLayout>
                  <c:x val="0"/>
                  <c:y val="8.9238845144356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5B4-4D60-A1B7-E133AB2F7264}"/>
                </c:ext>
              </c:extLst>
            </c:dLbl>
            <c:dLbl>
              <c:idx val="3"/>
              <c:layout>
                <c:manualLayout>
                  <c:x val="-8.8140007440138411E-17"/>
                  <c:y val="9.97375328083988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5B4-4D60-A1B7-E133AB2F7264}"/>
                </c:ext>
              </c:extLst>
            </c:dLbl>
            <c:dLbl>
              <c:idx val="4"/>
              <c:layout>
                <c:manualLayout>
                  <c:x val="0"/>
                  <c:y val="0.14698162729658792"/>
                </c:manualLayout>
              </c:layout>
              <c:spPr>
                <a:noFill/>
                <a:ln w="25388">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3.8461538461538464E-2"/>
                      <c:h val="0.15485564304461943"/>
                    </c:manualLayout>
                  </c15:layout>
                </c:ext>
                <c:ext xmlns:c16="http://schemas.microsoft.com/office/drawing/2014/chart" uri="{C3380CC4-5D6E-409C-BE32-E72D297353CC}">
                  <c16:uniqueId val="{00000008-05B4-4D60-A1B7-E133AB2F7264}"/>
                </c:ext>
              </c:extLst>
            </c:dLbl>
            <c:spPr>
              <a:noFill/>
              <a:ln w="25388">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II_Rajona_prok!$Z$5:$Z$9</c:f>
              <c:numCache>
                <c:formatCode>General</c:formatCode>
                <c:ptCount val="5"/>
                <c:pt idx="0">
                  <c:v>38</c:v>
                </c:pt>
                <c:pt idx="1">
                  <c:v>19</c:v>
                </c:pt>
                <c:pt idx="2">
                  <c:v>14</c:v>
                </c:pt>
                <c:pt idx="3">
                  <c:v>34</c:v>
                </c:pt>
                <c:pt idx="4">
                  <c:v>10</c:v>
                </c:pt>
              </c:numCache>
            </c:numRef>
          </c:val>
          <c:extLst>
            <c:ext xmlns:c16="http://schemas.microsoft.com/office/drawing/2014/chart" uri="{C3380CC4-5D6E-409C-BE32-E72D297353CC}">
              <c16:uniqueId val="{00000001-FD68-409D-9388-53C4606E146D}"/>
            </c:ext>
          </c:extLst>
        </c:ser>
        <c:dLbls>
          <c:showLegendKey val="0"/>
          <c:showVal val="0"/>
          <c:showCatName val="0"/>
          <c:showSerName val="0"/>
          <c:showPercent val="0"/>
          <c:showBubbleSize val="0"/>
        </c:dLbls>
        <c:gapWidth val="150"/>
        <c:axId val="1697789392"/>
        <c:axId val="1"/>
      </c:barChart>
      <c:catAx>
        <c:axId val="1697789392"/>
        <c:scaling>
          <c:orientation val="minMax"/>
        </c:scaling>
        <c:delete val="0"/>
        <c:axPos val="b"/>
        <c:numFmt formatCode="General" sourceLinked="0"/>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0"/>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697789392"/>
        <c:crosses val="autoZero"/>
        <c:crossBetween val="between"/>
      </c:valAx>
      <c:dTable>
        <c:showHorzBorder val="1"/>
        <c:showVertBorder val="1"/>
        <c:showOutline val="1"/>
        <c:showKeys val="1"/>
        <c:spPr>
          <a:noFill/>
          <a:ln w="6350" cap="flat" cmpd="sng" algn="ctr">
            <a:solidFill>
              <a:schemeClr val="dk1">
                <a:tint val="75000"/>
              </a:schemeClr>
            </a:solidFill>
            <a:prstDash val="solid"/>
            <a:round/>
          </a:ln>
          <a:effectLst/>
        </c:spPr>
        <c:txPr>
          <a:bodyPr rot="0" spcFirstLastPara="1" vertOverflow="ellipsis" vert="horz" wrap="square" anchor="ctr" anchorCtr="1"/>
          <a:lstStyle/>
          <a:p>
            <a:pPr rtl="0">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Table>
      <c:spPr>
        <a:solidFill>
          <a:schemeClr val="accent1">
            <a:tint val="20000"/>
          </a:schemeClr>
        </a:solidFill>
        <a:ln>
          <a:noFill/>
        </a:ln>
        <a:effectLst/>
      </c:spPr>
    </c:plotArea>
    <c:plotVisOnly val="1"/>
    <c:dispBlanksAs val="gap"/>
    <c:showDLblsOverMax val="0"/>
  </c:chart>
  <c:spPr>
    <a:solidFill>
      <a:schemeClr val="bg1">
        <a:lumMod val="85000"/>
      </a:schemeClr>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aseline="0"/>
              <a:t> </a:t>
            </a:r>
            <a:r>
              <a:rPr lang="lv-LV" sz="1200" baseline="0">
                <a:solidFill>
                  <a:schemeClr val="tx1"/>
                </a:solidFill>
              </a:rPr>
              <a:t>Pēc Krimināllikuma 180. panta pabeigto kriminālprocesu procentuālā attiecība pret kopā pabeigto kriminālprocesu skaitu</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1"/>
          <c:order val="0"/>
          <c:tx>
            <c:strRef>
              <c:f>II_Rajona_prok!$AD$4</c:f>
              <c:strCache>
                <c:ptCount val="1"/>
                <c:pt idx="0">
                  <c:v>2019</c:v>
                </c:pt>
              </c:strCache>
            </c:strRef>
          </c:tx>
          <c:spPr>
            <a:solidFill>
              <a:schemeClr val="accent5"/>
            </a:solidFill>
            <a:ln w="6350" cap="flat" cmpd="sng" algn="ctr">
              <a:solidFill>
                <a:schemeClr val="accent6">
                  <a:shade val="50000"/>
                </a:schemeClr>
              </a:solidFill>
              <a:prstDash val="solid"/>
              <a:round/>
            </a:ln>
            <a:effectLst/>
          </c:spPr>
          <c:invertIfNegative val="0"/>
          <c:dLbls>
            <c:dLbl>
              <c:idx val="1"/>
              <c:layout>
                <c:manualLayout>
                  <c:x val="-1.4150943396226415E-2"/>
                  <c:y val="4.69483568075113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1-4E00-AED4-292149D4449F}"/>
                </c:ext>
              </c:extLst>
            </c:dLbl>
            <c:dLbl>
              <c:idx val="4"/>
              <c:layout>
                <c:manualLayout>
                  <c:x val="-9.433962264150943E-3"/>
                  <c:y val="4.303549659049011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31-4E00-AED4-292149D4449F}"/>
                </c:ext>
              </c:extLst>
            </c:dLbl>
            <c:spPr>
              <a:noFill/>
              <a:ln w="25376">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II_Rajona_prok!$AB$5:$AB$9</c:f>
              <c:strCache>
                <c:ptCount val="5"/>
                <c:pt idx="0">
                  <c:v>Liepājas prok.</c:v>
                </c:pt>
                <c:pt idx="1">
                  <c:v>Ventspils prok.</c:v>
                </c:pt>
                <c:pt idx="2">
                  <c:v>Kuldīgas raj. prok.</c:v>
                </c:pt>
                <c:pt idx="3">
                  <c:v>Saldus raj. prok.</c:v>
                </c:pt>
                <c:pt idx="4">
                  <c:v>Talsu raj. prok.</c:v>
                </c:pt>
              </c:strCache>
            </c:strRef>
          </c:cat>
          <c:val>
            <c:numRef>
              <c:f>II_Rajona_prok!$AD$5:$AD$9</c:f>
              <c:numCache>
                <c:formatCode>0.00%</c:formatCode>
                <c:ptCount val="5"/>
                <c:pt idx="0">
                  <c:v>0.245</c:v>
                </c:pt>
                <c:pt idx="1">
                  <c:v>0.31780000000000003</c:v>
                </c:pt>
                <c:pt idx="2">
                  <c:v>0.2722</c:v>
                </c:pt>
                <c:pt idx="3">
                  <c:v>0.19159999999999999</c:v>
                </c:pt>
                <c:pt idx="4">
                  <c:v>0.23810000000000001</c:v>
                </c:pt>
              </c:numCache>
            </c:numRef>
          </c:val>
          <c:extLst>
            <c:ext xmlns:c16="http://schemas.microsoft.com/office/drawing/2014/chart" uri="{C3380CC4-5D6E-409C-BE32-E72D297353CC}">
              <c16:uniqueId val="{00000000-95B8-4332-B0F7-7486726D6A3E}"/>
            </c:ext>
          </c:extLst>
        </c:ser>
        <c:ser>
          <c:idx val="2"/>
          <c:order val="1"/>
          <c:tx>
            <c:strRef>
              <c:f>II_Rajona_prok!$AE$4</c:f>
              <c:strCache>
                <c:ptCount val="1"/>
                <c:pt idx="0">
                  <c:v>2020</c:v>
                </c:pt>
              </c:strCache>
            </c:strRef>
          </c:tx>
          <c:spPr>
            <a:solidFill>
              <a:schemeClr val="accent4"/>
            </a:solidFill>
            <a:ln w="6350" cap="flat" cmpd="sng" algn="ctr">
              <a:solidFill>
                <a:schemeClr val="accent6">
                  <a:shade val="50000"/>
                </a:schemeClr>
              </a:solidFill>
              <a:prstDash val="solid"/>
              <a:round/>
            </a:ln>
            <a:effectLst/>
          </c:spPr>
          <c:invertIfNegative val="0"/>
          <c:dLbls>
            <c:dLbl>
              <c:idx val="0"/>
              <c:layout>
                <c:manualLayout>
                  <c:x val="1.4150943396226393E-2"/>
                  <c:y val="9.3896713615022609E-3"/>
                </c:manualLayout>
              </c:layout>
              <c:showLegendKey val="0"/>
              <c:showVal val="1"/>
              <c:showCatName val="0"/>
              <c:showSerName val="0"/>
              <c:showPercent val="0"/>
              <c:showBubbleSize val="0"/>
              <c:extLst>
                <c:ext xmlns:c15="http://schemas.microsoft.com/office/drawing/2012/chart" uri="{CE6537A1-D6FC-4f65-9D91-7224C49458BB}">
                  <c15:layout>
                    <c:manualLayout>
                      <c:w val="0.11674528301886793"/>
                      <c:h val="6.8075117370892016E-2"/>
                    </c:manualLayout>
                  </c15:layout>
                </c:ext>
                <c:ext xmlns:c16="http://schemas.microsoft.com/office/drawing/2014/chart" uri="{C3380CC4-5D6E-409C-BE32-E72D297353CC}">
                  <c16:uniqueId val="{00000002-7931-4E00-AED4-292149D4449F}"/>
                </c:ext>
              </c:extLst>
            </c:dLbl>
            <c:dLbl>
              <c:idx val="1"/>
              <c:layout>
                <c:manualLayout>
                  <c:x val="-4.3238494215916955E-17"/>
                  <c:y val="9.38967136150232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31-4E00-AED4-292149D4449F}"/>
                </c:ext>
              </c:extLst>
            </c:dLbl>
            <c:dLbl>
              <c:idx val="2"/>
              <c:layout>
                <c:manualLayout>
                  <c:x val="1.179245283018868E-2"/>
                  <c:y val="9.38967136150234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31-4E00-AED4-292149D4449F}"/>
                </c:ext>
              </c:extLst>
            </c:dLbl>
            <c:dLbl>
              <c:idx val="3"/>
              <c:layout>
                <c:manualLayout>
                  <c:x val="1.4150943396226415E-2"/>
                  <c:y val="9.38967136150234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1-4E00-AED4-292149D4449F}"/>
                </c:ext>
              </c:extLst>
            </c:dLbl>
            <c:spPr>
              <a:noFill/>
              <a:ln w="25376">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II_Rajona_prok!$AE$5:$AE$9</c:f>
              <c:numCache>
                <c:formatCode>0.00%</c:formatCode>
                <c:ptCount val="5"/>
                <c:pt idx="0">
                  <c:v>0.13439999999999999</c:v>
                </c:pt>
                <c:pt idx="1">
                  <c:v>0.3674</c:v>
                </c:pt>
                <c:pt idx="2">
                  <c:v>0.19289999999999999</c:v>
                </c:pt>
                <c:pt idx="3">
                  <c:v>0.1515</c:v>
                </c:pt>
                <c:pt idx="4">
                  <c:v>0.29060000000000002</c:v>
                </c:pt>
              </c:numCache>
            </c:numRef>
          </c:val>
          <c:extLst>
            <c:ext xmlns:c16="http://schemas.microsoft.com/office/drawing/2014/chart" uri="{C3380CC4-5D6E-409C-BE32-E72D297353CC}">
              <c16:uniqueId val="{00000001-95B8-4332-B0F7-7486726D6A3E}"/>
            </c:ext>
          </c:extLst>
        </c:ser>
        <c:dLbls>
          <c:showLegendKey val="0"/>
          <c:showVal val="0"/>
          <c:showCatName val="0"/>
          <c:showSerName val="0"/>
          <c:showPercent val="0"/>
          <c:showBubbleSize val="0"/>
        </c:dLbls>
        <c:gapWidth val="150"/>
        <c:axId val="1693876736"/>
        <c:axId val="1"/>
      </c:barChart>
      <c:catAx>
        <c:axId val="1693876736"/>
        <c:scaling>
          <c:orientation val="minMax"/>
        </c:scaling>
        <c:delete val="0"/>
        <c:axPos val="b"/>
        <c:numFmt formatCode="General" sourceLinked="0"/>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0"/>
        <c:axPos val="l"/>
        <c:majorGridlines>
          <c:spPr>
            <a:ln w="6350" cap="flat" cmpd="sng" algn="ctr">
              <a:solidFill>
                <a:schemeClr val="dk1">
                  <a:tint val="75000"/>
                </a:schemeClr>
              </a:solidFill>
              <a:prstDash val="solid"/>
              <a:round/>
            </a:ln>
            <a:effectLst/>
          </c:spPr>
        </c:majorGridlines>
        <c:numFmt formatCode="0%" sourceLinked="0"/>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693876736"/>
        <c:crosses val="autoZero"/>
        <c:crossBetween val="between"/>
        <c:minorUnit val="2.0000000000000004E-2"/>
      </c:valAx>
      <c:dTable>
        <c:showHorzBorder val="1"/>
        <c:showVertBorder val="1"/>
        <c:showOutline val="1"/>
        <c:showKeys val="1"/>
        <c:spPr>
          <a:noFill/>
          <a:ln w="6350" cap="flat" cmpd="sng" algn="ctr">
            <a:solidFill>
              <a:schemeClr val="dk1">
                <a:tint val="75000"/>
              </a:schemeClr>
            </a:solidFill>
            <a:prstDash val="solid"/>
            <a:round/>
          </a:ln>
          <a:effectLst/>
        </c:spPr>
        <c:txPr>
          <a:bodyPr rot="0" spcFirstLastPara="1" vertOverflow="ellipsis" vert="horz" wrap="square" anchor="ctr" anchorCtr="1"/>
          <a:lstStyle/>
          <a:p>
            <a:pPr rtl="0">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Table>
      <c:spPr>
        <a:solidFill>
          <a:schemeClr val="bg1">
            <a:lumMod val="95000"/>
          </a:schemeClr>
        </a:solidFill>
        <a:ln>
          <a:noFill/>
        </a:ln>
        <a:effectLst/>
      </c:spPr>
    </c:plotArea>
    <c:plotVisOnly val="1"/>
    <c:dispBlanksAs val="gap"/>
    <c:showDLblsOverMax val="0"/>
  </c:chart>
  <c:spPr>
    <a:solidFill>
      <a:schemeClr val="accent4">
        <a:lumMod val="20000"/>
        <a:lumOff val="80000"/>
      </a:schemeClr>
    </a:solidFill>
    <a:ln w="6350" cap="flat" cmpd="sng" algn="ctr">
      <a:solidFill>
        <a:schemeClr val="tx1">
          <a:lumMod val="50000"/>
          <a:lumOff val="50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200" baseline="0">
                <a:solidFill>
                  <a:schemeClr val="tx1"/>
                </a:solidFill>
              </a:defRPr>
            </a:pPr>
            <a:r>
              <a:rPr lang="lv-LV" sz="1200" baseline="0">
                <a:solidFill>
                  <a:schemeClr val="tx1"/>
                </a:solidFill>
              </a:rPr>
              <a:t> Prokuroru uzraudzībā pieņemti kriminālprocesi</a:t>
            </a:r>
          </a:p>
        </c:rich>
      </c:tx>
      <c:overlay val="0"/>
    </c:title>
    <c:autoTitleDeleted val="0"/>
    <c:plotArea>
      <c:layout/>
      <c:barChart>
        <c:barDir val="col"/>
        <c:grouping val="clustered"/>
        <c:varyColors val="0"/>
        <c:ser>
          <c:idx val="1"/>
          <c:order val="0"/>
          <c:tx>
            <c:strRef>
              <c:f>II_Rajona_prok!$AI$4</c:f>
              <c:strCache>
                <c:ptCount val="1"/>
                <c:pt idx="0">
                  <c:v>2019</c:v>
                </c:pt>
              </c:strCache>
            </c:strRef>
          </c:tx>
          <c:invertIfNegative val="0"/>
          <c:dLbls>
            <c:dLbl>
              <c:idx val="0"/>
              <c:layout>
                <c:manualLayout>
                  <c:x val="0"/>
                  <c:y val="1.60857908847184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A4-4988-A334-7B74528C96E4}"/>
                </c:ext>
              </c:extLst>
            </c:dLbl>
            <c:spPr>
              <a:noFill/>
              <a:ln w="25388">
                <a:noFill/>
              </a:ln>
            </c:spPr>
            <c:txPr>
              <a:bodyPr wrap="square" lIns="38100" tIns="19050" rIns="38100" bIns="19050" anchor="ctr">
                <a:spAutoFit/>
              </a:bodyPr>
              <a:lstStyle/>
              <a:p>
                <a:pPr>
                  <a:defRPr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II_Rajona_prok!$AG$5:$AG$9</c:f>
              <c:strCache>
                <c:ptCount val="5"/>
                <c:pt idx="0">
                  <c:v>Liepājas prok.</c:v>
                </c:pt>
                <c:pt idx="1">
                  <c:v>Ventspils prok.</c:v>
                </c:pt>
                <c:pt idx="2">
                  <c:v>Kuldīgas raj. prok.</c:v>
                </c:pt>
                <c:pt idx="3">
                  <c:v>Saldus raj. prok.</c:v>
                </c:pt>
                <c:pt idx="4">
                  <c:v>Talsu raj. prok.</c:v>
                </c:pt>
              </c:strCache>
            </c:strRef>
          </c:cat>
          <c:val>
            <c:numRef>
              <c:f>II_Rajona_prok!$AI$5:$AI$9</c:f>
              <c:numCache>
                <c:formatCode>General</c:formatCode>
                <c:ptCount val="5"/>
                <c:pt idx="0">
                  <c:v>1249</c:v>
                </c:pt>
                <c:pt idx="1">
                  <c:v>791</c:v>
                </c:pt>
                <c:pt idx="2">
                  <c:v>443</c:v>
                </c:pt>
                <c:pt idx="3">
                  <c:v>359</c:v>
                </c:pt>
                <c:pt idx="4">
                  <c:v>546</c:v>
                </c:pt>
              </c:numCache>
            </c:numRef>
          </c:val>
          <c:extLst>
            <c:ext xmlns:c16="http://schemas.microsoft.com/office/drawing/2014/chart" uri="{C3380CC4-5D6E-409C-BE32-E72D297353CC}">
              <c16:uniqueId val="{00000000-CA41-45EB-95FA-540416682A85}"/>
            </c:ext>
          </c:extLst>
        </c:ser>
        <c:ser>
          <c:idx val="2"/>
          <c:order val="1"/>
          <c:tx>
            <c:strRef>
              <c:f>II_Rajona_prok!$AJ$4</c:f>
              <c:strCache>
                <c:ptCount val="1"/>
                <c:pt idx="0">
                  <c:v>2020</c:v>
                </c:pt>
              </c:strCache>
            </c:strRef>
          </c:tx>
          <c:invertIfNegative val="0"/>
          <c:dLbls>
            <c:spPr>
              <a:noFill/>
              <a:ln w="25388">
                <a:noFill/>
              </a:ln>
            </c:spPr>
            <c:txPr>
              <a:bodyPr wrap="square" lIns="38100" tIns="19050" rIns="38100" bIns="19050" anchor="ctr">
                <a:spAutoFit/>
              </a:bodyPr>
              <a:lstStyle/>
              <a:p>
                <a:pPr>
                  <a:defRPr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II_Rajona_prok!$AJ$5:$AJ$9</c:f>
              <c:numCache>
                <c:formatCode>General</c:formatCode>
                <c:ptCount val="5"/>
                <c:pt idx="0">
                  <c:v>1112</c:v>
                </c:pt>
                <c:pt idx="1">
                  <c:v>701</c:v>
                </c:pt>
                <c:pt idx="2">
                  <c:v>463</c:v>
                </c:pt>
                <c:pt idx="3">
                  <c:v>397</c:v>
                </c:pt>
                <c:pt idx="4">
                  <c:v>583</c:v>
                </c:pt>
              </c:numCache>
            </c:numRef>
          </c:val>
          <c:extLst>
            <c:ext xmlns:c16="http://schemas.microsoft.com/office/drawing/2014/chart" uri="{C3380CC4-5D6E-409C-BE32-E72D297353CC}">
              <c16:uniqueId val="{00000001-CA41-45EB-95FA-540416682A85}"/>
            </c:ext>
          </c:extLst>
        </c:ser>
        <c:dLbls>
          <c:showLegendKey val="0"/>
          <c:showVal val="0"/>
          <c:showCatName val="0"/>
          <c:showSerName val="0"/>
          <c:showPercent val="0"/>
          <c:showBubbleSize val="0"/>
        </c:dLbls>
        <c:gapWidth val="150"/>
        <c:axId val="1693873536"/>
        <c:axId val="1"/>
      </c:barChart>
      <c:catAx>
        <c:axId val="1693873536"/>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0" i="0" baseline="0">
                <a:solidFill>
                  <a:schemeClr val="tx1"/>
                </a:solidFill>
              </a:defRPr>
            </a:pPr>
            <a:endParaRPr lang="lv-LV"/>
          </a:p>
        </c:txPr>
        <c:crossAx val="1693873536"/>
        <c:crosses val="autoZero"/>
        <c:crossBetween val="between"/>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i="0" baseline="0">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200" baseline="0">
                <a:ln>
                  <a:noFill/>
                </a:ln>
                <a:solidFill>
                  <a:schemeClr val="tx1"/>
                </a:solidFill>
              </a:defRPr>
            </a:pPr>
            <a:r>
              <a:rPr lang="lv-LV" sz="1200" baseline="0">
                <a:ln>
                  <a:noFill/>
                </a:ln>
                <a:solidFill>
                  <a:schemeClr val="tx1"/>
                </a:solidFill>
              </a:rPr>
              <a:t>Ar prokurora piekrišanu atteikts uzsākt kriminālprocesu par maznozīmīgu noziedzīgu nodarījumu</a:t>
            </a:r>
          </a:p>
        </c:rich>
      </c:tx>
      <c:layout>
        <c:manualLayout>
          <c:xMode val="edge"/>
          <c:yMode val="edge"/>
          <c:x val="0.13286644457904301"/>
          <c:y val="4.1884816753926704E-2"/>
        </c:manualLayout>
      </c:layout>
      <c:overlay val="0"/>
    </c:title>
    <c:autoTitleDeleted val="0"/>
    <c:plotArea>
      <c:layout>
        <c:manualLayout>
          <c:layoutTarget val="inner"/>
          <c:xMode val="edge"/>
          <c:yMode val="edge"/>
          <c:x val="0.12011413537250151"/>
          <c:y val="0.27849029391128083"/>
          <c:w val="0.85344355693519081"/>
          <c:h val="0.42722772277227722"/>
        </c:manualLayout>
      </c:layout>
      <c:barChart>
        <c:barDir val="col"/>
        <c:grouping val="clustered"/>
        <c:varyColors val="0"/>
        <c:ser>
          <c:idx val="1"/>
          <c:order val="0"/>
          <c:tx>
            <c:strRef>
              <c:f>II_Rajona_prok!$AN$4</c:f>
              <c:strCache>
                <c:ptCount val="1"/>
                <c:pt idx="0">
                  <c:v>2019</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II_Rajona_prok!$AL$5:$AL$9</c:f>
              <c:strCache>
                <c:ptCount val="5"/>
                <c:pt idx="0">
                  <c:v>Liepājas prok.</c:v>
                </c:pt>
                <c:pt idx="1">
                  <c:v>Ventspils prok.</c:v>
                </c:pt>
                <c:pt idx="2">
                  <c:v>Kuldīgas raj. prok.</c:v>
                </c:pt>
                <c:pt idx="3">
                  <c:v>Saldus raj. prok.</c:v>
                </c:pt>
                <c:pt idx="4">
                  <c:v>Talsu raj. prok.</c:v>
                </c:pt>
              </c:strCache>
            </c:strRef>
          </c:cat>
          <c:val>
            <c:numRef>
              <c:f>II_Rajona_prok!$AN$5:$AN$9</c:f>
              <c:numCache>
                <c:formatCode>General</c:formatCode>
                <c:ptCount val="5"/>
                <c:pt idx="0">
                  <c:v>8</c:v>
                </c:pt>
                <c:pt idx="1">
                  <c:v>4</c:v>
                </c:pt>
                <c:pt idx="2">
                  <c:v>49</c:v>
                </c:pt>
                <c:pt idx="3">
                  <c:v>7</c:v>
                </c:pt>
                <c:pt idx="4">
                  <c:v>49</c:v>
                </c:pt>
              </c:numCache>
            </c:numRef>
          </c:val>
          <c:extLst>
            <c:ext xmlns:c16="http://schemas.microsoft.com/office/drawing/2014/chart" uri="{C3380CC4-5D6E-409C-BE32-E72D297353CC}">
              <c16:uniqueId val="{00000000-F3BD-450E-8AAD-72DE67884AE8}"/>
            </c:ext>
          </c:extLst>
        </c:ser>
        <c:ser>
          <c:idx val="2"/>
          <c:order val="1"/>
          <c:tx>
            <c:strRef>
              <c:f>II_Rajona_prok!$AO$4</c:f>
              <c:strCache>
                <c:ptCount val="1"/>
                <c:pt idx="0">
                  <c:v>2020</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II_Rajona_prok!$AO$5:$AO$9</c:f>
              <c:numCache>
                <c:formatCode>General</c:formatCode>
                <c:ptCount val="5"/>
                <c:pt idx="0">
                  <c:v>22</c:v>
                </c:pt>
                <c:pt idx="1">
                  <c:v>11</c:v>
                </c:pt>
                <c:pt idx="2">
                  <c:v>25</c:v>
                </c:pt>
                <c:pt idx="3">
                  <c:v>9</c:v>
                </c:pt>
                <c:pt idx="4">
                  <c:v>58</c:v>
                </c:pt>
              </c:numCache>
            </c:numRef>
          </c:val>
          <c:extLst>
            <c:ext xmlns:c16="http://schemas.microsoft.com/office/drawing/2014/chart" uri="{C3380CC4-5D6E-409C-BE32-E72D297353CC}">
              <c16:uniqueId val="{00000001-F3BD-450E-8AAD-72DE67884AE8}"/>
            </c:ext>
          </c:extLst>
        </c:ser>
        <c:dLbls>
          <c:showLegendKey val="0"/>
          <c:showVal val="0"/>
          <c:showCatName val="0"/>
          <c:showSerName val="0"/>
          <c:showPercent val="0"/>
          <c:showBubbleSize val="0"/>
        </c:dLbls>
        <c:gapWidth val="150"/>
        <c:axId val="1693877936"/>
        <c:axId val="1"/>
      </c:barChart>
      <c:catAx>
        <c:axId val="1693877936"/>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1693877936"/>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200" baseline="0">
                <a:solidFill>
                  <a:schemeClr val="tx1"/>
                </a:solidFill>
              </a:defRPr>
            </a:pPr>
            <a:r>
              <a:rPr lang="lv-LV" sz="1200" baseline="0">
                <a:solidFill>
                  <a:schemeClr val="tx1"/>
                </a:solidFill>
              </a:rPr>
              <a:t>Dota piekrišana kriminālprocesa apturēšanai izmeklēšanā</a:t>
            </a:r>
          </a:p>
        </c:rich>
      </c:tx>
      <c:overlay val="0"/>
    </c:title>
    <c:autoTitleDeleted val="0"/>
    <c:plotArea>
      <c:layout/>
      <c:barChart>
        <c:barDir val="col"/>
        <c:grouping val="clustered"/>
        <c:varyColors val="0"/>
        <c:ser>
          <c:idx val="1"/>
          <c:order val="0"/>
          <c:tx>
            <c:strRef>
              <c:f>II_Rajona_prok!$AS$4</c:f>
              <c:strCache>
                <c:ptCount val="1"/>
                <c:pt idx="0">
                  <c:v>2019</c:v>
                </c:pt>
              </c:strCache>
            </c:strRef>
          </c:tx>
          <c:invertIfNegative val="0"/>
          <c:dLbls>
            <c:spPr>
              <a:noFill/>
              <a:ln w="25388">
                <a:noFill/>
              </a:ln>
            </c:spPr>
            <c:txPr>
              <a:bodyPr wrap="square" lIns="38100" tIns="19050" rIns="38100" bIns="19050" anchor="ctr">
                <a:spAutoFit/>
              </a:bodyPr>
              <a:lstStyle/>
              <a:p>
                <a:pPr>
                  <a:defRPr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II_Rajona_prok!$AQ$5:$AQ$9</c:f>
              <c:strCache>
                <c:ptCount val="5"/>
                <c:pt idx="0">
                  <c:v>Liepājas prok.</c:v>
                </c:pt>
                <c:pt idx="1">
                  <c:v>Ventspils prok.</c:v>
                </c:pt>
                <c:pt idx="2">
                  <c:v>Kuldīgas raj. prok.</c:v>
                </c:pt>
                <c:pt idx="3">
                  <c:v>Saldus raj. prok.</c:v>
                </c:pt>
                <c:pt idx="4">
                  <c:v>Talsu raj. prok.</c:v>
                </c:pt>
              </c:strCache>
            </c:strRef>
          </c:cat>
          <c:val>
            <c:numRef>
              <c:f>II_Rajona_prok!$AS$5:$AS$9</c:f>
              <c:numCache>
                <c:formatCode>General</c:formatCode>
                <c:ptCount val="5"/>
                <c:pt idx="0">
                  <c:v>229</c:v>
                </c:pt>
                <c:pt idx="1">
                  <c:v>265</c:v>
                </c:pt>
                <c:pt idx="2">
                  <c:v>106</c:v>
                </c:pt>
                <c:pt idx="3">
                  <c:v>134</c:v>
                </c:pt>
                <c:pt idx="4">
                  <c:v>184</c:v>
                </c:pt>
              </c:numCache>
            </c:numRef>
          </c:val>
          <c:extLst>
            <c:ext xmlns:c16="http://schemas.microsoft.com/office/drawing/2014/chart" uri="{C3380CC4-5D6E-409C-BE32-E72D297353CC}">
              <c16:uniqueId val="{00000000-9063-481E-825C-A4430D98886D}"/>
            </c:ext>
          </c:extLst>
        </c:ser>
        <c:ser>
          <c:idx val="2"/>
          <c:order val="1"/>
          <c:tx>
            <c:strRef>
              <c:f>II_Rajona_prok!$AT$4</c:f>
              <c:strCache>
                <c:ptCount val="1"/>
                <c:pt idx="0">
                  <c:v>2020</c:v>
                </c:pt>
              </c:strCache>
            </c:strRef>
          </c:tx>
          <c:invertIfNegative val="0"/>
          <c:dLbls>
            <c:dLbl>
              <c:idx val="3"/>
              <c:layout>
                <c:manualLayout>
                  <c:x val="7.2115384615384619E-3"/>
                  <c:y val="1.85185185185184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D0-412A-907E-2A3CA479381F}"/>
                </c:ext>
              </c:extLst>
            </c:dLbl>
            <c:spPr>
              <a:noFill/>
              <a:ln w="25388">
                <a:noFill/>
              </a:ln>
            </c:spPr>
            <c:txPr>
              <a:bodyPr wrap="square" lIns="38100" tIns="19050" rIns="38100" bIns="19050" anchor="ctr">
                <a:spAutoFit/>
              </a:bodyPr>
              <a:lstStyle/>
              <a:p>
                <a:pPr>
                  <a:defRPr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II_Rajona_prok!$AT$5:$AT$9</c:f>
              <c:numCache>
                <c:formatCode>General</c:formatCode>
                <c:ptCount val="5"/>
                <c:pt idx="0">
                  <c:v>227</c:v>
                </c:pt>
                <c:pt idx="1">
                  <c:v>500</c:v>
                </c:pt>
                <c:pt idx="2">
                  <c:v>161</c:v>
                </c:pt>
                <c:pt idx="3">
                  <c:v>119</c:v>
                </c:pt>
                <c:pt idx="4">
                  <c:v>151</c:v>
                </c:pt>
              </c:numCache>
            </c:numRef>
          </c:val>
          <c:extLst>
            <c:ext xmlns:c16="http://schemas.microsoft.com/office/drawing/2014/chart" uri="{C3380CC4-5D6E-409C-BE32-E72D297353CC}">
              <c16:uniqueId val="{00000001-9063-481E-825C-A4430D98886D}"/>
            </c:ext>
          </c:extLst>
        </c:ser>
        <c:dLbls>
          <c:showLegendKey val="0"/>
          <c:showVal val="0"/>
          <c:showCatName val="0"/>
          <c:showSerName val="0"/>
          <c:showPercent val="0"/>
          <c:showBubbleSize val="0"/>
        </c:dLbls>
        <c:gapWidth val="150"/>
        <c:axId val="1693873136"/>
        <c:axId val="1"/>
      </c:barChart>
      <c:catAx>
        <c:axId val="1693873136"/>
        <c:scaling>
          <c:orientation val="minMax"/>
        </c:scaling>
        <c:delete val="0"/>
        <c:axPos val="b"/>
        <c:numFmt formatCode="General" sourceLinked="0"/>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0" i="0" baseline="0">
                <a:solidFill>
                  <a:schemeClr val="tx1"/>
                </a:solidFill>
              </a:defRPr>
            </a:pPr>
            <a:endParaRPr lang="lv-LV"/>
          </a:p>
        </c:txPr>
        <c:crossAx val="1693873136"/>
        <c:crosses val="autoZero"/>
        <c:crossBetween val="between"/>
      </c:valAx>
      <c:dTable>
        <c:showHorzBorder val="1"/>
        <c:showVertBorder val="1"/>
        <c:showOutline val="1"/>
        <c:showKeys val="1"/>
        <c:txPr>
          <a:bodyPr/>
          <a:lstStyle/>
          <a:p>
            <a:pPr rtl="0">
              <a:defRPr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b="1" i="0" baseline="0">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v-LV" sz="1200" b="1" baseline="0">
                <a:solidFill>
                  <a:schemeClr val="tx1"/>
                </a:solidFill>
                <a:latin typeface="Times New Roman" panose="02020603050405020304" pitchFamily="18" charset="0"/>
                <a:cs typeface="Times New Roman" panose="02020603050405020304" pitchFamily="18" charset="0"/>
              </a:rPr>
              <a:t>Prokuratūrā saņemtie kriminālprocesi</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0"/>
          <c:order val="0"/>
          <c:tx>
            <c:strRef>
              <c:f>Sheet1!$B$1</c:f>
              <c:strCache>
                <c:ptCount val="1"/>
                <c:pt idx="0">
                  <c:v>Kopā</c:v>
                </c:pt>
              </c:strCache>
            </c:strRef>
          </c:tx>
          <c:spPr>
            <a:solidFill>
              <a:schemeClr val="accent1"/>
            </a:solidFill>
            <a:ln>
              <a:noFill/>
            </a:ln>
            <a:effectLst/>
          </c:spPr>
          <c:invertIfNegative val="0"/>
          <c:dLbls>
            <c:dLbl>
              <c:idx val="0"/>
              <c:layout>
                <c:manualLayout>
                  <c:x val="0"/>
                  <c:y val="9.64630225080385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7E-4EDE-924E-1DC2FE07BCFE}"/>
                </c:ext>
              </c:extLst>
            </c:dLbl>
            <c:dLbl>
              <c:idx val="1"/>
              <c:layout>
                <c:manualLayout>
                  <c:x val="2.3148148148148147E-3"/>
                  <c:y val="2.036441586280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7E-4EDE-924E-1DC2FE07BCF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13111</c:v>
                </c:pt>
                <c:pt idx="1">
                  <c:v>12631</c:v>
                </c:pt>
                <c:pt idx="2">
                  <c:v>12734</c:v>
                </c:pt>
              </c:numCache>
            </c:numRef>
          </c:val>
          <c:extLst>
            <c:ext xmlns:c16="http://schemas.microsoft.com/office/drawing/2014/chart" uri="{C3380CC4-5D6E-409C-BE32-E72D297353CC}">
              <c16:uniqueId val="{00000000-BE7E-4EDE-924E-1DC2FE07BCFE}"/>
            </c:ext>
          </c:extLst>
        </c:ser>
        <c:ser>
          <c:idx val="1"/>
          <c:order val="1"/>
          <c:tx>
            <c:strRef>
              <c:f>Sheet1!$C$1</c:f>
              <c:strCache>
                <c:ptCount val="1"/>
                <c:pt idx="0">
                  <c:v>No tiem saņemtie kriminālvājāšanai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Sheet1!$C$2:$C$4</c:f>
              <c:numCache>
                <c:formatCode>General</c:formatCode>
                <c:ptCount val="3"/>
                <c:pt idx="0">
                  <c:v>12064</c:v>
                </c:pt>
                <c:pt idx="1">
                  <c:v>11651</c:v>
                </c:pt>
                <c:pt idx="2">
                  <c:v>8870</c:v>
                </c:pt>
              </c:numCache>
            </c:numRef>
          </c:val>
          <c:extLst>
            <c:ext xmlns:c16="http://schemas.microsoft.com/office/drawing/2014/chart" uri="{C3380CC4-5D6E-409C-BE32-E72D297353CC}">
              <c16:uniqueId val="{00000001-BE7E-4EDE-924E-1DC2FE07BCFE}"/>
            </c:ext>
          </c:extLst>
        </c:ser>
        <c:dLbls>
          <c:showLegendKey val="0"/>
          <c:showVal val="0"/>
          <c:showCatName val="0"/>
          <c:showSerName val="0"/>
          <c:showPercent val="0"/>
          <c:showBubbleSize val="0"/>
        </c:dLbls>
        <c:gapWidth val="219"/>
        <c:overlap val="100"/>
        <c:axId val="340749512"/>
        <c:axId val="340754104"/>
      </c:barChart>
      <c:catAx>
        <c:axId val="340749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340754104"/>
        <c:crosses val="autoZero"/>
        <c:auto val="1"/>
        <c:lblAlgn val="ctr"/>
        <c:lblOffset val="100"/>
        <c:noMultiLvlLbl val="0"/>
      </c:catAx>
      <c:valAx>
        <c:axId val="34075410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40749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 Prokuroru dotie norādījumi</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1"/>
          <c:order val="0"/>
          <c:tx>
            <c:strRef>
              <c:f>II_Rajona_prok!$AX$4</c:f>
              <c:strCache>
                <c:ptCount val="1"/>
                <c:pt idx="0">
                  <c:v>2019</c:v>
                </c:pt>
              </c:strCache>
            </c:strRef>
          </c:tx>
          <c:spPr>
            <a:solidFill>
              <a:schemeClr val="accent3"/>
            </a:solidFill>
            <a:ln w="6350" cap="flat" cmpd="sng" algn="ctr">
              <a:solidFill>
                <a:schemeClr val="accent1">
                  <a:shade val="50000"/>
                </a:schemeClr>
              </a:solidFill>
              <a:prstDash val="solid"/>
              <a:round/>
            </a:ln>
            <a:effectLst/>
          </c:spPr>
          <c:invertIfNegative val="0"/>
          <c:dLbls>
            <c:dLbl>
              <c:idx val="1"/>
              <c:layout>
                <c:manualLayout>
                  <c:x val="0"/>
                  <c:y val="1.72910662824207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36-4477-A4A1-67D78ABD6116}"/>
                </c:ext>
              </c:extLst>
            </c:dLbl>
            <c:dLbl>
              <c:idx val="4"/>
              <c:layout>
                <c:manualLayout>
                  <c:x val="-2.403846153846154E-3"/>
                  <c:y val="1.152737752161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36-4477-A4A1-67D78ABD6116}"/>
                </c:ext>
              </c:extLst>
            </c:dLbl>
            <c:spPr>
              <a:noFill/>
              <a:ln w="25388">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II_Rajona_prok!$AV$5:$AV$9</c:f>
              <c:strCache>
                <c:ptCount val="5"/>
                <c:pt idx="0">
                  <c:v>Liepājas prok.</c:v>
                </c:pt>
                <c:pt idx="1">
                  <c:v>Ventspils prok.</c:v>
                </c:pt>
                <c:pt idx="2">
                  <c:v>Kuldīgas raj. prok.</c:v>
                </c:pt>
                <c:pt idx="3">
                  <c:v>Saldus raj. prok.</c:v>
                </c:pt>
                <c:pt idx="4">
                  <c:v>Talsu raj. prok.</c:v>
                </c:pt>
              </c:strCache>
            </c:strRef>
          </c:cat>
          <c:val>
            <c:numRef>
              <c:f>II_Rajona_prok!$AX$5:$AX$9</c:f>
              <c:numCache>
                <c:formatCode>General</c:formatCode>
                <c:ptCount val="5"/>
                <c:pt idx="0">
                  <c:v>166</c:v>
                </c:pt>
                <c:pt idx="1">
                  <c:v>217</c:v>
                </c:pt>
                <c:pt idx="2">
                  <c:v>172</c:v>
                </c:pt>
                <c:pt idx="3">
                  <c:v>165</c:v>
                </c:pt>
                <c:pt idx="4">
                  <c:v>130</c:v>
                </c:pt>
              </c:numCache>
            </c:numRef>
          </c:val>
          <c:extLst>
            <c:ext xmlns:c16="http://schemas.microsoft.com/office/drawing/2014/chart" uri="{C3380CC4-5D6E-409C-BE32-E72D297353CC}">
              <c16:uniqueId val="{00000000-DAF5-40A3-98DA-482458639322}"/>
            </c:ext>
          </c:extLst>
        </c:ser>
        <c:ser>
          <c:idx val="2"/>
          <c:order val="1"/>
          <c:tx>
            <c:strRef>
              <c:f>II_Rajona_prok!$AY$4</c:f>
              <c:strCache>
                <c:ptCount val="1"/>
                <c:pt idx="0">
                  <c:v>2020</c:v>
                </c:pt>
              </c:strCache>
            </c:strRef>
          </c:tx>
          <c:spPr>
            <a:solidFill>
              <a:schemeClr val="accent5"/>
            </a:solidFill>
            <a:ln w="6350" cap="flat" cmpd="sng" algn="ctr">
              <a:solidFill>
                <a:schemeClr val="accent1">
                  <a:shade val="50000"/>
                </a:schemeClr>
              </a:solidFill>
              <a:prstDash val="solid"/>
              <a:round/>
            </a:ln>
            <a:effectLst/>
          </c:spPr>
          <c:invertIfNegative val="0"/>
          <c:dLbls>
            <c:dLbl>
              <c:idx val="0"/>
              <c:layout>
                <c:manualLayout>
                  <c:x val="-2.403846153846154E-3"/>
                  <c:y val="1.72910662824207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36-4477-A4A1-67D78ABD6116}"/>
                </c:ext>
              </c:extLst>
            </c:dLbl>
            <c:dLbl>
              <c:idx val="1"/>
              <c:layout>
                <c:manualLayout>
                  <c:x val="-4.4070003720069206E-17"/>
                  <c:y val="2.305475504322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36-4477-A4A1-67D78ABD6116}"/>
                </c:ext>
              </c:extLst>
            </c:dLbl>
            <c:dLbl>
              <c:idx val="2"/>
              <c:layout>
                <c:manualLayout>
                  <c:x val="0"/>
                  <c:y val="1.1527377521613832E-2"/>
                </c:manualLayout>
              </c:layout>
              <c:spPr>
                <a:noFill/>
                <a:ln w="25388">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5.0480769230769232E-2"/>
                      <c:h val="8.9337175792507204E-2"/>
                    </c:manualLayout>
                  </c15:layout>
                </c:ext>
                <c:ext xmlns:c16="http://schemas.microsoft.com/office/drawing/2014/chart" uri="{C3380CC4-5D6E-409C-BE32-E72D297353CC}">
                  <c16:uniqueId val="{00000006-7F36-4477-A4A1-67D78ABD6116}"/>
                </c:ext>
              </c:extLst>
            </c:dLbl>
            <c:spPr>
              <a:noFill/>
              <a:ln w="25388">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II_Rajona_prok!$AY$5:$AY$9</c:f>
              <c:numCache>
                <c:formatCode>General</c:formatCode>
                <c:ptCount val="5"/>
                <c:pt idx="0">
                  <c:v>138</c:v>
                </c:pt>
                <c:pt idx="1">
                  <c:v>434</c:v>
                </c:pt>
                <c:pt idx="2">
                  <c:v>222</c:v>
                </c:pt>
                <c:pt idx="3">
                  <c:v>192</c:v>
                </c:pt>
                <c:pt idx="4">
                  <c:v>113</c:v>
                </c:pt>
              </c:numCache>
            </c:numRef>
          </c:val>
          <c:extLst>
            <c:ext xmlns:c16="http://schemas.microsoft.com/office/drawing/2014/chart" uri="{C3380CC4-5D6E-409C-BE32-E72D297353CC}">
              <c16:uniqueId val="{00000001-DAF5-40A3-98DA-482458639322}"/>
            </c:ext>
          </c:extLst>
        </c:ser>
        <c:dLbls>
          <c:showLegendKey val="0"/>
          <c:showVal val="0"/>
          <c:showCatName val="0"/>
          <c:showSerName val="0"/>
          <c:showPercent val="0"/>
          <c:showBubbleSize val="0"/>
        </c:dLbls>
        <c:gapWidth val="150"/>
        <c:axId val="1693872336"/>
        <c:axId val="1"/>
      </c:barChart>
      <c:catAx>
        <c:axId val="1693872336"/>
        <c:scaling>
          <c:orientation val="minMax"/>
        </c:scaling>
        <c:delete val="0"/>
        <c:axPos val="b"/>
        <c:numFmt formatCode="General" sourceLinked="0"/>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0"/>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693872336"/>
        <c:crosses val="autoZero"/>
        <c:crossBetween val="between"/>
      </c:valAx>
      <c:dTable>
        <c:showHorzBorder val="1"/>
        <c:showVertBorder val="1"/>
        <c:showOutline val="1"/>
        <c:showKeys val="1"/>
        <c:spPr>
          <a:noFill/>
          <a:ln w="6350" cap="flat" cmpd="sng" algn="ctr">
            <a:solidFill>
              <a:schemeClr val="dk1">
                <a:tint val="75000"/>
              </a:schemeClr>
            </a:solidFill>
            <a:prstDash val="solid"/>
            <a:round/>
          </a:ln>
          <a:effectLst/>
        </c:spPr>
        <c:txPr>
          <a:bodyPr rot="0" spcFirstLastPara="1" vertOverflow="ellipsis" vert="horz" wrap="square" anchor="ctr" anchorCtr="1"/>
          <a:lstStyle/>
          <a:p>
            <a:pPr rtl="0">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Table>
      <c:spPr>
        <a:solidFill>
          <a:schemeClr val="bg1">
            <a:lumMod val="95000"/>
          </a:schemeClr>
        </a:solidFill>
        <a:ln>
          <a:noFill/>
        </a:ln>
        <a:effectLst/>
      </c:spPr>
    </c:plotArea>
    <c:plotVisOnly val="1"/>
    <c:dispBlanksAs val="gap"/>
    <c:showDLblsOverMax val="0"/>
  </c:chart>
  <c:spPr>
    <a:solidFill>
      <a:schemeClr val="bg1">
        <a:lumMod val="85000"/>
      </a:schemeClr>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lv-LV" sz="1200" baseline="0">
                <a:solidFill>
                  <a:schemeClr val="tx1"/>
                </a:solidFill>
              </a:rPr>
              <a:t>Valsts apsūdzības uzturēšana pirmās instances tiesā (izskatītas krimināllietas), no tām bez pierādījumu pārbaudes</a:t>
            </a:r>
          </a:p>
        </c:rich>
      </c:tx>
      <c:overlay val="0"/>
    </c:title>
    <c:autoTitleDeleted val="0"/>
    <c:plotArea>
      <c:layout/>
      <c:barChart>
        <c:barDir val="col"/>
        <c:grouping val="clustered"/>
        <c:varyColors val="0"/>
        <c:ser>
          <c:idx val="2"/>
          <c:order val="0"/>
          <c:tx>
            <c:strRef>
              <c:f>II_Rajona_prok!$BD$4</c:f>
              <c:strCache>
                <c:ptCount val="1"/>
                <c:pt idx="0">
                  <c:v>2019</c:v>
                </c:pt>
              </c:strCache>
            </c:strRef>
          </c:tx>
          <c:invertIfNegative val="0"/>
          <c:dLbls>
            <c:spPr>
              <a:noFill/>
              <a:ln w="2537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II_Rajona_prok!$BA$5:$BA$9</c:f>
              <c:strCache>
                <c:ptCount val="5"/>
                <c:pt idx="0">
                  <c:v>Liepājas prok.</c:v>
                </c:pt>
                <c:pt idx="1">
                  <c:v>Ventspils prok.</c:v>
                </c:pt>
                <c:pt idx="2">
                  <c:v>Kuldīgas raj. prok.</c:v>
                </c:pt>
                <c:pt idx="3">
                  <c:v>Saldus raj. prok.</c:v>
                </c:pt>
                <c:pt idx="4">
                  <c:v>Talsu raj. prok.</c:v>
                </c:pt>
              </c:strCache>
            </c:strRef>
          </c:cat>
          <c:val>
            <c:numRef>
              <c:f>II_Rajona_prok!$BD$5:$BD$9</c:f>
              <c:numCache>
                <c:formatCode>General</c:formatCode>
                <c:ptCount val="5"/>
                <c:pt idx="0">
                  <c:v>432</c:v>
                </c:pt>
                <c:pt idx="1">
                  <c:v>130</c:v>
                </c:pt>
                <c:pt idx="2">
                  <c:v>133</c:v>
                </c:pt>
                <c:pt idx="3">
                  <c:v>147</c:v>
                </c:pt>
                <c:pt idx="4">
                  <c:v>163</c:v>
                </c:pt>
              </c:numCache>
            </c:numRef>
          </c:val>
          <c:extLst>
            <c:ext xmlns:c16="http://schemas.microsoft.com/office/drawing/2014/chart" uri="{C3380CC4-5D6E-409C-BE32-E72D297353CC}">
              <c16:uniqueId val="{00000000-FD97-4F89-B9B5-D5421E56F786}"/>
            </c:ext>
          </c:extLst>
        </c:ser>
        <c:ser>
          <c:idx val="3"/>
          <c:order val="1"/>
          <c:tx>
            <c:strRef>
              <c:f>II_Rajona_prok!$BD$4</c:f>
              <c:strCache>
                <c:ptCount val="1"/>
                <c:pt idx="0">
                  <c:v>2019</c:v>
                </c:pt>
              </c:strCache>
            </c:strRef>
          </c:tx>
          <c:invertIfNegative val="0"/>
          <c:dLbls>
            <c:spPr>
              <a:noFill/>
              <a:ln w="2537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II_Rajona_prok!$BA$5:$BA$9</c:f>
              <c:strCache>
                <c:ptCount val="5"/>
                <c:pt idx="0">
                  <c:v>Liepājas prok.</c:v>
                </c:pt>
                <c:pt idx="1">
                  <c:v>Ventspils prok.</c:v>
                </c:pt>
                <c:pt idx="2">
                  <c:v>Kuldīgas raj. prok.</c:v>
                </c:pt>
                <c:pt idx="3">
                  <c:v>Saldus raj. prok.</c:v>
                </c:pt>
                <c:pt idx="4">
                  <c:v>Talsu raj. prok.</c:v>
                </c:pt>
              </c:strCache>
            </c:strRef>
          </c:cat>
          <c:val>
            <c:numRef>
              <c:f>II_Rajona_prok!$BE$5:$BE$9</c:f>
              <c:numCache>
                <c:formatCode>General</c:formatCode>
                <c:ptCount val="5"/>
                <c:pt idx="0">
                  <c:v>336</c:v>
                </c:pt>
                <c:pt idx="1">
                  <c:v>93</c:v>
                </c:pt>
                <c:pt idx="2">
                  <c:v>93</c:v>
                </c:pt>
                <c:pt idx="3">
                  <c:v>115</c:v>
                </c:pt>
                <c:pt idx="4">
                  <c:v>126</c:v>
                </c:pt>
              </c:numCache>
            </c:numRef>
          </c:val>
          <c:extLst>
            <c:ext xmlns:c16="http://schemas.microsoft.com/office/drawing/2014/chart" uri="{C3380CC4-5D6E-409C-BE32-E72D297353CC}">
              <c16:uniqueId val="{00000001-FD97-4F89-B9B5-D5421E56F786}"/>
            </c:ext>
          </c:extLst>
        </c:ser>
        <c:ser>
          <c:idx val="4"/>
          <c:order val="2"/>
          <c:tx>
            <c:v>2020</c:v>
          </c:tx>
          <c:invertIfNegative val="0"/>
          <c:dLbls>
            <c:spPr>
              <a:noFill/>
              <a:ln w="2537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II_Rajona_prok!$BF$5:$BF$9</c:f>
              <c:numCache>
                <c:formatCode>General</c:formatCode>
                <c:ptCount val="5"/>
                <c:pt idx="0">
                  <c:v>313</c:v>
                </c:pt>
                <c:pt idx="1">
                  <c:v>128</c:v>
                </c:pt>
                <c:pt idx="2">
                  <c:v>96</c:v>
                </c:pt>
                <c:pt idx="3">
                  <c:v>92</c:v>
                </c:pt>
                <c:pt idx="4">
                  <c:v>141</c:v>
                </c:pt>
              </c:numCache>
            </c:numRef>
          </c:val>
          <c:extLst>
            <c:ext xmlns:c16="http://schemas.microsoft.com/office/drawing/2014/chart" uri="{C3380CC4-5D6E-409C-BE32-E72D297353CC}">
              <c16:uniqueId val="{00000002-FD97-4F89-B9B5-D5421E56F786}"/>
            </c:ext>
          </c:extLst>
        </c:ser>
        <c:ser>
          <c:idx val="5"/>
          <c:order val="3"/>
          <c:tx>
            <c:strRef>
              <c:f>II_Rajona_prok!$BF$4</c:f>
              <c:strCache>
                <c:ptCount val="1"/>
                <c:pt idx="0">
                  <c:v>2020</c:v>
                </c:pt>
              </c:strCache>
            </c:strRef>
          </c:tx>
          <c:invertIfNegative val="0"/>
          <c:dLbls>
            <c:spPr>
              <a:noFill/>
              <a:ln w="25379">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II_Rajona_prok!$BG$5:$BG$9</c:f>
              <c:numCache>
                <c:formatCode>General</c:formatCode>
                <c:ptCount val="5"/>
                <c:pt idx="0">
                  <c:v>261</c:v>
                </c:pt>
                <c:pt idx="1">
                  <c:v>91</c:v>
                </c:pt>
                <c:pt idx="2">
                  <c:v>82</c:v>
                </c:pt>
                <c:pt idx="3">
                  <c:v>77</c:v>
                </c:pt>
                <c:pt idx="4">
                  <c:v>104</c:v>
                </c:pt>
              </c:numCache>
            </c:numRef>
          </c:val>
          <c:extLst>
            <c:ext xmlns:c16="http://schemas.microsoft.com/office/drawing/2014/chart" uri="{C3380CC4-5D6E-409C-BE32-E72D297353CC}">
              <c16:uniqueId val="{00000003-FD97-4F89-B9B5-D5421E56F786}"/>
            </c:ext>
          </c:extLst>
        </c:ser>
        <c:dLbls>
          <c:showLegendKey val="0"/>
          <c:showVal val="0"/>
          <c:showCatName val="0"/>
          <c:showSerName val="0"/>
          <c:showPercent val="0"/>
          <c:showBubbleSize val="0"/>
        </c:dLbls>
        <c:gapWidth val="150"/>
        <c:axId val="1693871536"/>
        <c:axId val="1"/>
      </c:barChart>
      <c:catAx>
        <c:axId val="169387153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69387153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lv-LV" sz="1200" baseline="0">
                <a:solidFill>
                  <a:schemeClr val="tx1"/>
                </a:solidFill>
              </a:rPr>
              <a:t>Iesniegti protesti, no tiem apmierināti</a:t>
            </a:r>
          </a:p>
        </c:rich>
      </c:tx>
      <c:overlay val="0"/>
    </c:title>
    <c:autoTitleDeleted val="0"/>
    <c:plotArea>
      <c:layout/>
      <c:barChart>
        <c:barDir val="col"/>
        <c:grouping val="clustered"/>
        <c:varyColors val="0"/>
        <c:ser>
          <c:idx val="2"/>
          <c:order val="0"/>
          <c:tx>
            <c:strRef>
              <c:f>II_Rajona_prok!$BL$4</c:f>
              <c:strCache>
                <c:ptCount val="1"/>
                <c:pt idx="0">
                  <c:v>2019</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II_Rajona_prok!$BI$5:$BI$9</c:f>
              <c:strCache>
                <c:ptCount val="5"/>
                <c:pt idx="0">
                  <c:v>Liepājas prok.</c:v>
                </c:pt>
                <c:pt idx="1">
                  <c:v>Ventspils prok.</c:v>
                </c:pt>
                <c:pt idx="2">
                  <c:v>Kuldīgas raj. prok.</c:v>
                </c:pt>
                <c:pt idx="3">
                  <c:v>Saldus raj. prok.</c:v>
                </c:pt>
                <c:pt idx="4">
                  <c:v>Talsu raj. prok.</c:v>
                </c:pt>
              </c:strCache>
            </c:strRef>
          </c:cat>
          <c:val>
            <c:numRef>
              <c:f>II_Rajona_prok!$BL$5:$BL$9</c:f>
              <c:numCache>
                <c:formatCode>General</c:formatCode>
                <c:ptCount val="5"/>
                <c:pt idx="0">
                  <c:v>7</c:v>
                </c:pt>
                <c:pt idx="1">
                  <c:v>5</c:v>
                </c:pt>
                <c:pt idx="2">
                  <c:v>8</c:v>
                </c:pt>
                <c:pt idx="3">
                  <c:v>1</c:v>
                </c:pt>
                <c:pt idx="4">
                  <c:v>10</c:v>
                </c:pt>
              </c:numCache>
            </c:numRef>
          </c:val>
          <c:extLst>
            <c:ext xmlns:c16="http://schemas.microsoft.com/office/drawing/2014/chart" uri="{C3380CC4-5D6E-409C-BE32-E72D297353CC}">
              <c16:uniqueId val="{00000000-3965-4AFD-8883-3519FC3AEAFE}"/>
            </c:ext>
          </c:extLst>
        </c:ser>
        <c:ser>
          <c:idx val="3"/>
          <c:order val="1"/>
          <c:tx>
            <c:strRef>
              <c:f>II_Rajona_prok!$BL$4</c:f>
              <c:strCache>
                <c:ptCount val="1"/>
                <c:pt idx="0">
                  <c:v>2019</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II_Rajona_prok!$BI$5:$BI$9</c:f>
              <c:strCache>
                <c:ptCount val="5"/>
                <c:pt idx="0">
                  <c:v>Liepājas prok.</c:v>
                </c:pt>
                <c:pt idx="1">
                  <c:v>Ventspils prok.</c:v>
                </c:pt>
                <c:pt idx="2">
                  <c:v>Kuldīgas raj. prok.</c:v>
                </c:pt>
                <c:pt idx="3">
                  <c:v>Saldus raj. prok.</c:v>
                </c:pt>
                <c:pt idx="4">
                  <c:v>Talsu raj. prok.</c:v>
                </c:pt>
              </c:strCache>
            </c:strRef>
          </c:cat>
          <c:val>
            <c:numRef>
              <c:f>II_Rajona_prok!$BM$5:$BM$9</c:f>
              <c:numCache>
                <c:formatCode>General</c:formatCode>
                <c:ptCount val="5"/>
                <c:pt idx="0">
                  <c:v>5</c:v>
                </c:pt>
                <c:pt idx="1">
                  <c:v>3</c:v>
                </c:pt>
                <c:pt idx="2">
                  <c:v>5</c:v>
                </c:pt>
                <c:pt idx="3">
                  <c:v>0</c:v>
                </c:pt>
                <c:pt idx="4">
                  <c:v>8</c:v>
                </c:pt>
              </c:numCache>
            </c:numRef>
          </c:val>
          <c:extLst>
            <c:ext xmlns:c16="http://schemas.microsoft.com/office/drawing/2014/chart" uri="{C3380CC4-5D6E-409C-BE32-E72D297353CC}">
              <c16:uniqueId val="{00000001-3965-4AFD-8883-3519FC3AEAFE}"/>
            </c:ext>
          </c:extLst>
        </c:ser>
        <c:ser>
          <c:idx val="4"/>
          <c:order val="2"/>
          <c:tx>
            <c:strRef>
              <c:f>II_Rajona_prok!$BN$4</c:f>
              <c:strCache>
                <c:ptCount val="1"/>
                <c:pt idx="0">
                  <c:v>2020</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II_Rajona_prok!$BN$5:$BN$9</c:f>
              <c:numCache>
                <c:formatCode>General</c:formatCode>
                <c:ptCount val="5"/>
                <c:pt idx="0">
                  <c:v>16</c:v>
                </c:pt>
                <c:pt idx="1">
                  <c:v>5</c:v>
                </c:pt>
                <c:pt idx="2">
                  <c:v>3</c:v>
                </c:pt>
                <c:pt idx="3">
                  <c:v>0</c:v>
                </c:pt>
                <c:pt idx="4">
                  <c:v>11</c:v>
                </c:pt>
              </c:numCache>
            </c:numRef>
          </c:val>
          <c:extLst>
            <c:ext xmlns:c16="http://schemas.microsoft.com/office/drawing/2014/chart" uri="{C3380CC4-5D6E-409C-BE32-E72D297353CC}">
              <c16:uniqueId val="{00000002-3965-4AFD-8883-3519FC3AEAFE}"/>
            </c:ext>
          </c:extLst>
        </c:ser>
        <c:ser>
          <c:idx val="5"/>
          <c:order val="3"/>
          <c:tx>
            <c:strRef>
              <c:f>II_Rajona_prok!$BN$4</c:f>
              <c:strCache>
                <c:ptCount val="1"/>
                <c:pt idx="0">
                  <c:v>2020</c:v>
                </c:pt>
              </c:strCache>
            </c:strRef>
          </c:tx>
          <c:invertIfNegative val="0"/>
          <c:dLbls>
            <c:spPr>
              <a:noFill/>
              <a:ln w="25388">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II_Rajona_prok!$BO$5:$BO$9</c:f>
              <c:numCache>
                <c:formatCode>General</c:formatCode>
                <c:ptCount val="5"/>
                <c:pt idx="0">
                  <c:v>7</c:v>
                </c:pt>
                <c:pt idx="1">
                  <c:v>1</c:v>
                </c:pt>
                <c:pt idx="2">
                  <c:v>1</c:v>
                </c:pt>
                <c:pt idx="3">
                  <c:v>0</c:v>
                </c:pt>
                <c:pt idx="4">
                  <c:v>10</c:v>
                </c:pt>
              </c:numCache>
            </c:numRef>
          </c:val>
          <c:extLst>
            <c:ext xmlns:c16="http://schemas.microsoft.com/office/drawing/2014/chart" uri="{C3380CC4-5D6E-409C-BE32-E72D297353CC}">
              <c16:uniqueId val="{00000003-3965-4AFD-8883-3519FC3AEAFE}"/>
            </c:ext>
          </c:extLst>
        </c:ser>
        <c:dLbls>
          <c:showLegendKey val="0"/>
          <c:showVal val="0"/>
          <c:showCatName val="0"/>
          <c:showSerName val="0"/>
          <c:showPercent val="0"/>
          <c:showBubbleSize val="0"/>
        </c:dLbls>
        <c:gapWidth val="150"/>
        <c:axId val="1695177680"/>
        <c:axId val="1"/>
      </c:barChart>
      <c:catAx>
        <c:axId val="1695177680"/>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1695177680"/>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lv-LV" sz="1200" baseline="0">
                <a:solidFill>
                  <a:schemeClr val="tx1"/>
                </a:solidFill>
              </a:rPr>
              <a:t>Izlemtas sūdzības, no tām apmierinātas</a:t>
            </a:r>
          </a:p>
        </c:rich>
      </c:tx>
      <c:overlay val="0"/>
    </c:title>
    <c:autoTitleDeleted val="0"/>
    <c:plotArea>
      <c:layout/>
      <c:barChart>
        <c:barDir val="col"/>
        <c:grouping val="clustered"/>
        <c:varyColors val="0"/>
        <c:ser>
          <c:idx val="2"/>
          <c:order val="0"/>
          <c:tx>
            <c:strRef>
              <c:f>II_Rajona_prok!$BT$4</c:f>
              <c:strCache>
                <c:ptCount val="1"/>
                <c:pt idx="0">
                  <c:v>2019</c:v>
                </c:pt>
              </c:strCache>
            </c:strRef>
          </c:tx>
          <c:invertIfNegative val="0"/>
          <c:dLbls>
            <c:spPr>
              <a:noFill/>
              <a:ln w="25385">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II_Rajona_prok!$BQ$5:$BQ$9</c:f>
              <c:strCache>
                <c:ptCount val="5"/>
                <c:pt idx="0">
                  <c:v>Liepājas prok.</c:v>
                </c:pt>
                <c:pt idx="1">
                  <c:v>Ventspils prok.</c:v>
                </c:pt>
                <c:pt idx="2">
                  <c:v>Kuldīgas raj. prok.</c:v>
                </c:pt>
                <c:pt idx="3">
                  <c:v>Saldus raj. prok.</c:v>
                </c:pt>
                <c:pt idx="4">
                  <c:v>Talsu raj. prok.</c:v>
                </c:pt>
              </c:strCache>
            </c:strRef>
          </c:cat>
          <c:val>
            <c:numRef>
              <c:f>II_Rajona_prok!$BT$5:$BT$9</c:f>
              <c:numCache>
                <c:formatCode>General</c:formatCode>
                <c:ptCount val="5"/>
                <c:pt idx="0">
                  <c:v>255</c:v>
                </c:pt>
                <c:pt idx="1">
                  <c:v>95</c:v>
                </c:pt>
                <c:pt idx="2">
                  <c:v>75</c:v>
                </c:pt>
                <c:pt idx="3">
                  <c:v>36</c:v>
                </c:pt>
                <c:pt idx="4">
                  <c:v>150</c:v>
                </c:pt>
              </c:numCache>
            </c:numRef>
          </c:val>
          <c:extLst>
            <c:ext xmlns:c16="http://schemas.microsoft.com/office/drawing/2014/chart" uri="{C3380CC4-5D6E-409C-BE32-E72D297353CC}">
              <c16:uniqueId val="{00000000-480D-426D-82BF-1E89FC65C6DF}"/>
            </c:ext>
          </c:extLst>
        </c:ser>
        <c:ser>
          <c:idx val="3"/>
          <c:order val="1"/>
          <c:tx>
            <c:strRef>
              <c:f>II_Rajona_prok!$BT$4</c:f>
              <c:strCache>
                <c:ptCount val="1"/>
                <c:pt idx="0">
                  <c:v>2019</c:v>
                </c:pt>
              </c:strCache>
            </c:strRef>
          </c:tx>
          <c:invertIfNegative val="0"/>
          <c:dLbls>
            <c:spPr>
              <a:noFill/>
              <a:ln w="25385">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II_Rajona_prok!$BQ$5:$BQ$9</c:f>
              <c:strCache>
                <c:ptCount val="5"/>
                <c:pt idx="0">
                  <c:v>Liepājas prok.</c:v>
                </c:pt>
                <c:pt idx="1">
                  <c:v>Ventspils prok.</c:v>
                </c:pt>
                <c:pt idx="2">
                  <c:v>Kuldīgas raj. prok.</c:v>
                </c:pt>
                <c:pt idx="3">
                  <c:v>Saldus raj. prok.</c:v>
                </c:pt>
                <c:pt idx="4">
                  <c:v>Talsu raj. prok.</c:v>
                </c:pt>
              </c:strCache>
            </c:strRef>
          </c:cat>
          <c:val>
            <c:numRef>
              <c:f>II_Rajona_prok!$BU$5:$BU$9</c:f>
              <c:numCache>
                <c:formatCode>General</c:formatCode>
                <c:ptCount val="5"/>
                <c:pt idx="0">
                  <c:v>76</c:v>
                </c:pt>
                <c:pt idx="1">
                  <c:v>27</c:v>
                </c:pt>
                <c:pt idx="2">
                  <c:v>12</c:v>
                </c:pt>
                <c:pt idx="3">
                  <c:v>2</c:v>
                </c:pt>
                <c:pt idx="4">
                  <c:v>30</c:v>
                </c:pt>
              </c:numCache>
            </c:numRef>
          </c:val>
          <c:extLst>
            <c:ext xmlns:c16="http://schemas.microsoft.com/office/drawing/2014/chart" uri="{C3380CC4-5D6E-409C-BE32-E72D297353CC}">
              <c16:uniqueId val="{00000001-480D-426D-82BF-1E89FC65C6DF}"/>
            </c:ext>
          </c:extLst>
        </c:ser>
        <c:ser>
          <c:idx val="4"/>
          <c:order val="2"/>
          <c:tx>
            <c:strRef>
              <c:f>II_Rajona_prok!$BV$4</c:f>
              <c:strCache>
                <c:ptCount val="1"/>
                <c:pt idx="0">
                  <c:v>2020</c:v>
                </c:pt>
              </c:strCache>
            </c:strRef>
          </c:tx>
          <c:invertIfNegative val="0"/>
          <c:dLbls>
            <c:spPr>
              <a:noFill/>
              <a:ln w="25385">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II_Rajona_prok!$BV$5:$BV$9</c:f>
              <c:numCache>
                <c:formatCode>General</c:formatCode>
                <c:ptCount val="5"/>
                <c:pt idx="0">
                  <c:v>217</c:v>
                </c:pt>
                <c:pt idx="1">
                  <c:v>87</c:v>
                </c:pt>
                <c:pt idx="2">
                  <c:v>79</c:v>
                </c:pt>
                <c:pt idx="3">
                  <c:v>45</c:v>
                </c:pt>
                <c:pt idx="4">
                  <c:v>122</c:v>
                </c:pt>
              </c:numCache>
            </c:numRef>
          </c:val>
          <c:extLst>
            <c:ext xmlns:c16="http://schemas.microsoft.com/office/drawing/2014/chart" uri="{C3380CC4-5D6E-409C-BE32-E72D297353CC}">
              <c16:uniqueId val="{00000002-480D-426D-82BF-1E89FC65C6DF}"/>
            </c:ext>
          </c:extLst>
        </c:ser>
        <c:ser>
          <c:idx val="5"/>
          <c:order val="3"/>
          <c:tx>
            <c:strRef>
              <c:f>II_Rajona_prok!$BV$4</c:f>
              <c:strCache>
                <c:ptCount val="1"/>
                <c:pt idx="0">
                  <c:v>2020</c:v>
                </c:pt>
              </c:strCache>
            </c:strRef>
          </c:tx>
          <c:invertIfNegative val="0"/>
          <c:dLbls>
            <c:spPr>
              <a:noFill/>
              <a:ln w="25385">
                <a:noFill/>
              </a:ln>
            </c:spPr>
            <c:txPr>
              <a:bodyPr wrap="square" lIns="38100" tIns="19050" rIns="38100" bIns="19050" anchor="ctr">
                <a:spAutoFit/>
              </a:bodyPr>
              <a:lstStyle/>
              <a:p>
                <a:pPr>
                  <a:defRPr b="1" i="0"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II_Rajona_prok!$BW$5:$BW$9</c:f>
              <c:numCache>
                <c:formatCode>General</c:formatCode>
                <c:ptCount val="5"/>
                <c:pt idx="0">
                  <c:v>50</c:v>
                </c:pt>
                <c:pt idx="1">
                  <c:v>33</c:v>
                </c:pt>
                <c:pt idx="2">
                  <c:v>23</c:v>
                </c:pt>
                <c:pt idx="3">
                  <c:v>7</c:v>
                </c:pt>
                <c:pt idx="4">
                  <c:v>19</c:v>
                </c:pt>
              </c:numCache>
            </c:numRef>
          </c:val>
          <c:extLst>
            <c:ext xmlns:c16="http://schemas.microsoft.com/office/drawing/2014/chart" uri="{C3380CC4-5D6E-409C-BE32-E72D297353CC}">
              <c16:uniqueId val="{00000003-480D-426D-82BF-1E89FC65C6DF}"/>
            </c:ext>
          </c:extLst>
        </c:ser>
        <c:dLbls>
          <c:showLegendKey val="0"/>
          <c:showVal val="0"/>
          <c:showCatName val="0"/>
          <c:showSerName val="0"/>
          <c:showPercent val="0"/>
          <c:showBubbleSize val="0"/>
        </c:dLbls>
        <c:gapWidth val="150"/>
        <c:axId val="1695168480"/>
        <c:axId val="1"/>
      </c:barChart>
      <c:catAx>
        <c:axId val="1695168480"/>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b="0" i="0" baseline="0">
                <a:solidFill>
                  <a:schemeClr val="tx1"/>
                </a:solidFill>
              </a:defRPr>
            </a:pPr>
            <a:endParaRPr lang="lv-LV"/>
          </a:p>
        </c:txPr>
        <c:crossAx val="1695168480"/>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400"/>
            </a:pPr>
            <a:r>
              <a:rPr lang="lv-LV" sz="1200" baseline="0">
                <a:solidFill>
                  <a:schemeClr val="tx1"/>
                </a:solidFill>
              </a:rPr>
              <a:t>Prokuroru personālsastāvs</a:t>
            </a:r>
          </a:p>
        </c:rich>
      </c:tx>
      <c:layout>
        <c:manualLayout>
          <c:xMode val="edge"/>
          <c:yMode val="edge"/>
          <c:x val="0.24438707150948938"/>
          <c:y val="7.6923076923076927E-3"/>
        </c:manualLayout>
      </c:layout>
      <c:overlay val="0"/>
    </c:title>
    <c:autoTitleDeleted val="0"/>
    <c:plotArea>
      <c:layout>
        <c:manualLayout>
          <c:layoutTarget val="inner"/>
          <c:xMode val="edge"/>
          <c:yMode val="edge"/>
          <c:x val="9.7364461607904101E-2"/>
          <c:y val="0.15819421999106006"/>
          <c:w val="0.48515171272380764"/>
          <c:h val="0.83153732421001958"/>
        </c:manualLayout>
      </c:layout>
      <c:doughnutChart>
        <c:varyColors val="1"/>
        <c:ser>
          <c:idx val="0"/>
          <c:order val="0"/>
          <c:explosion val="1"/>
          <c:dPt>
            <c:idx val="1"/>
            <c:bubble3D val="0"/>
            <c:explosion val="0"/>
            <c:extLst>
              <c:ext xmlns:c16="http://schemas.microsoft.com/office/drawing/2014/chart" uri="{C3380CC4-5D6E-409C-BE32-E72D297353CC}">
                <c16:uniqueId val="{00000001-9090-42EE-9B44-D11870D88A7D}"/>
              </c:ext>
            </c:extLst>
          </c:dPt>
          <c:dPt>
            <c:idx val="2"/>
            <c:bubble3D val="0"/>
            <c:explosion val="0"/>
            <c:extLst>
              <c:ext xmlns:c16="http://schemas.microsoft.com/office/drawing/2014/chart" uri="{C3380CC4-5D6E-409C-BE32-E72D297353CC}">
                <c16:uniqueId val="{00000003-9090-42EE-9B44-D11870D88A7D}"/>
              </c:ext>
            </c:extLst>
          </c:dPt>
          <c:dLbls>
            <c:dLbl>
              <c:idx val="0"/>
              <c:tx>
                <c:rich>
                  <a:bodyPr/>
                  <a:lstStyle/>
                  <a:p>
                    <a:r>
                      <a:rPr lang="en-US"/>
                      <a:t>47</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9090-42EE-9B44-D11870D88A7D}"/>
                </c:ext>
              </c:extLst>
            </c:dLbl>
            <c:dLbl>
              <c:idx val="1"/>
              <c:tx>
                <c:rich>
                  <a:bodyPr/>
                  <a:lstStyle/>
                  <a:p>
                    <a:r>
                      <a:rPr lang="en-US"/>
                      <a:t>9</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090-42EE-9B44-D11870D88A7D}"/>
                </c:ext>
              </c:extLst>
            </c:dLbl>
            <c:dLbl>
              <c:idx val="2"/>
              <c:delete val="1"/>
              <c:extLst>
                <c:ext xmlns:c15="http://schemas.microsoft.com/office/drawing/2012/chart" uri="{CE6537A1-D6FC-4f65-9D91-7224C49458BB}"/>
                <c:ext xmlns:c16="http://schemas.microsoft.com/office/drawing/2014/chart" uri="{C3380CC4-5D6E-409C-BE32-E72D297353CC}">
                  <c16:uniqueId val="{00000003-9090-42EE-9B44-D11870D88A7D}"/>
                </c:ext>
              </c:extLst>
            </c:dLbl>
            <c:dLbl>
              <c:idx val="3"/>
              <c:delete val="1"/>
              <c:extLst>
                <c:ext xmlns:c15="http://schemas.microsoft.com/office/drawing/2012/chart" uri="{CE6537A1-D6FC-4f65-9D91-7224C49458BB}"/>
                <c:ext xmlns:c16="http://schemas.microsoft.com/office/drawing/2014/chart" uri="{C3380CC4-5D6E-409C-BE32-E72D297353CC}">
                  <c16:uniqueId val="{00000005-9090-42EE-9B44-D11870D88A7D}"/>
                </c:ext>
              </c:extLst>
            </c:dLbl>
            <c:spPr>
              <a:noFill/>
              <a:ln>
                <a:noFill/>
              </a:ln>
              <a:effectLst/>
            </c:spPr>
            <c:txPr>
              <a:bodyPr/>
              <a:lstStyle/>
              <a:p>
                <a:pPr>
                  <a:defRPr sz="1000" b="1" baseline="0">
                    <a:solidFill>
                      <a:schemeClr val="tx1"/>
                    </a:solidFill>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I_tiesas_apgabala_prok!$AR$6:$AR$9</c:f>
              <c:strCache>
                <c:ptCount val="2"/>
                <c:pt idx="0">
                  <c:v>Aizpildītas štata vietas</c:v>
                </c:pt>
                <c:pt idx="1">
                  <c:v>Brīvas štata vietas</c:v>
                </c:pt>
              </c:strCache>
            </c:strRef>
          </c:cat>
          <c:val>
            <c:numRef>
              <c:f>I_tiesas_apgabala_prok!$AS$6:$AS$9</c:f>
              <c:numCache>
                <c:formatCode>General</c:formatCode>
                <c:ptCount val="4"/>
                <c:pt idx="0">
                  <c:v>47</c:v>
                </c:pt>
                <c:pt idx="1">
                  <c:v>9</c:v>
                </c:pt>
              </c:numCache>
            </c:numRef>
          </c:val>
          <c:extLst>
            <c:ext xmlns:c16="http://schemas.microsoft.com/office/drawing/2014/chart" uri="{C3380CC4-5D6E-409C-BE32-E72D297353CC}">
              <c16:uniqueId val="{00000006-9090-42EE-9B44-D11870D88A7D}"/>
            </c:ext>
          </c:extLst>
        </c:ser>
        <c:dLbls>
          <c:showLegendKey val="0"/>
          <c:showVal val="0"/>
          <c:showCatName val="0"/>
          <c:showSerName val="0"/>
          <c:showPercent val="1"/>
          <c:showBubbleSize val="0"/>
          <c:showLeaderLines val="1"/>
        </c:dLbls>
        <c:firstSliceAng val="0"/>
        <c:holeSize val="50"/>
      </c:doughnutChart>
      <c:spPr>
        <a:noFill/>
        <a:ln w="25400">
          <a:noFill/>
        </a:ln>
      </c:spPr>
    </c:plotArea>
    <c:legend>
      <c:legendPos val="r"/>
      <c:legendEntry>
        <c:idx val="2"/>
        <c:delete val="1"/>
      </c:legendEntry>
      <c:legendEntry>
        <c:idx val="3"/>
        <c:delete val="1"/>
      </c:legendEntry>
      <c:layout>
        <c:manualLayout>
          <c:xMode val="edge"/>
          <c:yMode val="edge"/>
          <c:x val="0.67664551883243895"/>
          <c:y val="0.24657703813224222"/>
          <c:w val="0.30591131253555282"/>
          <c:h val="0.64066207062545133"/>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9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a:solidFill>
                  <a:schemeClr val="tx1"/>
                </a:solidFill>
              </a:rPr>
              <a:t>Kriminālvājāšanai saņemti kriminālprocesi</a:t>
            </a:r>
          </a:p>
        </c:rich>
      </c:tx>
      <c:layout>
        <c:manualLayout>
          <c:xMode val="edge"/>
          <c:yMode val="edge"/>
          <c:x val="0.15582550844246074"/>
          <c:y val="3.7037037037037035E-2"/>
        </c:manualLayout>
      </c:layout>
      <c:overlay val="0"/>
    </c:title>
    <c:autoTitleDeleted val="0"/>
    <c:plotArea>
      <c:layout/>
      <c:barChart>
        <c:barDir val="col"/>
        <c:grouping val="clustered"/>
        <c:varyColors val="0"/>
        <c:ser>
          <c:idx val="1"/>
          <c:order val="0"/>
          <c:tx>
            <c:strRef>
              <c:f>I_tiesas_apgabala_prok!$B$5:$B$7</c:f>
              <c:strCache>
                <c:ptCount val="3"/>
                <c:pt idx="0">
                  <c:v>2018</c:v>
                </c:pt>
                <c:pt idx="1">
                  <c:v>2019</c:v>
                </c:pt>
                <c:pt idx="2">
                  <c:v>2020</c:v>
                </c:pt>
              </c:strCache>
            </c:strRef>
          </c:tx>
          <c:invertIfNegative val="0"/>
          <c:dLbls>
            <c:spPr>
              <a:noFill/>
              <a:ln>
                <a:noFill/>
              </a:ln>
              <a:effectLst/>
            </c:spPr>
            <c:txPr>
              <a:bodyPr/>
              <a:lstStyle/>
              <a:p>
                <a:pPr>
                  <a:defRPr b="1">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I_tiesas_apgabala_prok!$C$5:$C$7</c:f>
              <c:numCache>
                <c:formatCode>General</c:formatCode>
                <c:ptCount val="3"/>
                <c:pt idx="0">
                  <c:v>44</c:v>
                </c:pt>
                <c:pt idx="1">
                  <c:v>50</c:v>
                </c:pt>
                <c:pt idx="2">
                  <c:v>28</c:v>
                </c:pt>
              </c:numCache>
            </c:numRef>
          </c:val>
          <c:extLst>
            <c:ext xmlns:c16="http://schemas.microsoft.com/office/drawing/2014/chart" uri="{C3380CC4-5D6E-409C-BE32-E72D297353CC}">
              <c16:uniqueId val="{00000000-8840-463A-99C2-E027F6C7866C}"/>
            </c:ext>
          </c:extLst>
        </c:ser>
        <c:dLbls>
          <c:showLegendKey val="0"/>
          <c:showVal val="0"/>
          <c:showCatName val="0"/>
          <c:showSerName val="0"/>
          <c:showPercent val="0"/>
          <c:showBubbleSize val="0"/>
        </c:dLbls>
        <c:gapWidth val="150"/>
        <c:axId val="211601664"/>
        <c:axId val="237375488"/>
      </c:barChart>
      <c:catAx>
        <c:axId val="211601664"/>
        <c:scaling>
          <c:orientation val="minMax"/>
        </c:scaling>
        <c:delete val="0"/>
        <c:axPos val="b"/>
        <c:numFmt formatCode="General" sourceLinked="1"/>
        <c:majorTickMark val="none"/>
        <c:minorTickMark val="none"/>
        <c:tickLblPos val="nextTo"/>
        <c:txPr>
          <a:bodyPr/>
          <a:lstStyle/>
          <a:p>
            <a:pPr>
              <a:defRPr b="1">
                <a:solidFill>
                  <a:schemeClr val="tx1"/>
                </a:solidFill>
              </a:defRPr>
            </a:pPr>
            <a:endParaRPr lang="lv-LV"/>
          </a:p>
        </c:txPr>
        <c:crossAx val="237375488"/>
        <c:crosses val="autoZero"/>
        <c:auto val="1"/>
        <c:lblAlgn val="ctr"/>
        <c:lblOffset val="100"/>
        <c:noMultiLvlLbl val="0"/>
      </c:catAx>
      <c:valAx>
        <c:axId val="237375488"/>
        <c:scaling>
          <c:orientation val="minMax"/>
        </c:scaling>
        <c:delete val="1"/>
        <c:axPos val="l"/>
        <c:majorGridlines/>
        <c:numFmt formatCode="General" sourceLinked="1"/>
        <c:majorTickMark val="none"/>
        <c:minorTickMark val="none"/>
        <c:tickLblPos val="nextTo"/>
        <c:crossAx val="211601664"/>
        <c:crosses val="autoZero"/>
        <c:crossBetween val="between"/>
      </c:valAx>
    </c:plotArea>
    <c:plotVisOnly val="1"/>
    <c:dispBlanksAs val="gap"/>
    <c:showDLblsOverMax val="0"/>
  </c:chart>
  <c:spPr>
    <a:ln cmpd="sng">
      <a:solidFill>
        <a:schemeClr val="tx2"/>
      </a:solidFill>
    </a:ln>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a:solidFill>
                  <a:schemeClr val="tx1"/>
                </a:solidFill>
              </a:rPr>
              <a:t>Tiesai nodotas kimināllietas, no tām vienošanās procesa kārtībā</a:t>
            </a:r>
          </a:p>
        </c:rich>
      </c:tx>
      <c:overlay val="0"/>
    </c:title>
    <c:autoTitleDeleted val="0"/>
    <c:plotArea>
      <c:layout/>
      <c:barChart>
        <c:barDir val="col"/>
        <c:grouping val="clustered"/>
        <c:varyColors val="0"/>
        <c:ser>
          <c:idx val="1"/>
          <c:order val="0"/>
          <c:tx>
            <c:strRef>
              <c:f>I_tiesas_apgabala_prok!$E$5:$E$7</c:f>
              <c:strCache>
                <c:ptCount val="3"/>
                <c:pt idx="0">
                  <c:v>2018</c:v>
                </c:pt>
                <c:pt idx="1">
                  <c:v>2019</c:v>
                </c:pt>
                <c:pt idx="2">
                  <c:v>2020</c:v>
                </c:pt>
              </c:strCache>
            </c:strRef>
          </c:tx>
          <c:invertIfNegative val="0"/>
          <c:dLbls>
            <c:spPr>
              <a:noFill/>
              <a:ln>
                <a:noFill/>
              </a:ln>
              <a:effectLst/>
            </c:spPr>
            <c:txPr>
              <a:bodyPr/>
              <a:lstStyle/>
              <a:p>
                <a:pPr>
                  <a:defRPr b="1">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I_tiesas_apgabala_prok!$F$5:$F$7</c:f>
              <c:numCache>
                <c:formatCode>General</c:formatCode>
                <c:ptCount val="3"/>
                <c:pt idx="0">
                  <c:v>39</c:v>
                </c:pt>
                <c:pt idx="1">
                  <c:v>36</c:v>
                </c:pt>
                <c:pt idx="2">
                  <c:v>28</c:v>
                </c:pt>
              </c:numCache>
            </c:numRef>
          </c:val>
          <c:extLst>
            <c:ext xmlns:c16="http://schemas.microsoft.com/office/drawing/2014/chart" uri="{C3380CC4-5D6E-409C-BE32-E72D297353CC}">
              <c16:uniqueId val="{00000000-37EB-4B92-A48E-B45DBCC3A263}"/>
            </c:ext>
          </c:extLst>
        </c:ser>
        <c:ser>
          <c:idx val="0"/>
          <c:order val="1"/>
          <c:tx>
            <c:strRef>
              <c:f>I_tiesas_apgabala_prok!$E$5:$E$7</c:f>
              <c:strCache>
                <c:ptCount val="3"/>
                <c:pt idx="0">
                  <c:v>2018</c:v>
                </c:pt>
                <c:pt idx="1">
                  <c:v>2019</c:v>
                </c:pt>
                <c:pt idx="2">
                  <c:v>2020</c:v>
                </c:pt>
              </c:strCache>
            </c:strRef>
          </c:tx>
          <c:invertIfNegative val="0"/>
          <c:dLbls>
            <c:dLbl>
              <c:idx val="0"/>
              <c:layout>
                <c:manualLayout>
                  <c:x val="0"/>
                  <c:y val="9.782113056763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EB-4B92-A48E-B45DBCC3A263}"/>
                </c:ext>
              </c:extLst>
            </c:dLbl>
            <c:dLbl>
              <c:idx val="1"/>
              <c:layout>
                <c:manualLayout>
                  <c:x val="0"/>
                  <c:y val="2.21539546362673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EB-4B92-A48E-B45DBCC3A263}"/>
                </c:ext>
              </c:extLst>
            </c:dLbl>
            <c:dLbl>
              <c:idx val="2"/>
              <c:layout>
                <c:manualLayout>
                  <c:x val="0"/>
                  <c:y val="3.27991538371135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EB-4B92-A48E-B45DBCC3A263}"/>
                </c:ext>
              </c:extLst>
            </c:dLbl>
            <c:spPr>
              <a:noFill/>
              <a:ln>
                <a:noFill/>
              </a:ln>
              <a:effectLst/>
            </c:spPr>
            <c:txPr>
              <a:bodyPr/>
              <a:lstStyle/>
              <a:p>
                <a:pPr>
                  <a:defRPr b="1">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I_tiesas_apgabala_prok!$G$5:$G$7</c:f>
              <c:numCache>
                <c:formatCode>General</c:formatCode>
                <c:ptCount val="3"/>
                <c:pt idx="0">
                  <c:v>5</c:v>
                </c:pt>
                <c:pt idx="1">
                  <c:v>4</c:v>
                </c:pt>
                <c:pt idx="2">
                  <c:v>7</c:v>
                </c:pt>
              </c:numCache>
            </c:numRef>
          </c:val>
          <c:extLst>
            <c:ext xmlns:c16="http://schemas.microsoft.com/office/drawing/2014/chart" uri="{C3380CC4-5D6E-409C-BE32-E72D297353CC}">
              <c16:uniqueId val="{00000001-37EB-4B92-A48E-B45DBCC3A263}"/>
            </c:ext>
          </c:extLst>
        </c:ser>
        <c:dLbls>
          <c:showLegendKey val="0"/>
          <c:showVal val="0"/>
          <c:showCatName val="0"/>
          <c:showSerName val="0"/>
          <c:showPercent val="0"/>
          <c:showBubbleSize val="0"/>
        </c:dLbls>
        <c:gapWidth val="150"/>
        <c:axId val="51186688"/>
        <c:axId val="139997952"/>
      </c:barChart>
      <c:catAx>
        <c:axId val="51186688"/>
        <c:scaling>
          <c:orientation val="minMax"/>
        </c:scaling>
        <c:delete val="0"/>
        <c:axPos val="b"/>
        <c:numFmt formatCode="General" sourceLinked="1"/>
        <c:majorTickMark val="none"/>
        <c:minorTickMark val="none"/>
        <c:tickLblPos val="nextTo"/>
        <c:txPr>
          <a:bodyPr/>
          <a:lstStyle/>
          <a:p>
            <a:pPr>
              <a:defRPr b="1">
                <a:solidFill>
                  <a:schemeClr val="tx1"/>
                </a:solidFill>
              </a:defRPr>
            </a:pPr>
            <a:endParaRPr lang="lv-LV"/>
          </a:p>
        </c:txPr>
        <c:crossAx val="139997952"/>
        <c:crosses val="autoZero"/>
        <c:auto val="1"/>
        <c:lblAlgn val="ctr"/>
        <c:lblOffset val="100"/>
        <c:noMultiLvlLbl val="0"/>
      </c:catAx>
      <c:valAx>
        <c:axId val="139997952"/>
        <c:scaling>
          <c:orientation val="minMax"/>
        </c:scaling>
        <c:delete val="1"/>
        <c:axPos val="l"/>
        <c:majorGridlines/>
        <c:numFmt formatCode="General" sourceLinked="1"/>
        <c:majorTickMark val="none"/>
        <c:minorTickMark val="none"/>
        <c:tickLblPos val="nextTo"/>
        <c:crossAx val="51186688"/>
        <c:crosses val="autoZero"/>
        <c:crossBetween val="between"/>
      </c:valAx>
    </c:plotArea>
    <c:plotVisOnly val="1"/>
    <c:dispBlanksAs val="gap"/>
    <c:showDLblsOverMax val="0"/>
  </c:chart>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rPr>
              <a:t>Prokuratūrā pabeigti kriminālprocesi, nenododot krimināllietu tiesai</a:t>
            </a:r>
            <a:endParaRPr lang="lv-LV" sz="1200" baseline="0">
              <a:solidFill>
                <a:schemeClr val="tx1"/>
              </a:solidFill>
              <a:effectLst/>
              <a:latin typeface="Times New Roman" panose="02020603050405020304" pitchFamily="18" charset="0"/>
            </a:endParaRPr>
          </a:p>
        </c:rich>
      </c:tx>
      <c:overlay val="0"/>
    </c:title>
    <c:autoTitleDeleted val="0"/>
    <c:plotArea>
      <c:layout/>
      <c:barChart>
        <c:barDir val="col"/>
        <c:grouping val="clustered"/>
        <c:varyColors val="1"/>
        <c:ser>
          <c:idx val="1"/>
          <c:order val="0"/>
          <c:tx>
            <c:strRef>
              <c:f>I_tiesas_apgabala_prok!$I$5:$I$7</c:f>
              <c:strCache>
                <c:ptCount val="3"/>
                <c:pt idx="0">
                  <c:v>2018</c:v>
                </c:pt>
                <c:pt idx="1">
                  <c:v>2019</c:v>
                </c:pt>
                <c:pt idx="2">
                  <c:v>2020</c:v>
                </c:pt>
              </c:strCache>
            </c:strRef>
          </c:tx>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I_tiesas_apgabala_prok!$J$5:$J$7</c:f>
              <c:numCache>
                <c:formatCode>General</c:formatCode>
                <c:ptCount val="3"/>
                <c:pt idx="0">
                  <c:v>6</c:v>
                </c:pt>
                <c:pt idx="1">
                  <c:v>3</c:v>
                </c:pt>
                <c:pt idx="2">
                  <c:v>7</c:v>
                </c:pt>
              </c:numCache>
            </c:numRef>
          </c:val>
          <c:extLst>
            <c:ext xmlns:c16="http://schemas.microsoft.com/office/drawing/2014/chart" uri="{C3380CC4-5D6E-409C-BE32-E72D297353CC}">
              <c16:uniqueId val="{00000000-50E5-4514-B9EF-147FDA0B0904}"/>
            </c:ext>
          </c:extLst>
        </c:ser>
        <c:dLbls>
          <c:showLegendKey val="0"/>
          <c:showVal val="0"/>
          <c:showCatName val="0"/>
          <c:showSerName val="0"/>
          <c:showPercent val="0"/>
          <c:showBubbleSize val="0"/>
        </c:dLbls>
        <c:gapWidth val="150"/>
        <c:axId val="166366592"/>
        <c:axId val="166438400"/>
      </c:barChart>
      <c:catAx>
        <c:axId val="1663665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66438400"/>
        <c:crosses val="autoZero"/>
        <c:auto val="1"/>
        <c:lblAlgn val="ctr"/>
        <c:lblOffset val="100"/>
        <c:noMultiLvlLbl val="0"/>
      </c:catAx>
      <c:valAx>
        <c:axId val="166438400"/>
        <c:scaling>
          <c:orientation val="minMax"/>
        </c:scaling>
        <c:delete val="1"/>
        <c:axPos val="l"/>
        <c:majorGridlines/>
        <c:numFmt formatCode="General" sourceLinked="1"/>
        <c:majorTickMark val="none"/>
        <c:minorTickMark val="none"/>
        <c:tickLblPos val="nextTo"/>
        <c:crossAx val="1663665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a:solidFill>
                  <a:schemeClr val="tx1"/>
                </a:solidFill>
              </a:rPr>
              <a:t>Pabeigti kriminālprocesi par atsevišķiem noziedzīgiem nodarījumiem</a:t>
            </a:r>
            <a:r>
              <a:rPr lang="lv-LV"/>
              <a:t> </a:t>
            </a:r>
          </a:p>
          <a:p>
            <a:pPr>
              <a:defRPr/>
            </a:pPr>
            <a:r>
              <a:rPr lang="lv-LV" sz="1200">
                <a:solidFill>
                  <a:schemeClr val="tx1"/>
                </a:solidFill>
              </a:rPr>
              <a:t>(īpaši aktuāli)</a:t>
            </a:r>
          </a:p>
        </c:rich>
      </c:tx>
      <c:layout>
        <c:manualLayout>
          <c:xMode val="edge"/>
          <c:yMode val="edge"/>
          <c:x val="0.10951255649256861"/>
          <c:y val="3.1263607641560409E-3"/>
        </c:manualLayout>
      </c:layout>
      <c:overlay val="0"/>
    </c:title>
    <c:autoTitleDeleted val="0"/>
    <c:plotArea>
      <c:layout>
        <c:manualLayout>
          <c:layoutTarget val="inner"/>
          <c:xMode val="edge"/>
          <c:yMode val="edge"/>
          <c:x val="4.4078478710775672E-2"/>
          <c:y val="0.18355750537116031"/>
          <c:w val="0.5236906979443241"/>
          <c:h val="0.74106664287592416"/>
        </c:manualLayout>
      </c:layout>
      <c:barChart>
        <c:barDir val="col"/>
        <c:grouping val="clustered"/>
        <c:varyColors val="0"/>
        <c:ser>
          <c:idx val="0"/>
          <c:order val="0"/>
          <c:tx>
            <c:strRef>
              <c:f>'[Chart in Microsoft Word]I_tiesas_apgabala_prok'!$M$4</c:f>
              <c:strCache>
                <c:ptCount val="1"/>
                <c:pt idx="0">
                  <c:v>Slepkavības (ieskaitot KL 125.p.3.d.)</c:v>
                </c:pt>
              </c:strCache>
            </c:strRef>
          </c:tx>
          <c:spPr>
            <a:solidFill>
              <a:srgbClr val="C00000"/>
            </a:solidFill>
          </c:spPr>
          <c:invertIfNegative val="0"/>
          <c:dLbls>
            <c:dLbl>
              <c:idx val="0"/>
              <c:layout>
                <c:manualLayout>
                  <c:x val="-1.607071112896753E-3"/>
                  <c:y val="-5.80904232200969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0C-4366-BD82-8373C3B57612}"/>
                </c:ext>
              </c:extLst>
            </c:dLbl>
            <c:dLbl>
              <c:idx val="1"/>
              <c:layout>
                <c:manualLayout>
                  <c:x val="0"/>
                  <c:y val="5.97893191740942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0C-4366-BD82-8373C3B57612}"/>
                </c:ext>
              </c:extLst>
            </c:dLbl>
            <c:dLbl>
              <c:idx val="2"/>
              <c:layout>
                <c:manualLayout>
                  <c:x val="-1.1785052019316217E-16"/>
                  <c:y val="-6.21618643063746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0C-4366-BD82-8373C3B57612}"/>
                </c:ext>
              </c:extLst>
            </c:dLbl>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Word]I_tiesas_apgabala_prok'!$M$5:$M$7</c:f>
              <c:numCache>
                <c:formatCode>General</c:formatCode>
                <c:ptCount val="3"/>
                <c:pt idx="0">
                  <c:v>7</c:v>
                </c:pt>
                <c:pt idx="1">
                  <c:v>2</c:v>
                </c:pt>
                <c:pt idx="2">
                  <c:v>1</c:v>
                </c:pt>
              </c:numCache>
            </c:numRef>
          </c:val>
          <c:extLst>
            <c:ext xmlns:c16="http://schemas.microsoft.com/office/drawing/2014/chart" uri="{C3380CC4-5D6E-409C-BE32-E72D297353CC}">
              <c16:uniqueId val="{00000003-E40C-4366-BD82-8373C3B57612}"/>
            </c:ext>
          </c:extLst>
        </c:ser>
        <c:ser>
          <c:idx val="1"/>
          <c:order val="1"/>
          <c:tx>
            <c:strRef>
              <c:f>'[Chart in Microsoft Word]I_tiesas_apgabala_prok'!$N$4</c:f>
              <c:strCache>
                <c:ptCount val="1"/>
                <c:pt idx="0">
                  <c:v>Noziegumi pret tikumību un dzimumneaizskaramību, kas izdarīti ar mazgadīgo vai nepilngadīgo 
          </c:v>
                </c:pt>
              </c:strCache>
            </c:strRef>
          </c:tx>
          <c:spPr>
            <a:solidFill>
              <a:schemeClr val="accent1"/>
            </a:solidFill>
          </c:spPr>
          <c:invertIfNegative val="0"/>
          <c:dLbls>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Word]I_tiesas_apgabala_prok'!$N$5:$N$7</c:f>
              <c:numCache>
                <c:formatCode>General</c:formatCode>
                <c:ptCount val="3"/>
                <c:pt idx="0">
                  <c:v>15</c:v>
                </c:pt>
                <c:pt idx="1">
                  <c:v>11</c:v>
                </c:pt>
                <c:pt idx="2">
                  <c:v>12</c:v>
                </c:pt>
              </c:numCache>
            </c:numRef>
          </c:val>
          <c:extLst>
            <c:ext xmlns:c16="http://schemas.microsoft.com/office/drawing/2014/chart" uri="{C3380CC4-5D6E-409C-BE32-E72D297353CC}">
              <c16:uniqueId val="{00000004-E40C-4366-BD82-8373C3B57612}"/>
            </c:ext>
          </c:extLst>
        </c:ser>
        <c:ser>
          <c:idx val="2"/>
          <c:order val="2"/>
          <c:tx>
            <c:strRef>
              <c:f>'[Chart in Microsoft Word]I_tiesas_apgabala_prok'!$O$4</c:f>
              <c:strCache>
                <c:ptCount val="1"/>
                <c:pt idx="0">
                  <c:v>Noziegumi pret īpašumu, ar ko radīts mantisks zaudējums lielā apmērā</c:v>
                </c:pt>
              </c:strCache>
            </c:strRef>
          </c:tx>
          <c:invertIfNegative val="0"/>
          <c:dLbls>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Word]I_tiesas_apgabala_prok'!$O$5:$O$7</c:f>
              <c:numCache>
                <c:formatCode>General</c:formatCode>
                <c:ptCount val="3"/>
                <c:pt idx="0">
                  <c:v>7</c:v>
                </c:pt>
                <c:pt idx="1">
                  <c:v>8</c:v>
                </c:pt>
                <c:pt idx="2">
                  <c:v>3</c:v>
                </c:pt>
              </c:numCache>
            </c:numRef>
          </c:val>
          <c:extLst>
            <c:ext xmlns:c16="http://schemas.microsoft.com/office/drawing/2014/chart" uri="{C3380CC4-5D6E-409C-BE32-E72D297353CC}">
              <c16:uniqueId val="{00000005-E40C-4366-BD82-8373C3B57612}"/>
            </c:ext>
          </c:extLst>
        </c:ser>
        <c:ser>
          <c:idx val="3"/>
          <c:order val="3"/>
          <c:tx>
            <c:strRef>
              <c:f>'[Chart in Microsoft Word]I_tiesas_apgabala_prok'!$P$4</c:f>
              <c:strCache>
                <c:ptCount val="1"/>
                <c:pt idx="0">
                  <c:v>Noziedzīgi iegūtu līdzekļu legalizēšana</c:v>
                </c:pt>
              </c:strCache>
            </c:strRef>
          </c:tx>
          <c:invertIfNegative val="0"/>
          <c:dLbls>
            <c:dLbl>
              <c:idx val="1"/>
              <c:layout>
                <c:manualLayout>
                  <c:x val="2.3668639053254005E-3"/>
                  <c:y val="0"/>
                </c:manualLayout>
              </c:layout>
              <c:spPr>
                <a:noFill/>
                <a:ln>
                  <a:noFill/>
                </a:ln>
                <a:effectLst/>
              </c:spPr>
              <c:txPr>
                <a:bodyPr/>
                <a:lstStyle/>
                <a:p>
                  <a:pPr>
                    <a:defRPr sz="1000" b="1" strike="noStrike" baseline="0">
                      <a:solidFill>
                        <a:schemeClr val="tx1"/>
                      </a:solidFill>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40C-4366-BD82-8373C3B57612}"/>
                </c:ext>
              </c:extLst>
            </c:dLbl>
            <c:spPr>
              <a:noFill/>
              <a:ln>
                <a:noFill/>
              </a:ln>
              <a:effectLst/>
            </c:spPr>
            <c:txPr>
              <a:bodyPr/>
              <a:lstStyle/>
              <a:p>
                <a:pPr>
                  <a:defRPr sz="1000" b="1" strike="dblStrike"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Word]I_tiesas_apgabala_prok'!$P$5:$P$7</c:f>
              <c:numCache>
                <c:formatCode>General</c:formatCode>
                <c:ptCount val="3"/>
                <c:pt idx="0">
                  <c:v>0</c:v>
                </c:pt>
                <c:pt idx="1">
                  <c:v>1</c:v>
                </c:pt>
                <c:pt idx="2">
                  <c:v>0</c:v>
                </c:pt>
              </c:numCache>
            </c:numRef>
          </c:val>
          <c:extLst>
            <c:ext xmlns:c16="http://schemas.microsoft.com/office/drawing/2014/chart" uri="{C3380CC4-5D6E-409C-BE32-E72D297353CC}">
              <c16:uniqueId val="{00000006-E40C-4366-BD82-8373C3B57612}"/>
            </c:ext>
          </c:extLst>
        </c:ser>
        <c:ser>
          <c:idx val="4"/>
          <c:order val="4"/>
          <c:tx>
            <c:strRef>
              <c:f>'[Chart in Microsoft Word]I_tiesas_apgabala_prok'!$Q$4</c:f>
              <c:strCache>
                <c:ptCount val="1"/>
                <c:pt idx="0">
                  <c:v>Noziedzīgi nodarījumi valsts institūciju dienestā</c:v>
                </c:pt>
              </c:strCache>
            </c:strRef>
          </c:tx>
          <c:spPr>
            <a:solidFill>
              <a:schemeClr val="accent6"/>
            </a:solidFill>
          </c:spPr>
          <c:invertIfNegative val="0"/>
          <c:dLbls>
            <c:spPr>
              <a:noFill/>
              <a:ln>
                <a:noFill/>
              </a:ln>
              <a:effectLst/>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Word]I_tiesas_apgabala_prok'!$L$5:$L$7</c:f>
              <c:numCache>
                <c:formatCode>General</c:formatCode>
                <c:ptCount val="3"/>
                <c:pt idx="0">
                  <c:v>2018</c:v>
                </c:pt>
                <c:pt idx="1">
                  <c:v>2019</c:v>
                </c:pt>
                <c:pt idx="2">
                  <c:v>2020</c:v>
                </c:pt>
              </c:numCache>
            </c:numRef>
          </c:cat>
          <c:val>
            <c:numRef>
              <c:f>'[Chart in Microsoft Word]I_tiesas_apgabala_prok'!$Q$5:$Q$7</c:f>
              <c:numCache>
                <c:formatCode>General</c:formatCode>
                <c:ptCount val="3"/>
                <c:pt idx="0">
                  <c:v>4</c:v>
                </c:pt>
                <c:pt idx="1">
                  <c:v>1</c:v>
                </c:pt>
                <c:pt idx="2">
                  <c:v>4</c:v>
                </c:pt>
              </c:numCache>
            </c:numRef>
          </c:val>
          <c:extLst>
            <c:ext xmlns:c16="http://schemas.microsoft.com/office/drawing/2014/chart" uri="{C3380CC4-5D6E-409C-BE32-E72D297353CC}">
              <c16:uniqueId val="{00000007-E40C-4366-BD82-8373C3B57612}"/>
            </c:ext>
          </c:extLst>
        </c:ser>
        <c:dLbls>
          <c:showLegendKey val="0"/>
          <c:showVal val="0"/>
          <c:showCatName val="0"/>
          <c:showSerName val="0"/>
          <c:showPercent val="0"/>
          <c:showBubbleSize val="0"/>
        </c:dLbls>
        <c:gapWidth val="150"/>
        <c:axId val="145967360"/>
        <c:axId val="147392000"/>
      </c:barChart>
      <c:catAx>
        <c:axId val="145967360"/>
        <c:scaling>
          <c:orientation val="minMax"/>
        </c:scaling>
        <c:delete val="0"/>
        <c:axPos val="b"/>
        <c:numFmt formatCode="General" sourceLinked="1"/>
        <c:majorTickMark val="none"/>
        <c:minorTickMark val="none"/>
        <c:tickLblPos val="nextTo"/>
        <c:txPr>
          <a:bodyPr/>
          <a:lstStyle/>
          <a:p>
            <a:pPr>
              <a:defRPr sz="1000" b="1" baseline="0">
                <a:solidFill>
                  <a:schemeClr val="tx1"/>
                </a:solidFill>
              </a:defRPr>
            </a:pPr>
            <a:endParaRPr lang="lv-LV"/>
          </a:p>
        </c:txPr>
        <c:crossAx val="147392000"/>
        <c:crosses val="autoZero"/>
        <c:auto val="1"/>
        <c:lblAlgn val="ctr"/>
        <c:lblOffset val="100"/>
        <c:noMultiLvlLbl val="0"/>
      </c:catAx>
      <c:valAx>
        <c:axId val="147392000"/>
        <c:scaling>
          <c:orientation val="minMax"/>
        </c:scaling>
        <c:delete val="1"/>
        <c:axPos val="l"/>
        <c:majorGridlines/>
        <c:numFmt formatCode="General" sourceLinked="1"/>
        <c:majorTickMark val="none"/>
        <c:minorTickMark val="none"/>
        <c:tickLblPos val="nextTo"/>
        <c:crossAx val="145967360"/>
        <c:crosses val="autoZero"/>
        <c:crossBetween val="between"/>
      </c:valAx>
    </c:plotArea>
    <c:legend>
      <c:legendPos val="r"/>
      <c:layout>
        <c:manualLayout>
          <c:xMode val="edge"/>
          <c:yMode val="edge"/>
          <c:x val="0.57201576822991185"/>
          <c:y val="0.10929030705222982"/>
          <c:w val="0.42496961821627788"/>
          <c:h val="0.89070969294777014"/>
        </c:manualLayout>
      </c:layout>
      <c:overlay val="0"/>
      <c:txPr>
        <a:bodyPr/>
        <a:lstStyle/>
        <a:p>
          <a:pPr>
            <a:defRPr sz="1010" b="1" i="0" baseline="0">
              <a:solidFill>
                <a:schemeClr val="tx1"/>
              </a:solidFill>
            </a:defRPr>
          </a:pPr>
          <a:endParaRPr lang="lv-LV"/>
        </a:p>
      </c:txPr>
    </c:legend>
    <c:plotVisOnly val="1"/>
    <c:dispBlanksAs val="gap"/>
    <c:showDLblsOverMax val="0"/>
  </c:chart>
  <c:spPr>
    <a:solidFill>
      <a:schemeClr val="accent2">
        <a:lumMod val="20000"/>
        <a:lumOff val="80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Prokuroru uzraudzībā pieņemti kriminālprocesi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3024026955308272"/>
          <c:y val="5.5734560674823998E-2"/>
        </c:manualLayout>
      </c:layout>
      <c:overlay val="0"/>
    </c:title>
    <c:autoTitleDeleted val="0"/>
    <c:plotArea>
      <c:layout/>
      <c:lineChart>
        <c:grouping val="standard"/>
        <c:varyColors val="0"/>
        <c:ser>
          <c:idx val="1"/>
          <c:order val="0"/>
          <c:tx>
            <c:strRef>
              <c:f>I_tiesas_apgabala_prok!$S$5:$S$7</c:f>
              <c:strCache>
                <c:ptCount val="3"/>
                <c:pt idx="0">
                  <c:v>2018</c:v>
                </c:pt>
                <c:pt idx="1">
                  <c:v>2019</c:v>
                </c:pt>
                <c:pt idx="2">
                  <c:v>2020</c:v>
                </c:pt>
              </c:strCache>
            </c:strRef>
          </c:tx>
          <c:marker>
            <c:symbol val="none"/>
          </c:marker>
          <c:dLbls>
            <c:dLbl>
              <c:idx val="0"/>
              <c:layout>
                <c:manualLayout>
                  <c:x val="-6.0606060606060608E-2"/>
                  <c:y val="-6.51731160896130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C7-40FD-A89F-A2CC3634AD8F}"/>
                </c:ext>
              </c:extLst>
            </c:dLbl>
            <c:dLbl>
              <c:idx val="1"/>
              <c:layout>
                <c:manualLayout>
                  <c:x val="-4.9586776859504203E-2"/>
                  <c:y val="-8.9613034623217958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876951331496786E-2"/>
                      <c:h val="0.19144602851323828"/>
                    </c:manualLayout>
                  </c15:layout>
                </c:ext>
                <c:ext xmlns:c16="http://schemas.microsoft.com/office/drawing/2014/chart" uri="{C3380CC4-5D6E-409C-BE32-E72D297353CC}">
                  <c16:uniqueId val="{00000002-D4C7-40FD-A89F-A2CC3634AD8F}"/>
                </c:ext>
              </c:extLst>
            </c:dLbl>
            <c:dLbl>
              <c:idx val="2"/>
              <c:layout>
                <c:manualLayout>
                  <c:x val="-4.2240587695133149E-2"/>
                  <c:y val="-7.3319755600814746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876951331496786E-2"/>
                      <c:h val="0.19144602851323828"/>
                    </c:manualLayout>
                  </c15:layout>
                </c:ext>
                <c:ext xmlns:c16="http://schemas.microsoft.com/office/drawing/2014/chart" uri="{C3380CC4-5D6E-409C-BE32-E72D297353CC}">
                  <c16:uniqueId val="{00000003-D4C7-40FD-A89F-A2CC3634AD8F}"/>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I_tiesas_apgabala_prok!$T$5:$T$7</c:f>
              <c:numCache>
                <c:formatCode>General</c:formatCode>
                <c:ptCount val="3"/>
                <c:pt idx="0">
                  <c:v>74</c:v>
                </c:pt>
                <c:pt idx="1">
                  <c:v>84</c:v>
                </c:pt>
                <c:pt idx="2">
                  <c:v>81</c:v>
                </c:pt>
              </c:numCache>
            </c:numRef>
          </c:val>
          <c:smooth val="0"/>
          <c:extLst>
            <c:ext xmlns:c16="http://schemas.microsoft.com/office/drawing/2014/chart" uri="{C3380CC4-5D6E-409C-BE32-E72D297353CC}">
              <c16:uniqueId val="{00000000-D4C7-40FD-A89F-A2CC3634AD8F}"/>
            </c:ext>
          </c:extLst>
        </c:ser>
        <c:dLbls>
          <c:showLegendKey val="0"/>
          <c:showVal val="0"/>
          <c:showCatName val="0"/>
          <c:showSerName val="0"/>
          <c:showPercent val="0"/>
          <c:showBubbleSize val="0"/>
        </c:dLbls>
        <c:smooth val="0"/>
        <c:axId val="290766208"/>
        <c:axId val="291205888"/>
      </c:lineChart>
      <c:catAx>
        <c:axId val="29076620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1205888"/>
        <c:crosses val="autoZero"/>
        <c:auto val="1"/>
        <c:lblAlgn val="ctr"/>
        <c:lblOffset val="100"/>
        <c:noMultiLvlLbl val="0"/>
      </c:catAx>
      <c:valAx>
        <c:axId val="291205888"/>
        <c:scaling>
          <c:orientation val="minMax"/>
        </c:scaling>
        <c:delete val="1"/>
        <c:axPos val="l"/>
        <c:majorGridlines/>
        <c:numFmt formatCode="General" sourceLinked="1"/>
        <c:majorTickMark val="none"/>
        <c:minorTickMark val="none"/>
        <c:tickLblPos val="nextTo"/>
        <c:crossAx val="29076620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lv-LV" sz="1200" b="1" baseline="0">
                <a:solidFill>
                  <a:schemeClr val="tx1"/>
                </a:solidFill>
                <a:latin typeface="Times New Roman" panose="02020603050405020304" pitchFamily="18" charset="0"/>
                <a:cs typeface="Times New Roman" panose="02020603050405020304" pitchFamily="18" charset="0"/>
              </a:rPr>
              <a:t>Pirmstiesas kriminālprocesu pabeigšana</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Sheet1!$B$1</c:f>
              <c:strCache>
                <c:ptCount val="1"/>
                <c:pt idx="0">
                  <c:v>Kopā</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Sheet1!$B$2:$B$4</c:f>
              <c:numCache>
                <c:formatCode>General</c:formatCode>
                <c:ptCount val="3"/>
                <c:pt idx="0">
                  <c:v>11614</c:v>
                </c:pt>
                <c:pt idx="1">
                  <c:v>11290</c:v>
                </c:pt>
                <c:pt idx="2">
                  <c:v>11013</c:v>
                </c:pt>
              </c:numCache>
            </c:numRef>
          </c:val>
          <c:extLst>
            <c:ext xmlns:c16="http://schemas.microsoft.com/office/drawing/2014/chart" uri="{C3380CC4-5D6E-409C-BE32-E72D297353CC}">
              <c16:uniqueId val="{00000000-76B5-4913-B4A9-E9BEB7A9B794}"/>
            </c:ext>
          </c:extLst>
        </c:ser>
        <c:ser>
          <c:idx val="1"/>
          <c:order val="1"/>
          <c:tx>
            <c:strRef>
              <c:f>Sheet1!$C$1</c:f>
              <c:strCache>
                <c:ptCount val="1"/>
                <c:pt idx="0">
                  <c:v>No tiem nodoti tiesām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Sheet1!$C$2:$C$4</c:f>
              <c:numCache>
                <c:formatCode>General</c:formatCode>
                <c:ptCount val="3"/>
                <c:pt idx="0">
                  <c:v>8887</c:v>
                </c:pt>
                <c:pt idx="1">
                  <c:v>8593</c:v>
                </c:pt>
                <c:pt idx="2">
                  <c:v>8088</c:v>
                </c:pt>
              </c:numCache>
            </c:numRef>
          </c:val>
          <c:extLst>
            <c:ext xmlns:c16="http://schemas.microsoft.com/office/drawing/2014/chart" uri="{C3380CC4-5D6E-409C-BE32-E72D297353CC}">
              <c16:uniqueId val="{00000001-76B5-4913-B4A9-E9BEB7A9B794}"/>
            </c:ext>
          </c:extLst>
        </c:ser>
        <c:ser>
          <c:idx val="2"/>
          <c:order val="2"/>
          <c:tx>
            <c:strRef>
              <c:f>Sheet1!$D$1</c:f>
              <c:strCache>
                <c:ptCount val="1"/>
                <c:pt idx="0">
                  <c:v>No tiem pabeigti prokuratūrā</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2018</c:v>
                </c:pt>
                <c:pt idx="1">
                  <c:v>2019</c:v>
                </c:pt>
                <c:pt idx="2">
                  <c:v>2020</c:v>
                </c:pt>
              </c:numCache>
            </c:numRef>
          </c:cat>
          <c:val>
            <c:numRef>
              <c:f>Sheet1!$D$2:$D$4</c:f>
              <c:numCache>
                <c:formatCode>General</c:formatCode>
                <c:ptCount val="3"/>
                <c:pt idx="0">
                  <c:v>2727</c:v>
                </c:pt>
                <c:pt idx="1">
                  <c:v>2697</c:v>
                </c:pt>
                <c:pt idx="2">
                  <c:v>2925</c:v>
                </c:pt>
              </c:numCache>
            </c:numRef>
          </c:val>
          <c:extLst>
            <c:ext xmlns:c16="http://schemas.microsoft.com/office/drawing/2014/chart" uri="{C3380CC4-5D6E-409C-BE32-E72D297353CC}">
              <c16:uniqueId val="{00000002-76B5-4913-B4A9-E9BEB7A9B794}"/>
            </c:ext>
          </c:extLst>
        </c:ser>
        <c:dLbls>
          <c:showLegendKey val="0"/>
          <c:showVal val="0"/>
          <c:showCatName val="0"/>
          <c:showSerName val="0"/>
          <c:showPercent val="0"/>
          <c:showBubbleSize val="0"/>
        </c:dLbls>
        <c:gapWidth val="219"/>
        <c:overlap val="100"/>
        <c:axId val="504351224"/>
        <c:axId val="504347288"/>
      </c:barChart>
      <c:catAx>
        <c:axId val="504351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04347288"/>
        <c:crosses val="autoZero"/>
        <c:auto val="1"/>
        <c:lblAlgn val="ctr"/>
        <c:lblOffset val="100"/>
        <c:noMultiLvlLbl val="0"/>
      </c:catAx>
      <c:valAx>
        <c:axId val="50434728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4351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800" b="1" i="0" baseline="0">
                <a:solidFill>
                  <a:schemeClr val="tx2"/>
                </a:solidFill>
                <a:effectLst/>
              </a:rPr>
              <a:t> </a:t>
            </a:r>
            <a:r>
              <a:rPr lang="lv-LV" sz="1200" b="1" i="0" baseline="0">
                <a:solidFill>
                  <a:schemeClr val="tx1"/>
                </a:solidFill>
                <a:effectLst/>
                <a:latin typeface="Times New Roman" panose="02020603050405020304" pitchFamily="18" charset="0"/>
                <a:cs typeface="Times New Roman" panose="02020603050405020304" pitchFamily="18" charset="0"/>
              </a:rPr>
              <a:t>Prokuroru dotie norādījumi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8040966754155729"/>
          <c:y val="4.1666666666666664E-2"/>
        </c:manualLayout>
      </c:layout>
      <c:overlay val="0"/>
    </c:title>
    <c:autoTitleDeleted val="0"/>
    <c:plotArea>
      <c:layout>
        <c:manualLayout>
          <c:layoutTarget val="inner"/>
          <c:xMode val="edge"/>
          <c:yMode val="edge"/>
          <c:x val="2.7534418022528161E-2"/>
          <c:y val="0.33775933609958508"/>
          <c:w val="0.91739674593241549"/>
          <c:h val="0.41730257784167019"/>
        </c:manualLayout>
      </c:layout>
      <c:lineChart>
        <c:grouping val="standard"/>
        <c:varyColors val="0"/>
        <c:ser>
          <c:idx val="1"/>
          <c:order val="0"/>
          <c:tx>
            <c:strRef>
              <c:f>I_tiesas_apgabala_prok!$V$6:$V$8</c:f>
              <c:strCache>
                <c:ptCount val="3"/>
                <c:pt idx="0">
                  <c:v>2018</c:v>
                </c:pt>
                <c:pt idx="1">
                  <c:v>2019</c:v>
                </c:pt>
                <c:pt idx="2">
                  <c:v>2020</c:v>
                </c:pt>
              </c:strCache>
            </c:strRef>
          </c:tx>
          <c:marker>
            <c:symbol val="none"/>
          </c:marker>
          <c:dLbls>
            <c:dLbl>
              <c:idx val="0"/>
              <c:layout>
                <c:manualLayout>
                  <c:x val="-3.2029013907198284E-2"/>
                  <c:y val="-0.1155680073185873"/>
                </c:manualLayout>
              </c:layout>
              <c:tx>
                <c:rich>
                  <a:bodyPr/>
                  <a:lstStyle/>
                  <a:p>
                    <a:fld id="{86326B47-8A8B-4BC5-AFD9-A48A095A0676}" type="VALUE">
                      <a:rPr lang="en-US"/>
                      <a:pPr/>
                      <a:t>[VALUE]</a:t>
                    </a:fld>
                    <a:endParaRPr lang="lv-LV"/>
                  </a:p>
                </c:rich>
              </c:tx>
              <c:dLblPos val="r"/>
              <c:showLegendKey val="0"/>
              <c:showVal val="1"/>
              <c:showCatName val="0"/>
              <c:showSerName val="0"/>
              <c:showPercent val="0"/>
              <c:showBubbleSize val="0"/>
              <c:extLst>
                <c:ext xmlns:c15="http://schemas.microsoft.com/office/drawing/2012/chart" uri="{CE6537A1-D6FC-4f65-9D91-7224C49458BB}">
                  <c15:layout>
                    <c:manualLayout>
                      <c:w val="8.5384615384615378E-2"/>
                      <c:h val="0.21111111111111111"/>
                    </c:manualLayout>
                  </c15:layout>
                  <c15:dlblFieldTable/>
                  <c15:showDataLabelsRange val="0"/>
                </c:ext>
                <c:ext xmlns:c16="http://schemas.microsoft.com/office/drawing/2014/chart" uri="{C3380CC4-5D6E-409C-BE32-E72D297353CC}">
                  <c16:uniqueId val="{00000003-E65F-4432-8BAA-1B4CA9B5F853}"/>
                </c:ext>
              </c:extLst>
            </c:dLbl>
            <c:dLbl>
              <c:idx val="1"/>
              <c:layout>
                <c:manualLayout>
                  <c:x val="-4.0634920634920635E-2"/>
                  <c:y val="-5.1851851851851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5F-4432-8BAA-1B4CA9B5F853}"/>
                </c:ext>
              </c:extLst>
            </c:dLbl>
            <c:dLbl>
              <c:idx val="2"/>
              <c:layout>
                <c:manualLayout>
                  <c:x val="-4.0634920634920635E-2"/>
                  <c:y val="-0.1111111111111111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5F-4432-8BAA-1B4CA9B5F853}"/>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I_tiesas_apgabala_prok!$W$6:$W$8</c:f>
              <c:numCache>
                <c:formatCode>General</c:formatCode>
                <c:ptCount val="3"/>
                <c:pt idx="0">
                  <c:v>157</c:v>
                </c:pt>
                <c:pt idx="1">
                  <c:v>162</c:v>
                </c:pt>
                <c:pt idx="2">
                  <c:v>191</c:v>
                </c:pt>
              </c:numCache>
            </c:numRef>
          </c:val>
          <c:smooth val="0"/>
          <c:extLst>
            <c:ext xmlns:c16="http://schemas.microsoft.com/office/drawing/2014/chart" uri="{C3380CC4-5D6E-409C-BE32-E72D297353CC}">
              <c16:uniqueId val="{00000000-E65F-4432-8BAA-1B4CA9B5F853}"/>
            </c:ext>
          </c:extLst>
        </c:ser>
        <c:dLbls>
          <c:showLegendKey val="0"/>
          <c:showVal val="0"/>
          <c:showCatName val="0"/>
          <c:showSerName val="0"/>
          <c:showPercent val="0"/>
          <c:showBubbleSize val="0"/>
        </c:dLbls>
        <c:smooth val="0"/>
        <c:axId val="291300864"/>
        <c:axId val="291444608"/>
      </c:lineChart>
      <c:catAx>
        <c:axId val="291300864"/>
        <c:scaling>
          <c:orientation val="minMax"/>
        </c:scaling>
        <c:delete val="0"/>
        <c:axPos val="b"/>
        <c:numFmt formatCode="General" sourceLinked="1"/>
        <c:majorTickMark val="none"/>
        <c:minorTickMark val="none"/>
        <c:tickLblPos val="nextTo"/>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crossAx val="291444608"/>
        <c:crosses val="autoZero"/>
        <c:auto val="1"/>
        <c:lblAlgn val="ctr"/>
        <c:lblOffset val="100"/>
        <c:noMultiLvlLbl val="0"/>
      </c:catAx>
      <c:valAx>
        <c:axId val="291444608"/>
        <c:scaling>
          <c:orientation val="minMax"/>
        </c:scaling>
        <c:delete val="1"/>
        <c:axPos val="l"/>
        <c:majorGridlines/>
        <c:numFmt formatCode="General" sourceLinked="1"/>
        <c:majorTickMark val="none"/>
        <c:minorTickMark val="none"/>
        <c:tickLblPos val="nextTo"/>
        <c:crossAx val="2913008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600"/>
            </a:pPr>
            <a:r>
              <a:rPr lang="lv-LV" sz="1200" b="1" i="0" baseline="0">
                <a:solidFill>
                  <a:schemeClr val="tx1"/>
                </a:solidFill>
                <a:effectLst/>
                <a:latin typeface="Times New Roman" panose="02020603050405020304" pitchFamily="18" charset="0"/>
                <a:cs typeface="Times New Roman" panose="02020603050405020304" pitchFamily="18" charset="0"/>
              </a:rPr>
              <a:t> Valsts apsūdzības uzturēšana pirmās instances tiesā (izskatītas krimināllietas), no tām ar pierādījumu pārbaudi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1372015798344697"/>
          <c:y val="3.5894161878413863E-3"/>
        </c:manualLayout>
      </c:layout>
      <c:overlay val="0"/>
    </c:title>
    <c:autoTitleDeleted val="0"/>
    <c:plotArea>
      <c:layout>
        <c:manualLayout>
          <c:layoutTarget val="inner"/>
          <c:xMode val="edge"/>
          <c:yMode val="edge"/>
          <c:x val="2.1940928270042195E-2"/>
          <c:y val="0.26580086580086582"/>
          <c:w val="0.96286919831223627"/>
          <c:h val="0.62784947336128438"/>
        </c:manualLayout>
      </c:layout>
      <c:barChart>
        <c:barDir val="col"/>
        <c:grouping val="clustered"/>
        <c:varyColors val="0"/>
        <c:ser>
          <c:idx val="1"/>
          <c:order val="0"/>
          <c:tx>
            <c:strRef>
              <c:f>I_tiesas_apgabala_prok!$Y$6:$Y$8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I_tiesas_apgabala_prok!$Z$6:$Z$8</c:f>
              <c:numCache>
                <c:formatCode>General</c:formatCode>
                <c:ptCount val="3"/>
                <c:pt idx="0">
                  <c:v>34</c:v>
                </c:pt>
                <c:pt idx="1">
                  <c:v>47</c:v>
                </c:pt>
                <c:pt idx="2">
                  <c:v>25</c:v>
                </c:pt>
              </c:numCache>
            </c:numRef>
          </c:val>
          <c:extLst>
            <c:ext xmlns:c16="http://schemas.microsoft.com/office/drawing/2014/chart" uri="{C3380CC4-5D6E-409C-BE32-E72D297353CC}">
              <c16:uniqueId val="{00000000-61B4-459C-A9E8-BEEAB5D21A7F}"/>
            </c:ext>
          </c:extLst>
        </c:ser>
        <c:ser>
          <c:idx val="0"/>
          <c:order val="1"/>
          <c:tx>
            <c:strRef>
              <c:f>I_tiesas_apgabala_prok!$Y$6:$Y$8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I_tiesas_apgabala_prok!$AA$6:$AA$8</c:f>
              <c:numCache>
                <c:formatCode>General</c:formatCode>
                <c:ptCount val="3"/>
                <c:pt idx="0">
                  <c:v>16</c:v>
                </c:pt>
                <c:pt idx="1">
                  <c:v>22</c:v>
                </c:pt>
                <c:pt idx="2">
                  <c:v>19</c:v>
                </c:pt>
              </c:numCache>
            </c:numRef>
          </c:val>
          <c:extLst>
            <c:ext xmlns:c16="http://schemas.microsoft.com/office/drawing/2014/chart" uri="{C3380CC4-5D6E-409C-BE32-E72D297353CC}">
              <c16:uniqueId val="{00000001-61B4-459C-A9E8-BEEAB5D21A7F}"/>
            </c:ext>
          </c:extLst>
        </c:ser>
        <c:dLbls>
          <c:showLegendKey val="0"/>
          <c:showVal val="0"/>
          <c:showCatName val="0"/>
          <c:showSerName val="0"/>
          <c:showPercent val="0"/>
          <c:showBubbleSize val="0"/>
        </c:dLbls>
        <c:gapWidth val="150"/>
        <c:axId val="293905536"/>
        <c:axId val="294287616"/>
      </c:barChart>
      <c:catAx>
        <c:axId val="293905536"/>
        <c:scaling>
          <c:orientation val="minMax"/>
        </c:scaling>
        <c:delete val="0"/>
        <c:axPos val="b"/>
        <c:numFmt formatCode="General" sourceLinked="1"/>
        <c:majorTickMark val="none"/>
        <c:minorTickMark val="none"/>
        <c:tickLblPos val="nextTo"/>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crossAx val="294287616"/>
        <c:crosses val="autoZero"/>
        <c:auto val="1"/>
        <c:lblAlgn val="ctr"/>
        <c:lblOffset val="100"/>
        <c:noMultiLvlLbl val="0"/>
      </c:catAx>
      <c:valAx>
        <c:axId val="294287616"/>
        <c:scaling>
          <c:orientation val="minMax"/>
        </c:scaling>
        <c:delete val="1"/>
        <c:axPos val="l"/>
        <c:majorGridlines/>
        <c:numFmt formatCode="General" sourceLinked="1"/>
        <c:majorTickMark val="none"/>
        <c:minorTickMark val="none"/>
        <c:tickLblPos val="nextTo"/>
        <c:crossAx val="293905536"/>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400"/>
            </a:pPr>
            <a:r>
              <a:rPr lang="lv-LV" sz="1200" b="1" i="0" baseline="0">
                <a:solidFill>
                  <a:schemeClr val="tx1"/>
                </a:solidFill>
                <a:effectLst/>
                <a:latin typeface="Times New Roman" panose="02020603050405020304" pitchFamily="18" charset="0"/>
                <a:cs typeface="Times New Roman" panose="02020603050405020304" pitchFamily="18" charset="0"/>
              </a:rPr>
              <a:t>Valsts apsūdzības uzturēšana apelācijas instances tiesā (izskatītas krimināllietas), no tām mutvārdu/rakstveida procesā</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1971584305663005"/>
          <c:y val="2.7613358674993212E-2"/>
        </c:manualLayout>
      </c:layout>
      <c:overlay val="0"/>
    </c:title>
    <c:autoTitleDeleted val="0"/>
    <c:plotArea>
      <c:layout/>
      <c:barChart>
        <c:barDir val="col"/>
        <c:grouping val="clustered"/>
        <c:varyColors val="0"/>
        <c:ser>
          <c:idx val="1"/>
          <c:order val="0"/>
          <c:tx>
            <c:strRef>
              <c:f>I_tiesas_apgabala_prok!$AC$6:$AC$8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I_tiesas_apgabala_prok!$AD$6:$AD$8</c:f>
              <c:numCache>
                <c:formatCode>General</c:formatCode>
                <c:ptCount val="3"/>
                <c:pt idx="0">
                  <c:v>29</c:v>
                </c:pt>
                <c:pt idx="1">
                  <c:v>20</c:v>
                </c:pt>
                <c:pt idx="2">
                  <c:v>13</c:v>
                </c:pt>
              </c:numCache>
            </c:numRef>
          </c:val>
          <c:extLst>
            <c:ext xmlns:c16="http://schemas.microsoft.com/office/drawing/2014/chart" uri="{C3380CC4-5D6E-409C-BE32-E72D297353CC}">
              <c16:uniqueId val="{00000000-CEE2-468B-8023-303EDC20DCFF}"/>
            </c:ext>
          </c:extLst>
        </c:ser>
        <c:ser>
          <c:idx val="0"/>
          <c:order val="1"/>
          <c:tx>
            <c:strRef>
              <c:f>I_tiesas_apgabala_prok!$AC$6:$AC$8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0"/>
                  <c:y val="0.1129866785519734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E2-468B-8023-303EDC20DCFF}"/>
                </c:ext>
              </c:extLst>
            </c:dLbl>
            <c:dLbl>
              <c:idx val="1"/>
              <c:layout>
                <c:manualLayout>
                  <c:x val="-3.1796502384737681E-3"/>
                  <c:y val="0.11927598672807409"/>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2257551669316374E-2"/>
                      <c:h val="9.7484276729559755E-2"/>
                    </c:manualLayout>
                  </c15:layout>
                </c:ext>
                <c:ext xmlns:c16="http://schemas.microsoft.com/office/drawing/2014/chart" uri="{C3380CC4-5D6E-409C-BE32-E72D297353CC}">
                  <c16:uniqueId val="{00000003-CEE2-468B-8023-303EDC20DCFF}"/>
                </c:ext>
              </c:extLst>
            </c:dLbl>
            <c:dLbl>
              <c:idx val="2"/>
              <c:layout>
                <c:manualLayout>
                  <c:x val="1.1658582860126417E-16"/>
                  <c:y val="8.96894963601247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E2-468B-8023-303EDC20DCFF}"/>
                </c:ext>
              </c:extLst>
            </c:dLbl>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I_tiesas_apgabala_prok!$AE$6:$AE$8</c:f>
              <c:numCache>
                <c:formatCode>General</c:formatCode>
                <c:ptCount val="3"/>
                <c:pt idx="0">
                  <c:v>7</c:v>
                </c:pt>
                <c:pt idx="1">
                  <c:v>7</c:v>
                </c:pt>
                <c:pt idx="2">
                  <c:v>5</c:v>
                </c:pt>
              </c:numCache>
            </c:numRef>
          </c:val>
          <c:extLst>
            <c:ext xmlns:c16="http://schemas.microsoft.com/office/drawing/2014/chart" uri="{C3380CC4-5D6E-409C-BE32-E72D297353CC}">
              <c16:uniqueId val="{00000001-CEE2-468B-8023-303EDC20DCFF}"/>
            </c:ext>
          </c:extLst>
        </c:ser>
        <c:dLbls>
          <c:showLegendKey val="0"/>
          <c:showVal val="0"/>
          <c:showCatName val="0"/>
          <c:showSerName val="0"/>
          <c:showPercent val="0"/>
          <c:showBubbleSize val="0"/>
        </c:dLbls>
        <c:gapWidth val="150"/>
        <c:axId val="305371392"/>
        <c:axId val="307386624"/>
      </c:barChart>
      <c:catAx>
        <c:axId val="305371392"/>
        <c:scaling>
          <c:orientation val="minMax"/>
        </c:scaling>
        <c:delete val="0"/>
        <c:axPos val="b"/>
        <c:numFmt formatCode="General" sourceLinked="1"/>
        <c:majorTickMark val="none"/>
        <c:minorTickMark val="none"/>
        <c:tickLblPos val="nextTo"/>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crossAx val="307386624"/>
        <c:crosses val="autoZero"/>
        <c:auto val="1"/>
        <c:lblAlgn val="ctr"/>
        <c:lblOffset val="100"/>
        <c:noMultiLvlLbl val="0"/>
      </c:catAx>
      <c:valAx>
        <c:axId val="307386624"/>
        <c:scaling>
          <c:orientation val="minMax"/>
        </c:scaling>
        <c:delete val="1"/>
        <c:axPos val="l"/>
        <c:majorGridlines/>
        <c:numFmt formatCode="General" sourceLinked="1"/>
        <c:majorTickMark val="none"/>
        <c:minorTickMark val="none"/>
        <c:tickLblPos val="nextTo"/>
        <c:crossAx val="3053713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800" b="1" i="0" baseline="0">
                <a:solidFill>
                  <a:schemeClr val="tx2"/>
                </a:solidFill>
                <a:effectLst/>
              </a:rPr>
              <a:t> </a:t>
            </a:r>
            <a:r>
              <a:rPr lang="lv-LV" sz="1200" b="1" i="0" baseline="0">
                <a:solidFill>
                  <a:schemeClr val="tx1"/>
                </a:solidFill>
                <a:effectLst/>
                <a:latin typeface="Times New Roman" panose="02020603050405020304" pitchFamily="18" charset="0"/>
                <a:cs typeface="Times New Roman" panose="02020603050405020304" pitchFamily="18" charset="0"/>
              </a:rPr>
              <a:t>Iesniegti protesti, no tiem apmierināti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5839254542942896"/>
          <c:y val="5.847769028871392E-2"/>
        </c:manualLayout>
      </c:layout>
      <c:overlay val="0"/>
    </c:title>
    <c:autoTitleDeleted val="0"/>
    <c:plotArea>
      <c:layout/>
      <c:barChart>
        <c:barDir val="col"/>
        <c:grouping val="clustered"/>
        <c:varyColors val="0"/>
        <c:ser>
          <c:idx val="1"/>
          <c:order val="0"/>
          <c:tx>
            <c:strRef>
              <c:f>I_tiesas_apgabala_prok!$AG$6:$AG$8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I_tiesas_apgabala_prok!$AH$6:$AH$8</c:f>
              <c:numCache>
                <c:formatCode>General</c:formatCode>
                <c:ptCount val="3"/>
                <c:pt idx="0">
                  <c:v>16</c:v>
                </c:pt>
                <c:pt idx="1">
                  <c:v>10</c:v>
                </c:pt>
                <c:pt idx="2">
                  <c:v>7</c:v>
                </c:pt>
              </c:numCache>
            </c:numRef>
          </c:val>
          <c:extLst>
            <c:ext xmlns:c16="http://schemas.microsoft.com/office/drawing/2014/chart" uri="{C3380CC4-5D6E-409C-BE32-E72D297353CC}">
              <c16:uniqueId val="{00000000-C5DB-401E-B8AC-A107123F232D}"/>
            </c:ext>
          </c:extLst>
        </c:ser>
        <c:ser>
          <c:idx val="0"/>
          <c:order val="1"/>
          <c:tx>
            <c:strRef>
              <c:f>I_tiesas_apgabala_prok!$AG$6:$AG$8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2.9239428305500459E-17"/>
                  <c:y val="2.33240983765918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DB-401E-B8AC-A107123F232D}"/>
                </c:ext>
              </c:extLst>
            </c:dLbl>
            <c:dLbl>
              <c:idx val="1"/>
              <c:layout>
                <c:manualLayout>
                  <c:x val="-1.1695771322200184E-16"/>
                  <c:y val="3.49859045397103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DB-401E-B8AC-A107123F232D}"/>
                </c:ext>
              </c:extLst>
            </c:dLbl>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I_tiesas_apgabala_prok!$AI$6:$AI$8</c:f>
              <c:numCache>
                <c:formatCode>General</c:formatCode>
                <c:ptCount val="3"/>
                <c:pt idx="0">
                  <c:v>2</c:v>
                </c:pt>
                <c:pt idx="1">
                  <c:v>3</c:v>
                </c:pt>
                <c:pt idx="2">
                  <c:v>10</c:v>
                </c:pt>
              </c:numCache>
            </c:numRef>
          </c:val>
          <c:extLst>
            <c:ext xmlns:c16="http://schemas.microsoft.com/office/drawing/2014/chart" uri="{C3380CC4-5D6E-409C-BE32-E72D297353CC}">
              <c16:uniqueId val="{00000001-C5DB-401E-B8AC-A107123F232D}"/>
            </c:ext>
          </c:extLst>
        </c:ser>
        <c:dLbls>
          <c:showLegendKey val="0"/>
          <c:showVal val="0"/>
          <c:showCatName val="0"/>
          <c:showSerName val="0"/>
          <c:showPercent val="0"/>
          <c:showBubbleSize val="0"/>
        </c:dLbls>
        <c:gapWidth val="150"/>
        <c:axId val="308870144"/>
        <c:axId val="308871936"/>
      </c:barChart>
      <c:catAx>
        <c:axId val="308870144"/>
        <c:scaling>
          <c:orientation val="minMax"/>
        </c:scaling>
        <c:delete val="0"/>
        <c:axPos val="b"/>
        <c:numFmt formatCode="General" sourceLinked="1"/>
        <c:majorTickMark val="none"/>
        <c:minorTickMark val="none"/>
        <c:tickLblPos val="nextTo"/>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crossAx val="308871936"/>
        <c:crosses val="autoZero"/>
        <c:auto val="1"/>
        <c:lblAlgn val="ctr"/>
        <c:lblOffset val="100"/>
        <c:noMultiLvlLbl val="0"/>
      </c:catAx>
      <c:valAx>
        <c:axId val="308871936"/>
        <c:scaling>
          <c:orientation val="minMax"/>
        </c:scaling>
        <c:delete val="1"/>
        <c:axPos val="l"/>
        <c:majorGridlines/>
        <c:numFmt formatCode="General" sourceLinked="1"/>
        <c:majorTickMark val="none"/>
        <c:minorTickMark val="none"/>
        <c:tickLblPos val="nextTo"/>
        <c:crossAx val="30887014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200"/>
            </a:pPr>
            <a:r>
              <a:rPr lang="lv-LV" sz="1200" b="1" i="0" baseline="0">
                <a:solidFill>
                  <a:schemeClr val="tx1"/>
                </a:solidFill>
                <a:effectLst/>
                <a:latin typeface="Times New Roman" panose="02020603050405020304" pitchFamily="18" charset="0"/>
                <a:cs typeface="Times New Roman" panose="02020603050405020304" pitchFamily="18" charset="0"/>
              </a:rPr>
              <a:t>Tiesā attaisnoto apsūdzēto skaits </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2969502407704651"/>
          <c:y val="7.4562681739471351E-2"/>
        </c:manualLayout>
      </c:layout>
      <c:overlay val="0"/>
    </c:title>
    <c:autoTitleDeleted val="0"/>
    <c:plotArea>
      <c:layout>
        <c:manualLayout>
          <c:layoutTarget val="inner"/>
          <c:xMode val="edge"/>
          <c:yMode val="edge"/>
          <c:x val="3.0555555555555555E-2"/>
          <c:y val="0.26111111111111113"/>
          <c:w val="0.93888888888888888"/>
          <c:h val="0.60200568678915134"/>
        </c:manualLayout>
      </c:layout>
      <c:lineChart>
        <c:grouping val="standard"/>
        <c:varyColors val="0"/>
        <c:ser>
          <c:idx val="1"/>
          <c:order val="0"/>
          <c:tx>
            <c:strRef>
              <c:f>I_tiesas_apgabala_prok!$AK$6:$AK$8</c:f>
              <c:strCache>
                <c:ptCount val="3"/>
                <c:pt idx="0">
                  <c:v>2018</c:v>
                </c:pt>
                <c:pt idx="1">
                  <c:v>2019</c:v>
                </c:pt>
                <c:pt idx="2">
                  <c:v>2020</c:v>
                </c:pt>
              </c:strCache>
            </c:strRef>
          </c:tx>
          <c:marker>
            <c:symbol val="none"/>
          </c:marker>
          <c:dLbls>
            <c:dLbl>
              <c:idx val="0"/>
              <c:layout>
                <c:manualLayout>
                  <c:x val="-3.3461673083654185E-2"/>
                  <c:y val="0.102827832876433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2A-407F-8407-A055919B7DF1}"/>
                </c:ext>
              </c:extLst>
            </c:dLbl>
            <c:dLbl>
              <c:idx val="1"/>
              <c:layout>
                <c:manualLayout>
                  <c:x val="-3.3461673083654268E-2"/>
                  <c:y val="-8.56898607303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2A-407F-8407-A055919B7DF1}"/>
                </c:ext>
              </c:extLst>
            </c:dLbl>
            <c:dLbl>
              <c:idx val="2"/>
              <c:layout>
                <c:manualLayout>
                  <c:x val="-2.6647999066619996E-2"/>
                  <c:y val="-8.568986073036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2A-407F-8407-A055919B7DF1}"/>
                </c:ext>
              </c:extLst>
            </c:dLbl>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I_tiesas_apgabala_prok!$AL$6:$AL$8</c:f>
              <c:numCache>
                <c:formatCode>General</c:formatCode>
                <c:ptCount val="3"/>
                <c:pt idx="0">
                  <c:v>2</c:v>
                </c:pt>
                <c:pt idx="1">
                  <c:v>4</c:v>
                </c:pt>
                <c:pt idx="2">
                  <c:v>3</c:v>
                </c:pt>
              </c:numCache>
            </c:numRef>
          </c:val>
          <c:smooth val="0"/>
          <c:extLst>
            <c:ext xmlns:c16="http://schemas.microsoft.com/office/drawing/2014/chart" uri="{C3380CC4-5D6E-409C-BE32-E72D297353CC}">
              <c16:uniqueId val="{00000003-DD2A-407F-8407-A055919B7DF1}"/>
            </c:ext>
          </c:extLst>
        </c:ser>
        <c:dLbls>
          <c:showLegendKey val="0"/>
          <c:showVal val="0"/>
          <c:showCatName val="0"/>
          <c:showSerName val="0"/>
          <c:showPercent val="0"/>
          <c:showBubbleSize val="0"/>
        </c:dLbls>
        <c:smooth val="0"/>
        <c:axId val="291646464"/>
        <c:axId val="292175232"/>
      </c:lineChart>
      <c:catAx>
        <c:axId val="291646464"/>
        <c:scaling>
          <c:orientation val="minMax"/>
        </c:scaling>
        <c:delete val="0"/>
        <c:axPos val="b"/>
        <c:numFmt formatCode="General" sourceLinked="1"/>
        <c:majorTickMark val="none"/>
        <c:minorTickMark val="none"/>
        <c:tickLblPos val="nextTo"/>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crossAx val="292175232"/>
        <c:crosses val="autoZero"/>
        <c:auto val="1"/>
        <c:lblAlgn val="ctr"/>
        <c:lblOffset val="100"/>
        <c:noMultiLvlLbl val="0"/>
      </c:catAx>
      <c:valAx>
        <c:axId val="292175232"/>
        <c:scaling>
          <c:orientation val="minMax"/>
        </c:scaling>
        <c:delete val="1"/>
        <c:axPos val="l"/>
        <c:majorGridlines/>
        <c:numFmt formatCode="General" sourceLinked="1"/>
        <c:majorTickMark val="none"/>
        <c:minorTickMark val="none"/>
        <c:tickLblPos val="nextTo"/>
        <c:crossAx val="2916464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Izlemtas sūdzības, no tām apmierinātas</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5171201988363114"/>
          <c:y val="4.0516816574920171E-2"/>
        </c:manualLayout>
      </c:layout>
      <c:overlay val="0"/>
    </c:title>
    <c:autoTitleDeleted val="0"/>
    <c:plotArea>
      <c:layout/>
      <c:barChart>
        <c:barDir val="col"/>
        <c:grouping val="clustered"/>
        <c:varyColors val="0"/>
        <c:ser>
          <c:idx val="1"/>
          <c:order val="0"/>
          <c:tx>
            <c:strRef>
              <c:f>I_tiesas_apgabala_prok!$AN$6:$AN$8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I_tiesas_apgabala_prok!$AO$6:$AO$8</c:f>
              <c:numCache>
                <c:formatCode>General</c:formatCode>
                <c:ptCount val="3"/>
                <c:pt idx="0">
                  <c:v>105</c:v>
                </c:pt>
                <c:pt idx="1">
                  <c:v>118</c:v>
                </c:pt>
                <c:pt idx="2">
                  <c:v>116</c:v>
                </c:pt>
              </c:numCache>
            </c:numRef>
          </c:val>
          <c:extLst>
            <c:ext xmlns:c16="http://schemas.microsoft.com/office/drawing/2014/chart" uri="{C3380CC4-5D6E-409C-BE32-E72D297353CC}">
              <c16:uniqueId val="{00000000-F347-4504-8B3D-ED7E3A9CB1FA}"/>
            </c:ext>
          </c:extLst>
        </c:ser>
        <c:ser>
          <c:idx val="0"/>
          <c:order val="1"/>
          <c:tx>
            <c:strRef>
              <c:f>I_tiesas_apgabala_prok!$AN$6:$AN$8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dLblPos val="ctr"/>
              <c:showLegendKey val="0"/>
              <c:showVal val="1"/>
              <c:showCatName val="0"/>
              <c:showSerName val="0"/>
              <c:showPercent val="0"/>
              <c:showBubbleSize val="0"/>
              <c:extLst>
                <c:ext xmlns:c15="http://schemas.microsoft.com/office/drawing/2012/chart" uri="{CE6537A1-D6FC-4f65-9D91-7224C49458BB}">
                  <c15:layout>
                    <c:manualLayout>
                      <c:w val="5.1696284329563816E-2"/>
                      <c:h val="0.15"/>
                    </c:manualLayout>
                  </c15:layout>
                </c:ext>
                <c:ext xmlns:c16="http://schemas.microsoft.com/office/drawing/2014/chart" uri="{C3380CC4-5D6E-409C-BE32-E72D297353CC}">
                  <c16:uniqueId val="{00000004-F347-4504-8B3D-ED7E3A9CB1FA}"/>
                </c:ext>
              </c:extLst>
            </c:dLbl>
            <c:dLbl>
              <c:idx val="1"/>
              <c:layout>
                <c:manualLayout>
                  <c:x val="0"/>
                  <c:y val="-1.13756043652438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47-4504-8B3D-ED7E3A9CB1FA}"/>
                </c:ext>
              </c:extLst>
            </c:dLbl>
            <c:dLbl>
              <c:idx val="2"/>
              <c:layout>
                <c:manualLayout>
                  <c:x val="0"/>
                  <c:y val="1.50304461942257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47-4504-8B3D-ED7E3A9CB1FA}"/>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I_tiesas_apgabala_prok!$AP$6:$AP$8</c:f>
              <c:numCache>
                <c:formatCode>General</c:formatCode>
                <c:ptCount val="3"/>
                <c:pt idx="0">
                  <c:v>13</c:v>
                </c:pt>
                <c:pt idx="1">
                  <c:v>6</c:v>
                </c:pt>
                <c:pt idx="2">
                  <c:v>17</c:v>
                </c:pt>
              </c:numCache>
            </c:numRef>
          </c:val>
          <c:extLst>
            <c:ext xmlns:c16="http://schemas.microsoft.com/office/drawing/2014/chart" uri="{C3380CC4-5D6E-409C-BE32-E72D297353CC}">
              <c16:uniqueId val="{00000001-F347-4504-8B3D-ED7E3A9CB1FA}"/>
            </c:ext>
          </c:extLst>
        </c:ser>
        <c:dLbls>
          <c:showLegendKey val="0"/>
          <c:showVal val="0"/>
          <c:showCatName val="0"/>
          <c:showSerName val="0"/>
          <c:showPercent val="0"/>
          <c:showBubbleSize val="0"/>
        </c:dLbls>
        <c:gapWidth val="150"/>
        <c:axId val="263482368"/>
        <c:axId val="288760576"/>
      </c:barChart>
      <c:catAx>
        <c:axId val="26348236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88760576"/>
        <c:crosses val="autoZero"/>
        <c:auto val="1"/>
        <c:lblAlgn val="ctr"/>
        <c:lblOffset val="100"/>
        <c:noMultiLvlLbl val="0"/>
      </c:catAx>
      <c:valAx>
        <c:axId val="288760576"/>
        <c:scaling>
          <c:orientation val="minMax"/>
        </c:scaling>
        <c:delete val="1"/>
        <c:axPos val="l"/>
        <c:majorGridlines/>
        <c:numFmt formatCode="General" sourceLinked="1"/>
        <c:majorTickMark val="none"/>
        <c:minorTickMark val="none"/>
        <c:tickLblPos val="nextTo"/>
        <c:crossAx val="26348236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sz="1200" baseline="0"/>
            </a:pPr>
            <a:r>
              <a:rPr lang="lv-LV" sz="1200" baseline="0"/>
              <a:t>Kriminālvajāšanai saņemti kriminālprocesi</a:t>
            </a:r>
          </a:p>
        </c:rich>
      </c:tx>
      <c:overlay val="0"/>
    </c:title>
    <c:autoTitleDeleted val="0"/>
    <c:plotArea>
      <c:layout>
        <c:manualLayout>
          <c:layoutTarget val="inner"/>
          <c:xMode val="edge"/>
          <c:yMode val="edge"/>
          <c:x val="0.12698230662343676"/>
          <c:y val="0.20119047619047617"/>
          <c:w val="0.85654710514126908"/>
          <c:h val="0.4449704724409449"/>
        </c:manualLayout>
      </c:layout>
      <c:barChart>
        <c:barDir val="col"/>
        <c:grouping val="clustered"/>
        <c:varyColors val="0"/>
        <c:ser>
          <c:idx val="0"/>
          <c:order val="0"/>
          <c:tx>
            <c:strRef>
              <c:f>II_Rajona_prok!$C$4</c:f>
              <c:strCache>
                <c:ptCount val="1"/>
                <c:pt idx="0">
                  <c:v>2020</c:v>
                </c:pt>
              </c:strCache>
            </c:strRef>
          </c:tx>
          <c:invertIfNegative val="0"/>
          <c:dLbls>
            <c:dLbl>
              <c:idx val="0"/>
              <c:layout>
                <c:manualLayout>
                  <c:x val="-4.7058823529411761E-3"/>
                  <c:y val="1.874765654293213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01D-4735-861B-052F19DAE57F}"/>
                </c:ext>
              </c:extLst>
            </c:dLbl>
            <c:dLbl>
              <c:idx val="1"/>
              <c:layout>
                <c:manualLayout>
                  <c:x val="-7.058823529411765E-3"/>
                  <c:y val="2.6785714285714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01D-4735-861B-052F19DAE57F}"/>
                </c:ext>
              </c:extLst>
            </c:dLbl>
            <c:dLbl>
              <c:idx val="2"/>
              <c:layout>
                <c:manualLayout>
                  <c:x val="-4.7058823529412628E-3"/>
                  <c:y val="-1.01377952755916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1D-4735-861B-052F19DAE57F}"/>
                </c:ext>
              </c:extLst>
            </c:dLbl>
            <c:dLbl>
              <c:idx val="3"/>
              <c:layout>
                <c:manualLayout>
                  <c:x val="-4.7058823529411761E-3"/>
                  <c:y val="1.48809523809523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01D-4735-861B-052F19DAE57F}"/>
                </c:ext>
              </c:extLst>
            </c:dLbl>
            <c:dLbl>
              <c:idx val="4"/>
              <c:layout>
                <c:manualLayout>
                  <c:x val="-4.7058823529412628E-3"/>
                  <c:y val="2.67857142857142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01D-4735-861B-052F19DAE57F}"/>
                </c:ext>
              </c:extLst>
            </c:dLbl>
            <c:dLbl>
              <c:idx val="5"/>
              <c:layout>
                <c:manualLayout>
                  <c:x val="-2.3529411764707606E-3"/>
                  <c:y val="6.1829302587176602E-2"/>
                </c:manualLayout>
              </c:layout>
              <c:spPr>
                <a:noFill/>
                <a:ln>
                  <a:noFill/>
                </a:ln>
                <a:effectLst/>
              </c:spPr>
              <c:txPr>
                <a:bodyPr wrap="square" lIns="38100" tIns="19050" rIns="38100" bIns="19050" anchor="ctr">
                  <a:noAutofit/>
                </a:bodyPr>
                <a:lstStyle/>
                <a:p>
                  <a:pPr>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manualLayout>
                      <c:w val="4.9411764705882349E-2"/>
                      <c:h val="0.1875"/>
                    </c:manualLayout>
                  </c15:layout>
                </c:ext>
                <c:ext xmlns:c16="http://schemas.microsoft.com/office/drawing/2014/chart" uri="{C3380CC4-5D6E-409C-BE32-E72D297353CC}">
                  <c16:uniqueId val="{00000004-701D-4735-861B-052F19DAE57F}"/>
                </c:ext>
              </c:extLst>
            </c:dLbl>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II_Rajona_prok!$B$5:$B$10</c:f>
              <c:strCache>
                <c:ptCount val="6"/>
                <c:pt idx="0">
                  <c:v>Balvu raj.</c:v>
                </c:pt>
                <c:pt idx="1">
                  <c:v>Daugavpils</c:v>
                </c:pt>
                <c:pt idx="2">
                  <c:v>Krāslavas raj.</c:v>
                </c:pt>
                <c:pt idx="3">
                  <c:v>Ludzas raj.</c:v>
                </c:pt>
                <c:pt idx="4">
                  <c:v>Preiļu raj.</c:v>
                </c:pt>
                <c:pt idx="5">
                  <c:v>Rēzekne</c:v>
                </c:pt>
              </c:strCache>
            </c:strRef>
          </c:cat>
          <c:val>
            <c:numRef>
              <c:f>II_Rajona_prok!$C$5:$C$10</c:f>
              <c:numCache>
                <c:formatCode>General</c:formatCode>
                <c:ptCount val="6"/>
                <c:pt idx="0">
                  <c:v>196</c:v>
                </c:pt>
                <c:pt idx="1">
                  <c:v>704</c:v>
                </c:pt>
                <c:pt idx="2">
                  <c:v>148</c:v>
                </c:pt>
                <c:pt idx="3">
                  <c:v>235</c:v>
                </c:pt>
                <c:pt idx="4">
                  <c:v>252</c:v>
                </c:pt>
                <c:pt idx="5">
                  <c:v>368</c:v>
                </c:pt>
              </c:numCache>
            </c:numRef>
          </c:val>
          <c:extLst>
            <c:ext xmlns:c16="http://schemas.microsoft.com/office/drawing/2014/chart" uri="{C3380CC4-5D6E-409C-BE32-E72D297353CC}">
              <c16:uniqueId val="{00000000-ED8D-4972-B808-3A79634A475D}"/>
            </c:ext>
          </c:extLst>
        </c:ser>
        <c:ser>
          <c:idx val="1"/>
          <c:order val="1"/>
          <c:tx>
            <c:strRef>
              <c:f>II_Rajona_prok!$D$4</c:f>
              <c:strCache>
                <c:ptCount val="1"/>
                <c:pt idx="0">
                  <c:v>2019</c:v>
                </c:pt>
              </c:strCache>
            </c:strRef>
          </c:tx>
          <c:invertIfNegative val="0"/>
          <c:dLbls>
            <c:dLbl>
              <c:idx val="0"/>
              <c:layout>
                <c:manualLayout>
                  <c:x val="4.7058823529411761E-3"/>
                  <c:y val="1.54485376827895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01D-4735-861B-052F19DAE57F}"/>
                </c:ext>
              </c:extLst>
            </c:dLbl>
            <c:dLbl>
              <c:idx val="1"/>
              <c:layout>
                <c:manualLayout>
                  <c:x val="2.352941176470588E-3"/>
                  <c:y val="1.48809523809523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01D-4735-861B-052F19DAE57F}"/>
                </c:ext>
              </c:extLst>
            </c:dLbl>
            <c:dLbl>
              <c:idx val="2"/>
              <c:layout>
                <c:manualLayout>
                  <c:x val="4.7058823529410902E-3"/>
                  <c:y val="1.81219535058117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1D-4735-861B-052F19DAE57F}"/>
                </c:ext>
              </c:extLst>
            </c:dLbl>
            <c:dLbl>
              <c:idx val="3"/>
              <c:layout>
                <c:manualLayout>
                  <c:x val="4.7058823529410902E-3"/>
                  <c:y val="2.00642107236594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1D-4735-861B-052F19DAE57F}"/>
                </c:ext>
              </c:extLst>
            </c:dLbl>
            <c:dLbl>
              <c:idx val="4"/>
              <c:layout>
                <c:manualLayout>
                  <c:x val="-8.6273513164935482E-17"/>
                  <c:y val="1.4880952380952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01D-4735-861B-052F19DAE57F}"/>
                </c:ext>
              </c:extLst>
            </c:dLbl>
            <c:dLbl>
              <c:idx val="5"/>
              <c:layout>
                <c:manualLayout>
                  <c:x val="2.3529411764704159E-3"/>
                  <c:y val="1.48809523809523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01D-4735-861B-052F19DAE57F}"/>
                </c:ext>
              </c:extLst>
            </c:dLbl>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II_Rajona_prok!$B$5:$B$10</c:f>
              <c:strCache>
                <c:ptCount val="6"/>
                <c:pt idx="0">
                  <c:v>Balvu raj.</c:v>
                </c:pt>
                <c:pt idx="1">
                  <c:v>Daugavpils</c:v>
                </c:pt>
                <c:pt idx="2">
                  <c:v>Krāslavas raj.</c:v>
                </c:pt>
                <c:pt idx="3">
                  <c:v>Ludzas raj.</c:v>
                </c:pt>
                <c:pt idx="4">
                  <c:v>Preiļu raj.</c:v>
                </c:pt>
                <c:pt idx="5">
                  <c:v>Rēzekne</c:v>
                </c:pt>
              </c:strCache>
            </c:strRef>
          </c:cat>
          <c:val>
            <c:numRef>
              <c:f>II_Rajona_prok!$D$5:$D$10</c:f>
              <c:numCache>
                <c:formatCode>General</c:formatCode>
                <c:ptCount val="6"/>
                <c:pt idx="0">
                  <c:v>199</c:v>
                </c:pt>
                <c:pt idx="1">
                  <c:v>705</c:v>
                </c:pt>
                <c:pt idx="2">
                  <c:v>161</c:v>
                </c:pt>
                <c:pt idx="3">
                  <c:v>218</c:v>
                </c:pt>
                <c:pt idx="4">
                  <c:v>232</c:v>
                </c:pt>
                <c:pt idx="5">
                  <c:v>399</c:v>
                </c:pt>
              </c:numCache>
            </c:numRef>
          </c:val>
          <c:extLst>
            <c:ext xmlns:c16="http://schemas.microsoft.com/office/drawing/2014/chart" uri="{C3380CC4-5D6E-409C-BE32-E72D297353CC}">
              <c16:uniqueId val="{00000001-ED8D-4972-B808-3A79634A475D}"/>
            </c:ext>
          </c:extLst>
        </c:ser>
        <c:dLbls>
          <c:showLegendKey val="0"/>
          <c:showVal val="0"/>
          <c:showCatName val="0"/>
          <c:showSerName val="0"/>
          <c:showPercent val="0"/>
          <c:showBubbleSize val="0"/>
        </c:dLbls>
        <c:gapWidth val="150"/>
        <c:axId val="252554240"/>
        <c:axId val="252556800"/>
      </c:barChart>
      <c:catAx>
        <c:axId val="252554240"/>
        <c:scaling>
          <c:orientation val="minMax"/>
        </c:scaling>
        <c:delete val="0"/>
        <c:axPos val="b"/>
        <c:numFmt formatCode="General" sourceLinked="0"/>
        <c:majorTickMark val="none"/>
        <c:minorTickMark val="none"/>
        <c:tickLblPos val="nextTo"/>
        <c:crossAx val="252556800"/>
        <c:crosses val="autoZero"/>
        <c:auto val="1"/>
        <c:lblAlgn val="ctr"/>
        <c:lblOffset val="100"/>
        <c:noMultiLvlLbl val="0"/>
      </c:catAx>
      <c:valAx>
        <c:axId val="252556800"/>
        <c:scaling>
          <c:orientation val="minMax"/>
        </c:scaling>
        <c:delete val="0"/>
        <c:axPos val="l"/>
        <c:majorGridlines/>
        <c:numFmt formatCode="General" sourceLinked="1"/>
        <c:majorTickMark val="none"/>
        <c:minorTickMark val="none"/>
        <c:tickLblPos val="nextTo"/>
        <c:txPr>
          <a:bodyPr/>
          <a:lstStyle/>
          <a:p>
            <a:pPr>
              <a:defRPr b="0" i="0" baseline="0"/>
            </a:pPr>
            <a:endParaRPr lang="lv-LV"/>
          </a:p>
        </c:txPr>
        <c:crossAx val="252554240"/>
        <c:crosses val="autoZero"/>
        <c:crossBetween val="between"/>
      </c:valAx>
      <c:dTable>
        <c:showHorzBorder val="1"/>
        <c:showVertBorder val="1"/>
        <c:showOutline val="1"/>
        <c:showKeys val="1"/>
      </c:dTable>
    </c:plotArea>
    <c:plotVisOnly val="1"/>
    <c:dispBlanksAs val="gap"/>
    <c:showDLblsOverMax val="0"/>
  </c:chart>
  <c:spPr>
    <a:solidFill>
      <a:schemeClr val="accent4">
        <a:lumMod val="20000"/>
        <a:lumOff val="80000"/>
      </a:schemeClr>
    </a:solidFill>
    <a:ln>
      <a:solidFill>
        <a:srgbClr val="7030A0">
          <a:alpha val="79000"/>
        </a:srgbClr>
      </a:solidFill>
    </a:ln>
  </c:spPr>
  <c:txPr>
    <a:bodyPr/>
    <a:lstStyle/>
    <a:p>
      <a:pPr>
        <a:defRPr b="1" i="0" baseline="0">
          <a:solidFill>
            <a:schemeClr val="tx1"/>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Paātrinātā procesa kārtībā kriminālvajāšanai saņemti kriminālprocesi, no tiem šī procesa kārtībā tiesai nodotas krimināllietas</a:t>
            </a:r>
          </a:p>
        </c:rich>
      </c:tx>
      <c:layout>
        <c:manualLayout>
          <c:xMode val="edge"/>
          <c:yMode val="edge"/>
          <c:x val="0.11760212448204169"/>
          <c:y val="1.5762133274421844E-2"/>
        </c:manualLayout>
      </c:layout>
      <c:overlay val="0"/>
    </c:title>
    <c:autoTitleDeleted val="0"/>
    <c:plotArea>
      <c:layout/>
      <c:barChart>
        <c:barDir val="col"/>
        <c:grouping val="clustered"/>
        <c:varyColors val="0"/>
        <c:ser>
          <c:idx val="0"/>
          <c:order val="0"/>
          <c:tx>
            <c:strRef>
              <c:f>II_Rajona_prok!$G$4</c:f>
              <c:strCache>
                <c:ptCount val="1"/>
                <c:pt idx="0">
                  <c:v>2020</c:v>
                </c:pt>
              </c:strCache>
            </c:strRef>
          </c:tx>
          <c:invertIfNegative val="0"/>
          <c:dLbls>
            <c:dLbl>
              <c:idx val="2"/>
              <c:layout>
                <c:manualLayout>
                  <c:x val="-3.2098097466647754E-17"/>
                  <c:y val="2.3643199911632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951-4FE0-8059-A6049FF710BC}"/>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Balvu raj.</c:v>
                </c:pt>
                <c:pt idx="1">
                  <c:v>Daugavpils</c:v>
                </c:pt>
                <c:pt idx="2">
                  <c:v>Krāslavas raj.</c:v>
                </c:pt>
                <c:pt idx="3">
                  <c:v>Ludzas raj.</c:v>
                </c:pt>
                <c:pt idx="4">
                  <c:v>Preiļu raj.</c:v>
                </c:pt>
                <c:pt idx="5">
                  <c:v>Rēzekne</c:v>
                </c:pt>
              </c:strCache>
            </c:strRef>
          </c:cat>
          <c:val>
            <c:numRef>
              <c:f>II_Rajona_prok!$G$5:$G$10</c:f>
              <c:numCache>
                <c:formatCode>General</c:formatCode>
                <c:ptCount val="6"/>
                <c:pt idx="0">
                  <c:v>65</c:v>
                </c:pt>
                <c:pt idx="1">
                  <c:v>121</c:v>
                </c:pt>
                <c:pt idx="2">
                  <c:v>68</c:v>
                </c:pt>
                <c:pt idx="3">
                  <c:v>100</c:v>
                </c:pt>
                <c:pt idx="4">
                  <c:v>82</c:v>
                </c:pt>
                <c:pt idx="5">
                  <c:v>149</c:v>
                </c:pt>
              </c:numCache>
            </c:numRef>
          </c:val>
          <c:extLst>
            <c:ext xmlns:c16="http://schemas.microsoft.com/office/drawing/2014/chart" uri="{C3380CC4-5D6E-409C-BE32-E72D297353CC}">
              <c16:uniqueId val="{00000001-2951-4FE0-8059-A6049FF710BC}"/>
            </c:ext>
          </c:extLst>
        </c:ser>
        <c:ser>
          <c:idx val="1"/>
          <c:order val="1"/>
          <c:tx>
            <c:strRef>
              <c:f>II_Rajona_prok!$G$4</c:f>
              <c:strCache>
                <c:ptCount val="1"/>
                <c:pt idx="0">
                  <c:v>2020</c:v>
                </c:pt>
              </c:strCache>
            </c:strRef>
          </c:tx>
          <c:invertIfNegative val="0"/>
          <c:dLbls>
            <c:dLbl>
              <c:idx val="4"/>
              <c:layout>
                <c:manualLayout>
                  <c:x val="-6.4196194933295507E-17"/>
                  <c:y val="-7.8810666372110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951-4FE0-8059-A6049FF710BC}"/>
                </c:ext>
              </c:extLst>
            </c:dLbl>
            <c:dLbl>
              <c:idx val="7"/>
              <c:layout>
                <c:manualLayout>
                  <c:x val="-1.2839238986659101E-16"/>
                  <c:y val="-1.5762133274421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51-4FE0-8059-A6049FF710BC}"/>
                </c:ext>
              </c:extLst>
            </c:dLbl>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Balvu raj.</c:v>
                </c:pt>
                <c:pt idx="1">
                  <c:v>Daugavpils</c:v>
                </c:pt>
                <c:pt idx="2">
                  <c:v>Krāslavas raj.</c:v>
                </c:pt>
                <c:pt idx="3">
                  <c:v>Ludzas raj.</c:v>
                </c:pt>
                <c:pt idx="4">
                  <c:v>Preiļu raj.</c:v>
                </c:pt>
                <c:pt idx="5">
                  <c:v>Rēzekne</c:v>
                </c:pt>
              </c:strCache>
            </c:strRef>
          </c:cat>
          <c:val>
            <c:numRef>
              <c:f>II_Rajona_prok!$H$5:$H$10</c:f>
              <c:numCache>
                <c:formatCode>General</c:formatCode>
                <c:ptCount val="6"/>
                <c:pt idx="0">
                  <c:v>28</c:v>
                </c:pt>
                <c:pt idx="1">
                  <c:v>67</c:v>
                </c:pt>
                <c:pt idx="2">
                  <c:v>6</c:v>
                </c:pt>
                <c:pt idx="3">
                  <c:v>42</c:v>
                </c:pt>
                <c:pt idx="4">
                  <c:v>1</c:v>
                </c:pt>
                <c:pt idx="5">
                  <c:v>32</c:v>
                </c:pt>
              </c:numCache>
            </c:numRef>
          </c:val>
          <c:extLst>
            <c:ext xmlns:c16="http://schemas.microsoft.com/office/drawing/2014/chart" uri="{C3380CC4-5D6E-409C-BE32-E72D297353CC}">
              <c16:uniqueId val="{00000004-2951-4FE0-8059-A6049FF710BC}"/>
            </c:ext>
          </c:extLst>
        </c:ser>
        <c:ser>
          <c:idx val="2"/>
          <c:order val="2"/>
          <c:tx>
            <c:strRef>
              <c:f>II_Rajona_prok!$I$4</c:f>
              <c:strCache>
                <c:ptCount val="1"/>
                <c:pt idx="0">
                  <c:v>2019</c:v>
                </c:pt>
              </c:strCache>
            </c:strRef>
          </c:tx>
          <c:invertIfNegative val="0"/>
          <c:dLbls>
            <c:dLbl>
              <c:idx val="3"/>
              <c:layout>
                <c:manualLayout>
                  <c:x val="1.7508255418149574E-3"/>
                  <c:y val="1.18215999558163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51-4FE0-8059-A6049FF710BC}"/>
                </c:ext>
              </c:extLst>
            </c:dLbl>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Balvu raj.</c:v>
                </c:pt>
                <c:pt idx="1">
                  <c:v>Daugavpils</c:v>
                </c:pt>
                <c:pt idx="2">
                  <c:v>Krāslavas raj.</c:v>
                </c:pt>
                <c:pt idx="3">
                  <c:v>Ludzas raj.</c:v>
                </c:pt>
                <c:pt idx="4">
                  <c:v>Preiļu raj.</c:v>
                </c:pt>
                <c:pt idx="5">
                  <c:v>Rēzekne</c:v>
                </c:pt>
              </c:strCache>
            </c:strRef>
          </c:cat>
          <c:val>
            <c:numRef>
              <c:f>II_Rajona_prok!$I$5:$I$10</c:f>
              <c:numCache>
                <c:formatCode>General</c:formatCode>
                <c:ptCount val="6"/>
                <c:pt idx="0">
                  <c:v>90</c:v>
                </c:pt>
                <c:pt idx="1">
                  <c:v>166</c:v>
                </c:pt>
                <c:pt idx="2">
                  <c:v>70</c:v>
                </c:pt>
                <c:pt idx="3">
                  <c:v>88</c:v>
                </c:pt>
                <c:pt idx="4">
                  <c:v>88</c:v>
                </c:pt>
                <c:pt idx="5">
                  <c:v>145</c:v>
                </c:pt>
              </c:numCache>
            </c:numRef>
          </c:val>
          <c:extLst>
            <c:ext xmlns:c16="http://schemas.microsoft.com/office/drawing/2014/chart" uri="{C3380CC4-5D6E-409C-BE32-E72D297353CC}">
              <c16:uniqueId val="{00000006-2951-4FE0-8059-A6049FF710BC}"/>
            </c:ext>
          </c:extLst>
        </c:ser>
        <c:ser>
          <c:idx val="3"/>
          <c:order val="3"/>
          <c:tx>
            <c:strRef>
              <c:f>II_Rajona_prok!$I$4</c:f>
              <c:strCache>
                <c:ptCount val="1"/>
                <c:pt idx="0">
                  <c:v>2019</c:v>
                </c:pt>
              </c:strCache>
            </c:strRef>
          </c:tx>
          <c:invertIfNegative val="0"/>
          <c:dLbls>
            <c:dLbl>
              <c:idx val="0"/>
              <c:layout>
                <c:manualLayout>
                  <c:x val="-1.6049048733323877E-17"/>
                  <c:y val="4.85088959866739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951-4FE0-8059-A6049FF710BC}"/>
                </c:ext>
              </c:extLst>
            </c:dLbl>
            <c:dLbl>
              <c:idx val="1"/>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951-4FE0-8059-A6049FF710BC}"/>
                </c:ext>
              </c:extLst>
            </c:dLbl>
            <c:dLbl>
              <c:idx val="2"/>
              <c:layout>
                <c:manualLayout>
                  <c:x val="0"/>
                  <c:y val="-2.33329216975707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951-4FE0-8059-A6049FF710BC}"/>
                </c:ext>
              </c:extLst>
            </c:dLbl>
            <c:dLbl>
              <c:idx val="3"/>
              <c:layout>
                <c:manualLayout>
                  <c:x val="1.7508255418150216E-3"/>
                  <c:y val="1.50360822535132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951-4FE0-8059-A6049FF710BC}"/>
                </c:ext>
              </c:extLst>
            </c:dLbl>
            <c:dLbl>
              <c:idx val="4"/>
              <c:layout>
                <c:manualLayout>
                  <c:x val="1.7508255418150216E-3"/>
                  <c:y val="4.551781400310402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951-4FE0-8059-A6049FF710BC}"/>
                </c:ext>
              </c:extLst>
            </c:dLbl>
            <c:dLbl>
              <c:idx val="5"/>
              <c:layout>
                <c:manualLayout>
                  <c:x val="1.7508255418150216E-3"/>
                  <c:y val="-1.63609702275656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951-4FE0-8059-A6049FF710BC}"/>
                </c:ext>
              </c:extLst>
            </c:dLbl>
            <c:dLbl>
              <c:idx val="7"/>
              <c:layout>
                <c:manualLayout>
                  <c:x val="1.7508255418150216E-3"/>
                  <c:y val="-3.48535517857442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951-4FE0-8059-A6049FF710BC}"/>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II_Rajona_prok!$F$5:$F$10</c:f>
              <c:strCache>
                <c:ptCount val="6"/>
                <c:pt idx="0">
                  <c:v>Balvu raj.</c:v>
                </c:pt>
                <c:pt idx="1">
                  <c:v>Daugavpils</c:v>
                </c:pt>
                <c:pt idx="2">
                  <c:v>Krāslavas raj.</c:v>
                </c:pt>
                <c:pt idx="3">
                  <c:v>Ludzas raj.</c:v>
                </c:pt>
                <c:pt idx="4">
                  <c:v>Preiļu raj.</c:v>
                </c:pt>
                <c:pt idx="5">
                  <c:v>Rēzekne</c:v>
                </c:pt>
              </c:strCache>
            </c:strRef>
          </c:cat>
          <c:val>
            <c:numRef>
              <c:f>II_Rajona_prok!$J$5:$J$10</c:f>
              <c:numCache>
                <c:formatCode>General</c:formatCode>
                <c:ptCount val="6"/>
                <c:pt idx="0">
                  <c:v>43</c:v>
                </c:pt>
                <c:pt idx="1">
                  <c:v>102</c:v>
                </c:pt>
                <c:pt idx="2">
                  <c:v>4</c:v>
                </c:pt>
                <c:pt idx="3">
                  <c:v>59</c:v>
                </c:pt>
                <c:pt idx="4">
                  <c:v>0</c:v>
                </c:pt>
                <c:pt idx="5">
                  <c:v>47</c:v>
                </c:pt>
              </c:numCache>
            </c:numRef>
          </c:val>
          <c:extLst>
            <c:ext xmlns:c16="http://schemas.microsoft.com/office/drawing/2014/chart" uri="{C3380CC4-5D6E-409C-BE32-E72D297353CC}">
              <c16:uniqueId val="{0000000E-2951-4FE0-8059-A6049FF710BC}"/>
            </c:ext>
          </c:extLst>
        </c:ser>
        <c:dLbls>
          <c:showLegendKey val="0"/>
          <c:showVal val="0"/>
          <c:showCatName val="0"/>
          <c:showSerName val="0"/>
          <c:showPercent val="0"/>
          <c:showBubbleSize val="0"/>
        </c:dLbls>
        <c:gapWidth val="150"/>
        <c:axId val="175464832"/>
        <c:axId val="175466368"/>
      </c:barChart>
      <c:catAx>
        <c:axId val="175464832"/>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175466368"/>
        <c:crosses val="autoZero"/>
        <c:auto val="1"/>
        <c:lblAlgn val="ctr"/>
        <c:lblOffset val="100"/>
        <c:noMultiLvlLbl val="0"/>
      </c:catAx>
      <c:valAx>
        <c:axId val="175466368"/>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64832"/>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baseline="0">
          <a:solidFill>
            <a:schemeClr val="tx2"/>
          </a:solidFill>
          <a:latin typeface="Times New Roman" panose="02020603050405020304" pitchFamily="18" charset="0"/>
        </a:defRPr>
      </a:pPr>
      <a:endParaRPr lang="lv-LV"/>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Tiesai nodotas krimināllietas, no tām vienošanās procesa kārtībā</a:t>
            </a:r>
          </a:p>
        </c:rich>
      </c:tx>
      <c:overlay val="0"/>
    </c:title>
    <c:autoTitleDeleted val="0"/>
    <c:plotArea>
      <c:layout/>
      <c:barChart>
        <c:barDir val="col"/>
        <c:grouping val="clustered"/>
        <c:varyColors val="0"/>
        <c:ser>
          <c:idx val="0"/>
          <c:order val="0"/>
          <c:tx>
            <c:strRef>
              <c:f>II_Rajona_prok!$M$4</c:f>
              <c:strCache>
                <c:ptCount val="1"/>
                <c:pt idx="0">
                  <c:v>2020</c:v>
                </c:pt>
              </c:strCache>
            </c:strRef>
          </c:tx>
          <c:invertIfNegative val="0"/>
          <c:dLbls>
            <c:dLbl>
              <c:idx val="0"/>
              <c:layout>
                <c:manualLayout>
                  <c:x val="4.7281323877068557E-3"/>
                  <c:y val="-4.79946585624176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3F-47EB-BA7E-EF02CDC61E9F}"/>
                </c:ext>
              </c:extLst>
            </c:dLbl>
            <c:dLbl>
              <c:idx val="1"/>
              <c:layout>
                <c:manualLayout>
                  <c:x val="2.3640661938533845E-3"/>
                  <c:y val="5.84795321637426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13F-47EB-BA7E-EF02CDC61E9F}"/>
                </c:ext>
              </c:extLst>
            </c:dLbl>
            <c:dLbl>
              <c:idx val="2"/>
              <c:layout>
                <c:manualLayout>
                  <c:x val="-4.3340712878365935E-17"/>
                  <c:y val="1.1492839710825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13F-47EB-BA7E-EF02CDC61E9F}"/>
                </c:ext>
              </c:extLst>
            </c:dLbl>
            <c:dLbl>
              <c:idx val="3"/>
              <c:layout>
                <c:manualLayout>
                  <c:x val="0"/>
                  <c:y val="2.33918128654970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3F-47EB-BA7E-EF02CDC61E9F}"/>
                </c:ext>
              </c:extLst>
            </c:dLbl>
            <c:dLbl>
              <c:idx val="4"/>
              <c:layout>
                <c:manualLayout>
                  <c:x val="0"/>
                  <c:y val="2.811161762674295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3F-47EB-BA7E-EF02CDC61E9F}"/>
                </c:ext>
              </c:extLst>
            </c:dLbl>
            <c:dLbl>
              <c:idx val="5"/>
              <c:layout>
                <c:manualLayout>
                  <c:x val="4.7281323877068557E-3"/>
                  <c:y val="1.75438596491228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3F-47EB-BA7E-EF02CDC61E9F}"/>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Balvu raj.</c:v>
                </c:pt>
                <c:pt idx="1">
                  <c:v>Daugavpils</c:v>
                </c:pt>
                <c:pt idx="2">
                  <c:v>Krāslavas raj.</c:v>
                </c:pt>
                <c:pt idx="3">
                  <c:v>Ludzas raj.</c:v>
                </c:pt>
                <c:pt idx="4">
                  <c:v>Preiļu raj.</c:v>
                </c:pt>
                <c:pt idx="5">
                  <c:v>Rēzekne</c:v>
                </c:pt>
              </c:strCache>
            </c:strRef>
          </c:cat>
          <c:val>
            <c:numRef>
              <c:f>II_Rajona_prok!$M$5:$M$10</c:f>
              <c:numCache>
                <c:formatCode>General</c:formatCode>
                <c:ptCount val="6"/>
                <c:pt idx="0">
                  <c:v>95</c:v>
                </c:pt>
                <c:pt idx="1">
                  <c:v>474</c:v>
                </c:pt>
                <c:pt idx="2">
                  <c:v>82</c:v>
                </c:pt>
                <c:pt idx="3">
                  <c:v>177</c:v>
                </c:pt>
                <c:pt idx="4">
                  <c:v>132</c:v>
                </c:pt>
                <c:pt idx="5">
                  <c:v>202</c:v>
                </c:pt>
              </c:numCache>
            </c:numRef>
          </c:val>
          <c:extLst>
            <c:ext xmlns:c16="http://schemas.microsoft.com/office/drawing/2014/chart" uri="{C3380CC4-5D6E-409C-BE32-E72D297353CC}">
              <c16:uniqueId val="{00000000-9908-4622-9D8B-1CF32586EDAD}"/>
            </c:ext>
          </c:extLst>
        </c:ser>
        <c:ser>
          <c:idx val="1"/>
          <c:order val="1"/>
          <c:tx>
            <c:strRef>
              <c:f>II_Rajona_prok!$M$4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Balvu raj.</c:v>
                </c:pt>
                <c:pt idx="1">
                  <c:v>Daugavpils</c:v>
                </c:pt>
                <c:pt idx="2">
                  <c:v>Krāslavas raj.</c:v>
                </c:pt>
                <c:pt idx="3">
                  <c:v>Ludzas raj.</c:v>
                </c:pt>
                <c:pt idx="4">
                  <c:v>Preiļu raj.</c:v>
                </c:pt>
                <c:pt idx="5">
                  <c:v>Rēzekne</c:v>
                </c:pt>
              </c:strCache>
            </c:strRef>
          </c:cat>
          <c:val>
            <c:numRef>
              <c:f>II_Rajona_prok!$N$5:$N$10</c:f>
              <c:numCache>
                <c:formatCode>General</c:formatCode>
                <c:ptCount val="6"/>
                <c:pt idx="0">
                  <c:v>7</c:v>
                </c:pt>
                <c:pt idx="1">
                  <c:v>94</c:v>
                </c:pt>
                <c:pt idx="2">
                  <c:v>42</c:v>
                </c:pt>
                <c:pt idx="3">
                  <c:v>65</c:v>
                </c:pt>
                <c:pt idx="4">
                  <c:v>6</c:v>
                </c:pt>
                <c:pt idx="5">
                  <c:v>27</c:v>
                </c:pt>
              </c:numCache>
            </c:numRef>
          </c:val>
          <c:extLst>
            <c:ext xmlns:c16="http://schemas.microsoft.com/office/drawing/2014/chart" uri="{C3380CC4-5D6E-409C-BE32-E72D297353CC}">
              <c16:uniqueId val="{00000001-9908-4622-9D8B-1CF32586EDAD}"/>
            </c:ext>
          </c:extLst>
        </c:ser>
        <c:ser>
          <c:idx val="2"/>
          <c:order val="2"/>
          <c:tx>
            <c:strRef>
              <c:f>II_Rajona_prok!$O$4</c:f>
              <c:strCache>
                <c:ptCount val="1"/>
                <c:pt idx="0">
                  <c:v>2019</c:v>
                </c:pt>
              </c:strCache>
            </c:strRef>
          </c:tx>
          <c:invertIfNegative val="0"/>
          <c:dLbls>
            <c:dLbl>
              <c:idx val="0"/>
              <c:layout>
                <c:manualLayout>
                  <c:x val="-2.3640661938534278E-3"/>
                  <c:y val="9.14398858037471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13F-47EB-BA7E-EF02CDC61E9F}"/>
                </c:ext>
              </c:extLst>
            </c:dLbl>
            <c:dLbl>
              <c:idx val="1"/>
              <c:layout>
                <c:manualLayout>
                  <c:x val="0"/>
                  <c:y val="2.33918128654970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13F-47EB-BA7E-EF02CDC61E9F}"/>
                </c:ext>
              </c:extLst>
            </c:dLbl>
            <c:dLbl>
              <c:idx val="2"/>
              <c:layout>
                <c:manualLayout>
                  <c:x val="9.4562647754137114E-3"/>
                  <c:y val="1.3484827554450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13F-47EB-BA7E-EF02CDC61E9F}"/>
                </c:ext>
              </c:extLst>
            </c:dLbl>
            <c:dLbl>
              <c:idx val="3"/>
              <c:layout>
                <c:manualLayout>
                  <c:x val="0"/>
                  <c:y val="1.78781599668461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13F-47EB-BA7E-EF02CDC61E9F}"/>
                </c:ext>
              </c:extLst>
            </c:dLbl>
            <c:dLbl>
              <c:idx val="4"/>
              <c:layout>
                <c:manualLayout>
                  <c:x val="0"/>
                  <c:y val="-2.67992816687398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3F-47EB-BA7E-EF02CDC61E9F}"/>
                </c:ext>
              </c:extLst>
            </c:dLbl>
            <c:dLbl>
              <c:idx val="5"/>
              <c:layout>
                <c:manualLayout>
                  <c:x val="0"/>
                  <c:y val="1.75438596491227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3F-47EB-BA7E-EF02CDC61E9F}"/>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Balvu raj.</c:v>
                </c:pt>
                <c:pt idx="1">
                  <c:v>Daugavpils</c:v>
                </c:pt>
                <c:pt idx="2">
                  <c:v>Krāslavas raj.</c:v>
                </c:pt>
                <c:pt idx="3">
                  <c:v>Ludzas raj.</c:v>
                </c:pt>
                <c:pt idx="4">
                  <c:v>Preiļu raj.</c:v>
                </c:pt>
                <c:pt idx="5">
                  <c:v>Rēzekne</c:v>
                </c:pt>
              </c:strCache>
            </c:strRef>
          </c:cat>
          <c:val>
            <c:numRef>
              <c:f>II_Rajona_prok!$O$5:$O$10</c:f>
              <c:numCache>
                <c:formatCode>General</c:formatCode>
                <c:ptCount val="6"/>
                <c:pt idx="0">
                  <c:v>109</c:v>
                </c:pt>
                <c:pt idx="1">
                  <c:v>493</c:v>
                </c:pt>
                <c:pt idx="2">
                  <c:v>84</c:v>
                </c:pt>
                <c:pt idx="3">
                  <c:v>153</c:v>
                </c:pt>
                <c:pt idx="4">
                  <c:v>103</c:v>
                </c:pt>
                <c:pt idx="5">
                  <c:v>243</c:v>
                </c:pt>
              </c:numCache>
            </c:numRef>
          </c:val>
          <c:extLst>
            <c:ext xmlns:c16="http://schemas.microsoft.com/office/drawing/2014/chart" uri="{C3380CC4-5D6E-409C-BE32-E72D297353CC}">
              <c16:uniqueId val="{00000002-9908-4622-9D8B-1CF32586EDAD}"/>
            </c:ext>
          </c:extLst>
        </c:ser>
        <c:ser>
          <c:idx val="3"/>
          <c:order val="3"/>
          <c:tx>
            <c:strRef>
              <c:f>II_Rajona_prok!$O$4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II_Rajona_prok!$L$5:$L$10</c:f>
              <c:strCache>
                <c:ptCount val="6"/>
                <c:pt idx="0">
                  <c:v>Balvu raj.</c:v>
                </c:pt>
                <c:pt idx="1">
                  <c:v>Daugavpils</c:v>
                </c:pt>
                <c:pt idx="2">
                  <c:v>Krāslavas raj.</c:v>
                </c:pt>
                <c:pt idx="3">
                  <c:v>Ludzas raj.</c:v>
                </c:pt>
                <c:pt idx="4">
                  <c:v>Preiļu raj.</c:v>
                </c:pt>
                <c:pt idx="5">
                  <c:v>Rēzekne</c:v>
                </c:pt>
              </c:strCache>
            </c:strRef>
          </c:cat>
          <c:val>
            <c:numRef>
              <c:f>II_Rajona_prok!$P$5:$P$10</c:f>
              <c:numCache>
                <c:formatCode>General</c:formatCode>
                <c:ptCount val="6"/>
                <c:pt idx="0">
                  <c:v>7</c:v>
                </c:pt>
                <c:pt idx="1">
                  <c:v>33</c:v>
                </c:pt>
                <c:pt idx="2">
                  <c:v>48</c:v>
                </c:pt>
                <c:pt idx="3">
                  <c:v>28</c:v>
                </c:pt>
                <c:pt idx="4">
                  <c:v>19</c:v>
                </c:pt>
                <c:pt idx="5">
                  <c:v>21</c:v>
                </c:pt>
              </c:numCache>
            </c:numRef>
          </c:val>
          <c:extLst>
            <c:ext xmlns:c16="http://schemas.microsoft.com/office/drawing/2014/chart" uri="{C3380CC4-5D6E-409C-BE32-E72D297353CC}">
              <c16:uniqueId val="{00000003-9908-4622-9D8B-1CF32586EDAD}"/>
            </c:ext>
          </c:extLst>
        </c:ser>
        <c:dLbls>
          <c:showLegendKey val="0"/>
          <c:showVal val="0"/>
          <c:showCatName val="0"/>
          <c:showSerName val="0"/>
          <c:showPercent val="0"/>
          <c:showBubbleSize val="0"/>
        </c:dLbls>
        <c:gapWidth val="150"/>
        <c:axId val="175476096"/>
        <c:axId val="240403584"/>
      </c:barChart>
      <c:catAx>
        <c:axId val="17547609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40403584"/>
        <c:crosses val="autoZero"/>
        <c:auto val="1"/>
        <c:lblAlgn val="ctr"/>
        <c:lblOffset val="100"/>
        <c:noMultiLvlLbl val="0"/>
      </c:catAx>
      <c:valAx>
        <c:axId val="240403584"/>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17547609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Prokuratūrā pabeigti kriminālprocesi ar prokurora priekšrakstu par sodu</a:t>
            </a:r>
          </a:p>
        </c:rich>
      </c:tx>
      <c:overlay val="0"/>
    </c:title>
    <c:autoTitleDeleted val="0"/>
    <c:plotArea>
      <c:layout/>
      <c:barChart>
        <c:barDir val="col"/>
        <c:grouping val="clustered"/>
        <c:varyColors val="0"/>
        <c:ser>
          <c:idx val="0"/>
          <c:order val="0"/>
          <c:tx>
            <c:strRef>
              <c:f>II_Rajona_prok!$S$4</c:f>
              <c:strCache>
                <c:ptCount val="1"/>
                <c:pt idx="0">
                  <c:v>2020</c:v>
                </c:pt>
              </c:strCache>
            </c:strRef>
          </c:tx>
          <c:invertIfNegative val="0"/>
          <c:dLbls>
            <c:spPr>
              <a:noFill/>
              <a:ln>
                <a:noFill/>
              </a:ln>
              <a:effectLst/>
            </c:spPr>
            <c:txPr>
              <a:bodyPr/>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II_Rajona_prok!$R$5:$R$10</c:f>
              <c:strCache>
                <c:ptCount val="6"/>
                <c:pt idx="0">
                  <c:v>Balvu raj.</c:v>
                </c:pt>
                <c:pt idx="1">
                  <c:v>Daugavpils</c:v>
                </c:pt>
                <c:pt idx="2">
                  <c:v>Krāslavas raj.</c:v>
                </c:pt>
                <c:pt idx="3">
                  <c:v>Ludzas raj.</c:v>
                </c:pt>
                <c:pt idx="4">
                  <c:v>Preiļu raj.</c:v>
                </c:pt>
                <c:pt idx="5">
                  <c:v>Rēzekne</c:v>
                </c:pt>
              </c:strCache>
            </c:strRef>
          </c:cat>
          <c:val>
            <c:numRef>
              <c:f>II_Rajona_prok!$S$5:$S$10</c:f>
              <c:numCache>
                <c:formatCode>General</c:formatCode>
                <c:ptCount val="6"/>
                <c:pt idx="0">
                  <c:v>32</c:v>
                </c:pt>
                <c:pt idx="1">
                  <c:v>92</c:v>
                </c:pt>
                <c:pt idx="2">
                  <c:v>32</c:v>
                </c:pt>
                <c:pt idx="3">
                  <c:v>31</c:v>
                </c:pt>
                <c:pt idx="4">
                  <c:v>56</c:v>
                </c:pt>
                <c:pt idx="5">
                  <c:v>91</c:v>
                </c:pt>
              </c:numCache>
            </c:numRef>
          </c:val>
          <c:extLst>
            <c:ext xmlns:c16="http://schemas.microsoft.com/office/drawing/2014/chart" uri="{C3380CC4-5D6E-409C-BE32-E72D297353CC}">
              <c16:uniqueId val="{00000000-C73A-4A87-BC70-49A6F69251B0}"/>
            </c:ext>
          </c:extLst>
        </c:ser>
        <c:ser>
          <c:idx val="1"/>
          <c:order val="1"/>
          <c:tx>
            <c:strRef>
              <c:f>II_Rajona_prok!$T$4</c:f>
              <c:strCache>
                <c:ptCount val="1"/>
                <c:pt idx="0">
                  <c:v>2019</c:v>
                </c:pt>
              </c:strCache>
            </c:strRef>
          </c:tx>
          <c:invertIfNegative val="0"/>
          <c:dLbls>
            <c:spPr>
              <a:noFill/>
              <a:ln>
                <a:noFill/>
              </a:ln>
              <a:effectLst/>
            </c:spPr>
            <c:txPr>
              <a:bodyPr/>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II_Rajona_prok!$R$5:$R$10</c:f>
              <c:strCache>
                <c:ptCount val="6"/>
                <c:pt idx="0">
                  <c:v>Balvu raj.</c:v>
                </c:pt>
                <c:pt idx="1">
                  <c:v>Daugavpils</c:v>
                </c:pt>
                <c:pt idx="2">
                  <c:v>Krāslavas raj.</c:v>
                </c:pt>
                <c:pt idx="3">
                  <c:v>Ludzas raj.</c:v>
                </c:pt>
                <c:pt idx="4">
                  <c:v>Preiļu raj.</c:v>
                </c:pt>
                <c:pt idx="5">
                  <c:v>Rēzekne</c:v>
                </c:pt>
              </c:strCache>
            </c:strRef>
          </c:cat>
          <c:val>
            <c:numRef>
              <c:f>II_Rajona_prok!$T$5:$T$10</c:f>
              <c:numCache>
                <c:formatCode>General</c:formatCode>
                <c:ptCount val="6"/>
                <c:pt idx="0">
                  <c:v>50</c:v>
                </c:pt>
                <c:pt idx="1">
                  <c:v>71</c:v>
                </c:pt>
                <c:pt idx="2">
                  <c:v>35</c:v>
                </c:pt>
                <c:pt idx="3">
                  <c:v>39</c:v>
                </c:pt>
                <c:pt idx="4">
                  <c:v>51</c:v>
                </c:pt>
                <c:pt idx="5">
                  <c:v>92</c:v>
                </c:pt>
              </c:numCache>
            </c:numRef>
          </c:val>
          <c:extLst>
            <c:ext xmlns:c16="http://schemas.microsoft.com/office/drawing/2014/chart" uri="{C3380CC4-5D6E-409C-BE32-E72D297353CC}">
              <c16:uniqueId val="{00000001-C73A-4A87-BC70-49A6F69251B0}"/>
            </c:ext>
          </c:extLst>
        </c:ser>
        <c:dLbls>
          <c:showLegendKey val="0"/>
          <c:showVal val="0"/>
          <c:showCatName val="0"/>
          <c:showSerName val="0"/>
          <c:showPercent val="0"/>
          <c:showBubbleSize val="0"/>
        </c:dLbls>
        <c:gapWidth val="150"/>
        <c:axId val="237797376"/>
        <c:axId val="239077632"/>
      </c:barChart>
      <c:catAx>
        <c:axId val="237797376"/>
        <c:scaling>
          <c:orientation val="minMax"/>
        </c:scaling>
        <c:delete val="0"/>
        <c:axPos val="b"/>
        <c:numFmt formatCode="General" sourceLinked="0"/>
        <c:majorTickMark val="none"/>
        <c:minorTickMark val="none"/>
        <c:tickLblPos val="nextTo"/>
        <c:crossAx val="239077632"/>
        <c:crosses val="autoZero"/>
        <c:auto val="1"/>
        <c:lblAlgn val="ctr"/>
        <c:lblOffset val="100"/>
        <c:noMultiLvlLbl val="0"/>
      </c:catAx>
      <c:valAx>
        <c:axId val="239077632"/>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37797376"/>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1" baseline="0">
                <a:solidFill>
                  <a:schemeClr val="tx1"/>
                </a:solidFill>
              </a:rPr>
              <a:t>Kriminālprocesa pabeigšanas veidi prokuratūrā</a:t>
            </a:r>
          </a:p>
          <a:p>
            <a:pPr algn="ctr">
              <a:defRPr sz="1400"/>
            </a:pPr>
            <a:r>
              <a:rPr lang="lv-LV" sz="1200" b="1" baseline="0">
                <a:solidFill>
                  <a:schemeClr val="tx1"/>
                </a:solidFill>
              </a:rPr>
              <a:t>2018. gadā</a:t>
            </a:r>
            <a:endParaRPr lang="lv-LV" sz="1200" b="1">
              <a:solidFill>
                <a:schemeClr val="tx1"/>
              </a:solidFill>
            </a:endParaRPr>
          </a:p>
        </c:rich>
      </c:tx>
      <c:layout>
        <c:manualLayout>
          <c:xMode val="edge"/>
          <c:yMode val="edge"/>
          <c:x val="0.1334041507880655"/>
          <c:y val="2.1455331150477826E-2"/>
        </c:manualLayout>
      </c:layout>
      <c:overlay val="0"/>
      <c:spPr>
        <a:noFill/>
        <a:ln>
          <a:noFill/>
        </a:ln>
        <a:effectLst/>
      </c:spPr>
      <c:txPr>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doughnutChart>
        <c:varyColors val="1"/>
        <c:ser>
          <c:idx val="0"/>
          <c:order val="0"/>
          <c:dPt>
            <c:idx val="0"/>
            <c:bubble3D val="0"/>
            <c:spPr>
              <a:solidFill>
                <a:schemeClr val="accent1"/>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CCA7-4097-B157-B6231641F19D}"/>
              </c:ext>
            </c:extLst>
          </c:dPt>
          <c:dPt>
            <c:idx val="1"/>
            <c:bubble3D val="0"/>
            <c:spPr>
              <a:solidFill>
                <a:schemeClr val="accent2"/>
              </a:solidFill>
              <a:ln w="6350" cap="flat" cmpd="sng" algn="ctr">
                <a:solidFill>
                  <a:schemeClr val="accent2">
                    <a:shade val="50000"/>
                  </a:schemeClr>
                </a:solidFill>
                <a:prstDash val="solid"/>
                <a:round/>
              </a:ln>
              <a:effectLst/>
            </c:spPr>
            <c:extLst>
              <c:ext xmlns:c16="http://schemas.microsoft.com/office/drawing/2014/chart" uri="{C3380CC4-5D6E-409C-BE32-E72D297353CC}">
                <c16:uniqueId val="{00000003-CCA7-4097-B157-B6231641F19D}"/>
              </c:ext>
            </c:extLst>
          </c:dPt>
          <c:dPt>
            <c:idx val="2"/>
            <c:bubble3D val="0"/>
            <c:spPr>
              <a:solidFill>
                <a:schemeClr val="accent3"/>
              </a:solidFill>
              <a:ln w="6350" cap="flat" cmpd="sng" algn="ctr">
                <a:solidFill>
                  <a:schemeClr val="accent3">
                    <a:shade val="50000"/>
                  </a:schemeClr>
                </a:solidFill>
                <a:prstDash val="solid"/>
                <a:round/>
              </a:ln>
              <a:effectLst/>
            </c:spPr>
            <c:extLst>
              <c:ext xmlns:c16="http://schemas.microsoft.com/office/drawing/2014/chart" uri="{C3380CC4-5D6E-409C-BE32-E72D297353CC}">
                <c16:uniqueId val="{00000005-CCA7-4097-B157-B6231641F19D}"/>
              </c:ext>
            </c:extLst>
          </c:dPt>
          <c:dPt>
            <c:idx val="3"/>
            <c:bubble3D val="0"/>
            <c:spPr>
              <a:solidFill>
                <a:schemeClr val="accent4"/>
              </a:solidFill>
              <a:ln w="6350" cap="flat" cmpd="sng" algn="ctr">
                <a:solidFill>
                  <a:schemeClr val="accent4">
                    <a:shade val="50000"/>
                  </a:schemeClr>
                </a:solidFill>
                <a:prstDash val="solid"/>
                <a:round/>
              </a:ln>
              <a:effectLst/>
            </c:spPr>
            <c:extLst>
              <c:ext xmlns:c16="http://schemas.microsoft.com/office/drawing/2014/chart" uri="{C3380CC4-5D6E-409C-BE32-E72D297353CC}">
                <c16:uniqueId val="{00000007-CCA7-4097-B157-B6231641F19D}"/>
              </c:ext>
            </c:extLst>
          </c:dPt>
          <c:dPt>
            <c:idx val="4"/>
            <c:bubble3D val="0"/>
            <c:spPr>
              <a:solidFill>
                <a:schemeClr val="accent5"/>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9-CCA7-4097-B157-B6231641F19D}"/>
              </c:ext>
            </c:extLst>
          </c:dPt>
          <c:dLbls>
            <c:dLbl>
              <c:idx val="2"/>
              <c:layout>
                <c:manualLayout>
                  <c:x val="0"/>
                  <c:y val="-9.84251968503930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A7-4097-B157-B6231641F19D}"/>
                </c:ext>
              </c:extLst>
            </c:dLbl>
            <c:dLbl>
              <c:idx val="3"/>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5496815286624205"/>
                      <c:h val="0.18831877729257643"/>
                    </c:manualLayout>
                  </c15:layout>
                </c:ext>
                <c:ext xmlns:c16="http://schemas.microsoft.com/office/drawing/2014/chart" uri="{C3380CC4-5D6E-409C-BE32-E72D297353CC}">
                  <c16:uniqueId val="{00000007-CCA7-4097-B157-B6231641F19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6350" cap="flat" cmpd="sng" algn="ctr">
                  <a:solidFill>
                    <a:schemeClr val="dk1"/>
                  </a:solidFill>
                  <a:prstDash val="solid"/>
                  <a:round/>
                </a:ln>
                <a:effectLst/>
              </c:spPr>
            </c:leaderLines>
            <c:extLst>
              <c:ext xmlns:c15="http://schemas.microsoft.com/office/drawing/2012/chart" uri="{CE6537A1-D6FC-4f65-9D91-7224C49458BB}"/>
            </c:extLst>
          </c:dLbls>
          <c:cat>
            <c:strRef>
              <c:f>I_tiesas_apgabala_prok!$AR$6:$AR$10</c:f>
              <c:strCache>
                <c:ptCount val="5"/>
                <c:pt idx="0">
                  <c:v>Priekšraksti par sodu</c:v>
                </c:pt>
                <c:pt idx="1">
                  <c:v>Nosacīti atbrīvojot no kriminālatbildības</c:v>
                </c:pt>
                <c:pt idx="2">
                  <c:v>KPL 379.panta 1., 2.daļa</c:v>
                </c:pt>
                <c:pt idx="3">
                  <c:v>Izlīgumi (KPL 377.panta 9.punkts)</c:v>
                </c:pt>
                <c:pt idx="4">
                  <c:v>Citi</c:v>
                </c:pt>
              </c:strCache>
            </c:strRef>
          </c:cat>
          <c:val>
            <c:numRef>
              <c:f>I_tiesas_apgabala_prok!$AS$6:$AS$10</c:f>
              <c:numCache>
                <c:formatCode>General</c:formatCode>
                <c:ptCount val="5"/>
                <c:pt idx="0">
                  <c:v>1592</c:v>
                </c:pt>
                <c:pt idx="1">
                  <c:v>427</c:v>
                </c:pt>
                <c:pt idx="2">
                  <c:v>312</c:v>
                </c:pt>
                <c:pt idx="3">
                  <c:v>201</c:v>
                </c:pt>
                <c:pt idx="4">
                  <c:v>195</c:v>
                </c:pt>
              </c:numCache>
            </c:numRef>
          </c:val>
          <c:extLst>
            <c:ext xmlns:c16="http://schemas.microsoft.com/office/drawing/2014/chart" uri="{C3380CC4-5D6E-409C-BE32-E72D297353CC}">
              <c16:uniqueId val="{0000000A-CCA7-4097-B157-B6231641F19D}"/>
            </c:ext>
          </c:extLst>
        </c:ser>
        <c:dLbls>
          <c:showLegendKey val="0"/>
          <c:showVal val="0"/>
          <c:showCatName val="0"/>
          <c:showSerName val="0"/>
          <c:showPercent val="1"/>
          <c:showBubbleSize val="0"/>
          <c:showLeaderLines val="1"/>
        </c:dLbls>
        <c:firstSliceAng val="0"/>
        <c:holeSize val="52"/>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Pēc Krimināllikuma 180. panta pabeigto kriminālprocesu procentuālā attiecība pret kopā pabeigto kriminālprocesu skaitu</a:t>
            </a:r>
          </a:p>
        </c:rich>
      </c:tx>
      <c:overlay val="0"/>
    </c:title>
    <c:autoTitleDeleted val="0"/>
    <c:plotArea>
      <c:layout/>
      <c:barChart>
        <c:barDir val="col"/>
        <c:grouping val="clustered"/>
        <c:varyColors val="0"/>
        <c:ser>
          <c:idx val="0"/>
          <c:order val="0"/>
          <c:tx>
            <c:strRef>
              <c:f>II_Rajona_prok!$W$4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II_Rajona_prok!$V$5:$V$10</c:f>
              <c:strCache>
                <c:ptCount val="6"/>
                <c:pt idx="0">
                  <c:v>Balvu raj.</c:v>
                </c:pt>
                <c:pt idx="1">
                  <c:v>Daugavpils</c:v>
                </c:pt>
                <c:pt idx="2">
                  <c:v>Krāslavas raj.</c:v>
                </c:pt>
                <c:pt idx="3">
                  <c:v>Ludzas raj.</c:v>
                </c:pt>
                <c:pt idx="4">
                  <c:v>Preiļu raj.</c:v>
                </c:pt>
                <c:pt idx="5">
                  <c:v>Rēzekne</c:v>
                </c:pt>
              </c:strCache>
            </c:strRef>
          </c:cat>
          <c:val>
            <c:numRef>
              <c:f>II_Rajona_prok!$W$5:$W$10</c:f>
              <c:numCache>
                <c:formatCode>0.00%</c:formatCode>
                <c:ptCount val="6"/>
                <c:pt idx="0">
                  <c:v>0.23300000000000001</c:v>
                </c:pt>
                <c:pt idx="1">
                  <c:v>0.1123</c:v>
                </c:pt>
                <c:pt idx="2">
                  <c:v>0.15</c:v>
                </c:pt>
                <c:pt idx="3">
                  <c:v>0.1321</c:v>
                </c:pt>
                <c:pt idx="4">
                  <c:v>0.13450000000000001</c:v>
                </c:pt>
                <c:pt idx="5">
                  <c:v>0.27350000000000002</c:v>
                </c:pt>
              </c:numCache>
            </c:numRef>
          </c:val>
          <c:extLst>
            <c:ext xmlns:c16="http://schemas.microsoft.com/office/drawing/2014/chart" uri="{C3380CC4-5D6E-409C-BE32-E72D297353CC}">
              <c16:uniqueId val="{00000000-BBB1-457D-91AC-7AEC2A83E5A5}"/>
            </c:ext>
          </c:extLst>
        </c:ser>
        <c:ser>
          <c:idx val="1"/>
          <c:order val="1"/>
          <c:tx>
            <c:strRef>
              <c:f>II_Rajona_prok!$X$4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II_Rajona_prok!$V$5:$V$10</c:f>
              <c:strCache>
                <c:ptCount val="6"/>
                <c:pt idx="0">
                  <c:v>Balvu raj.</c:v>
                </c:pt>
                <c:pt idx="1">
                  <c:v>Daugavpils</c:v>
                </c:pt>
                <c:pt idx="2">
                  <c:v>Krāslavas raj.</c:v>
                </c:pt>
                <c:pt idx="3">
                  <c:v>Ludzas raj.</c:v>
                </c:pt>
                <c:pt idx="4">
                  <c:v>Preiļu raj.</c:v>
                </c:pt>
                <c:pt idx="5">
                  <c:v>Rēzekne</c:v>
                </c:pt>
              </c:strCache>
            </c:strRef>
          </c:cat>
          <c:val>
            <c:numRef>
              <c:f>II_Rajona_prok!$X$5:$X$10</c:f>
              <c:numCache>
                <c:formatCode>0.00%</c:formatCode>
                <c:ptCount val="6"/>
                <c:pt idx="0">
                  <c:v>0.2445</c:v>
                </c:pt>
                <c:pt idx="1">
                  <c:v>0.2122</c:v>
                </c:pt>
                <c:pt idx="2">
                  <c:v>0.1973</c:v>
                </c:pt>
                <c:pt idx="3">
                  <c:v>0.1188</c:v>
                </c:pt>
                <c:pt idx="4">
                  <c:v>0.22059999999999999</c:v>
                </c:pt>
                <c:pt idx="5">
                  <c:v>0.16139999999999999</c:v>
                </c:pt>
              </c:numCache>
            </c:numRef>
          </c:val>
          <c:extLst>
            <c:ext xmlns:c16="http://schemas.microsoft.com/office/drawing/2014/chart" uri="{C3380CC4-5D6E-409C-BE32-E72D297353CC}">
              <c16:uniqueId val="{00000001-BBB1-457D-91AC-7AEC2A83E5A5}"/>
            </c:ext>
          </c:extLst>
        </c:ser>
        <c:dLbls>
          <c:showLegendKey val="0"/>
          <c:showVal val="0"/>
          <c:showCatName val="0"/>
          <c:showSerName val="0"/>
          <c:showPercent val="0"/>
          <c:showBubbleSize val="0"/>
        </c:dLbls>
        <c:gapWidth val="150"/>
        <c:axId val="146108416"/>
        <c:axId val="146122240"/>
      </c:barChart>
      <c:catAx>
        <c:axId val="146108416"/>
        <c:scaling>
          <c:orientation val="minMax"/>
        </c:scaling>
        <c:delete val="0"/>
        <c:axPos val="b"/>
        <c:numFmt formatCode="General" sourceLinked="0"/>
        <c:majorTickMark val="none"/>
        <c:minorTickMark val="none"/>
        <c:tickLblPos val="nextTo"/>
        <c:crossAx val="146122240"/>
        <c:crosses val="autoZero"/>
        <c:auto val="1"/>
        <c:lblAlgn val="ctr"/>
        <c:lblOffset val="100"/>
        <c:noMultiLvlLbl val="0"/>
      </c:catAx>
      <c:valAx>
        <c:axId val="146122240"/>
        <c:scaling>
          <c:orientation val="minMax"/>
        </c:scaling>
        <c:delete val="0"/>
        <c:axPos val="l"/>
        <c:majorGridlines/>
        <c:numFmt formatCode="0%" sourceLinked="0"/>
        <c:majorTickMark val="none"/>
        <c:minorTickMark val="none"/>
        <c:tickLblPos val="nextTo"/>
        <c:txPr>
          <a:bodyPr/>
          <a:lstStyle/>
          <a:p>
            <a:pPr>
              <a:defRPr strike="noStrike" baseline="0">
                <a:solidFill>
                  <a:schemeClr val="tx1"/>
                </a:solidFill>
              </a:defRPr>
            </a:pPr>
            <a:endParaRPr lang="lv-LV"/>
          </a:p>
        </c:txPr>
        <c:crossAx val="146108416"/>
        <c:crosses val="autoZero"/>
        <c:crossBetween val="between"/>
        <c:minorUnit val="2.0000000000000004E-2"/>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Prokuroru uzraudzībā pieņemti kriminālprocesi</a:t>
            </a:r>
          </a:p>
        </c:rich>
      </c:tx>
      <c:overlay val="0"/>
    </c:title>
    <c:autoTitleDeleted val="0"/>
    <c:plotArea>
      <c:layout/>
      <c:barChart>
        <c:barDir val="col"/>
        <c:grouping val="clustered"/>
        <c:varyColors val="0"/>
        <c:ser>
          <c:idx val="0"/>
          <c:order val="0"/>
          <c:tx>
            <c:strRef>
              <c:f>II_Rajona_prok!$AA$4</c:f>
              <c:strCache>
                <c:ptCount val="1"/>
                <c:pt idx="0">
                  <c:v>2020</c:v>
                </c:pt>
              </c:strCache>
            </c:strRef>
          </c:tx>
          <c:invertIfNegative val="0"/>
          <c:dLbls>
            <c:dLbl>
              <c:idx val="0"/>
              <c:layout>
                <c:manualLayout>
                  <c:x val="-4.7114252061248741E-3"/>
                  <c:y val="2.43005001733273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1A-488F-8772-E1BC6FD61A5E}"/>
                </c:ext>
              </c:extLst>
            </c:dLbl>
            <c:dLbl>
              <c:idx val="1"/>
              <c:layout>
                <c:manualLayout>
                  <c:x val="-4.3187565483036018E-17"/>
                  <c:y val="0.217969098202347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51A-488F-8772-E1BC6FD61A5E}"/>
                </c:ext>
              </c:extLst>
            </c:dLbl>
            <c:dLbl>
              <c:idx val="2"/>
              <c:layout>
                <c:manualLayout>
                  <c:x val="-8.6375130966072036E-17"/>
                  <c:y val="1.28633684940325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1A-488F-8772-E1BC6FD61A5E}"/>
                </c:ext>
              </c:extLst>
            </c:dLbl>
            <c:dLbl>
              <c:idx val="3"/>
              <c:layout>
                <c:manualLayout>
                  <c:x val="2.3557126030623399E-3"/>
                  <c:y val="2.64279700886445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51A-488F-8772-E1BC6FD61A5E}"/>
                </c:ext>
              </c:extLst>
            </c:dLbl>
            <c:dLbl>
              <c:idx val="4"/>
              <c:layout>
                <c:manualLayout>
                  <c:x val="0"/>
                  <c:y val="1.12093299658296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51A-488F-8772-E1BC6FD61A5E}"/>
                </c:ext>
              </c:extLst>
            </c:dLbl>
            <c:dLbl>
              <c:idx val="5"/>
              <c:layout>
                <c:manualLayout>
                  <c:x val="-4.7114252061250259E-3"/>
                  <c:y val="1.10072797504085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51A-488F-8772-E1BC6FD61A5E}"/>
                </c:ext>
              </c:extLst>
            </c:dLbl>
            <c:spPr>
              <a:noFill/>
              <a:ln>
                <a:noFill/>
              </a:ln>
              <a:effectLst/>
            </c:spPr>
            <c:txPr>
              <a:bodyPr rot="-5400000" vert="horz"/>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II_Rajona_prok!$Z$5:$Z$10</c:f>
              <c:strCache>
                <c:ptCount val="6"/>
                <c:pt idx="0">
                  <c:v>Balvu raj.</c:v>
                </c:pt>
                <c:pt idx="1">
                  <c:v>Daugavpils</c:v>
                </c:pt>
                <c:pt idx="2">
                  <c:v>Krāslavas raj.</c:v>
                </c:pt>
                <c:pt idx="3">
                  <c:v>Ludzas raj.</c:v>
                </c:pt>
                <c:pt idx="4">
                  <c:v>Preiļu raj.</c:v>
                </c:pt>
                <c:pt idx="5">
                  <c:v>Rēzekne</c:v>
                </c:pt>
              </c:strCache>
            </c:strRef>
          </c:cat>
          <c:val>
            <c:numRef>
              <c:f>II_Rajona_prok!$AA$5:$AA$10</c:f>
              <c:numCache>
                <c:formatCode>General</c:formatCode>
                <c:ptCount val="6"/>
                <c:pt idx="0">
                  <c:v>337</c:v>
                </c:pt>
                <c:pt idx="1">
                  <c:v>2027</c:v>
                </c:pt>
                <c:pt idx="2">
                  <c:v>534</c:v>
                </c:pt>
                <c:pt idx="3">
                  <c:v>616</c:v>
                </c:pt>
                <c:pt idx="4">
                  <c:v>524</c:v>
                </c:pt>
                <c:pt idx="5">
                  <c:v>941</c:v>
                </c:pt>
              </c:numCache>
            </c:numRef>
          </c:val>
          <c:extLst>
            <c:ext xmlns:c16="http://schemas.microsoft.com/office/drawing/2014/chart" uri="{C3380CC4-5D6E-409C-BE32-E72D297353CC}">
              <c16:uniqueId val="{00000000-551A-488F-8772-E1BC6FD61A5E}"/>
            </c:ext>
          </c:extLst>
        </c:ser>
        <c:ser>
          <c:idx val="1"/>
          <c:order val="1"/>
          <c:tx>
            <c:strRef>
              <c:f>II_Rajona_prok!$AB$4</c:f>
              <c:strCache>
                <c:ptCount val="1"/>
                <c:pt idx="0">
                  <c:v>2019</c:v>
                </c:pt>
              </c:strCache>
            </c:strRef>
          </c:tx>
          <c:invertIfNegative val="0"/>
          <c:dLbls>
            <c:dLbl>
              <c:idx val="0"/>
              <c:layout>
                <c:manualLayout>
                  <c:x val="-2.1593782741518009E-17"/>
                  <c:y val="3.93700787401569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1A-488F-8772-E1BC6FD61A5E}"/>
                </c:ext>
              </c:extLst>
            </c:dLbl>
            <c:dLbl>
              <c:idx val="2"/>
              <c:layout>
                <c:manualLayout>
                  <c:x val="-8.6375130966072036E-17"/>
                  <c:y val="2.16406675580646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1A-488F-8772-E1BC6FD61A5E}"/>
                </c:ext>
              </c:extLst>
            </c:dLbl>
            <c:dLbl>
              <c:idx val="3"/>
              <c:layout>
                <c:manualLayout>
                  <c:x val="-8.6375130966072036E-17"/>
                  <c:y val="6.57059377011830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51A-488F-8772-E1BC6FD61A5E}"/>
                </c:ext>
              </c:extLst>
            </c:dLbl>
            <c:dLbl>
              <c:idx val="4"/>
              <c:layout>
                <c:manualLayout>
                  <c:x val="-2.3557126030624262E-3"/>
                  <c:y val="1.6171940771554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51A-488F-8772-E1BC6FD61A5E}"/>
                </c:ext>
              </c:extLst>
            </c:dLbl>
            <c:dLbl>
              <c:idx val="5"/>
              <c:layout>
                <c:manualLayout>
                  <c:x val="0"/>
                  <c:y val="2.30832466696379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51A-488F-8772-E1BC6FD61A5E}"/>
                </c:ext>
              </c:extLst>
            </c:dLbl>
            <c:spPr>
              <a:noFill/>
              <a:ln>
                <a:noFill/>
              </a:ln>
              <a:effectLst/>
            </c:spPr>
            <c:txPr>
              <a:bodyPr rot="-5400000" vert="horz"/>
              <a:lstStyle/>
              <a:p>
                <a:pPr>
                  <a:defRPr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II_Rajona_prok!$Z$5:$Z$10</c:f>
              <c:strCache>
                <c:ptCount val="6"/>
                <c:pt idx="0">
                  <c:v>Balvu raj.</c:v>
                </c:pt>
                <c:pt idx="1">
                  <c:v>Daugavpils</c:v>
                </c:pt>
                <c:pt idx="2">
                  <c:v>Krāslavas raj.</c:v>
                </c:pt>
                <c:pt idx="3">
                  <c:v>Ludzas raj.</c:v>
                </c:pt>
                <c:pt idx="4">
                  <c:v>Preiļu raj.</c:v>
                </c:pt>
                <c:pt idx="5">
                  <c:v>Rēzekne</c:v>
                </c:pt>
              </c:strCache>
            </c:strRef>
          </c:cat>
          <c:val>
            <c:numRef>
              <c:f>II_Rajona_prok!$AB$5:$AB$10</c:f>
              <c:numCache>
                <c:formatCode>General</c:formatCode>
                <c:ptCount val="6"/>
                <c:pt idx="0">
                  <c:v>404</c:v>
                </c:pt>
                <c:pt idx="1">
                  <c:v>2040</c:v>
                </c:pt>
                <c:pt idx="2">
                  <c:v>473</c:v>
                </c:pt>
                <c:pt idx="3">
                  <c:v>572</c:v>
                </c:pt>
                <c:pt idx="4">
                  <c:v>554</c:v>
                </c:pt>
                <c:pt idx="5">
                  <c:v>1014</c:v>
                </c:pt>
              </c:numCache>
            </c:numRef>
          </c:val>
          <c:extLst>
            <c:ext xmlns:c16="http://schemas.microsoft.com/office/drawing/2014/chart" uri="{C3380CC4-5D6E-409C-BE32-E72D297353CC}">
              <c16:uniqueId val="{00000001-551A-488F-8772-E1BC6FD61A5E}"/>
            </c:ext>
          </c:extLst>
        </c:ser>
        <c:dLbls>
          <c:showLegendKey val="0"/>
          <c:showVal val="0"/>
          <c:showCatName val="0"/>
          <c:showSerName val="0"/>
          <c:showPercent val="0"/>
          <c:showBubbleSize val="0"/>
        </c:dLbls>
        <c:gapWidth val="150"/>
        <c:axId val="258908160"/>
        <c:axId val="258911232"/>
      </c:barChart>
      <c:catAx>
        <c:axId val="258908160"/>
        <c:scaling>
          <c:orientation val="minMax"/>
        </c:scaling>
        <c:delete val="0"/>
        <c:axPos val="b"/>
        <c:numFmt formatCode="General" sourceLinked="0"/>
        <c:majorTickMark val="none"/>
        <c:minorTickMark val="none"/>
        <c:tickLblPos val="nextTo"/>
        <c:crossAx val="258911232"/>
        <c:crosses val="autoZero"/>
        <c:auto val="1"/>
        <c:lblAlgn val="ctr"/>
        <c:lblOffset val="100"/>
        <c:noMultiLvlLbl val="0"/>
      </c:catAx>
      <c:valAx>
        <c:axId val="258911232"/>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8908160"/>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Ar prokurora piekrišanu atteikts uzsākt kriminālprocesu par maznozīmīgu noziedzīgu nodarījumu</a:t>
            </a:r>
          </a:p>
        </c:rich>
      </c:tx>
      <c:overlay val="0"/>
    </c:title>
    <c:autoTitleDeleted val="0"/>
    <c:plotArea>
      <c:layout/>
      <c:barChart>
        <c:barDir val="col"/>
        <c:grouping val="clustered"/>
        <c:varyColors val="0"/>
        <c:ser>
          <c:idx val="0"/>
          <c:order val="0"/>
          <c:tx>
            <c:strRef>
              <c:f>II_Rajona_prok!$AE$4</c:f>
              <c:strCache>
                <c:ptCount val="1"/>
                <c:pt idx="0">
                  <c:v>2020</c:v>
                </c:pt>
              </c:strCache>
            </c:strRef>
          </c:tx>
          <c:invertIfNegative val="0"/>
          <c:cat>
            <c:strRef>
              <c:f>II_Rajona_prok!$AD$5:$AD$10</c:f>
              <c:strCache>
                <c:ptCount val="6"/>
                <c:pt idx="0">
                  <c:v>Balvu raj.</c:v>
                </c:pt>
                <c:pt idx="1">
                  <c:v>Daugavpils</c:v>
                </c:pt>
                <c:pt idx="2">
                  <c:v>Krāslavas raj.</c:v>
                </c:pt>
                <c:pt idx="3">
                  <c:v>Ludzas raj.</c:v>
                </c:pt>
                <c:pt idx="4">
                  <c:v>Preiļu raj.</c:v>
                </c:pt>
                <c:pt idx="5">
                  <c:v>Rēzekne</c:v>
                </c:pt>
              </c:strCache>
            </c:strRef>
          </c:cat>
          <c:val>
            <c:numRef>
              <c:f>II_Rajona_prok!$AE$5:$AE$10</c:f>
              <c:numCache>
                <c:formatCode>General</c:formatCode>
                <c:ptCount val="6"/>
                <c:pt idx="0">
                  <c:v>5</c:v>
                </c:pt>
                <c:pt idx="1">
                  <c:v>68</c:v>
                </c:pt>
                <c:pt idx="2">
                  <c:v>27</c:v>
                </c:pt>
                <c:pt idx="3">
                  <c:v>19</c:v>
                </c:pt>
                <c:pt idx="4">
                  <c:v>38</c:v>
                </c:pt>
                <c:pt idx="5">
                  <c:v>75</c:v>
                </c:pt>
              </c:numCache>
            </c:numRef>
          </c:val>
          <c:extLst>
            <c:ext xmlns:c16="http://schemas.microsoft.com/office/drawing/2014/chart" uri="{C3380CC4-5D6E-409C-BE32-E72D297353CC}">
              <c16:uniqueId val="{00000000-023A-402B-B1B3-B9D49DB57309}"/>
            </c:ext>
          </c:extLst>
        </c:ser>
        <c:ser>
          <c:idx val="1"/>
          <c:order val="1"/>
          <c:tx>
            <c:strRef>
              <c:f>II_Rajona_prok!$AF$4</c:f>
              <c:strCache>
                <c:ptCount val="1"/>
                <c:pt idx="0">
                  <c:v>2019</c:v>
                </c:pt>
              </c:strCache>
            </c:strRef>
          </c:tx>
          <c:invertIfNegative val="0"/>
          <c:cat>
            <c:strRef>
              <c:f>II_Rajona_prok!$AD$5:$AD$10</c:f>
              <c:strCache>
                <c:ptCount val="6"/>
                <c:pt idx="0">
                  <c:v>Balvu raj.</c:v>
                </c:pt>
                <c:pt idx="1">
                  <c:v>Daugavpils</c:v>
                </c:pt>
                <c:pt idx="2">
                  <c:v>Krāslavas raj.</c:v>
                </c:pt>
                <c:pt idx="3">
                  <c:v>Ludzas raj.</c:v>
                </c:pt>
                <c:pt idx="4">
                  <c:v>Preiļu raj.</c:v>
                </c:pt>
                <c:pt idx="5">
                  <c:v>Rēzekne</c:v>
                </c:pt>
              </c:strCache>
            </c:strRef>
          </c:cat>
          <c:val>
            <c:numRef>
              <c:f>II_Rajona_prok!$AF$5:$AF$10</c:f>
              <c:numCache>
                <c:formatCode>General</c:formatCode>
                <c:ptCount val="6"/>
                <c:pt idx="0">
                  <c:v>8</c:v>
                </c:pt>
                <c:pt idx="1">
                  <c:v>20</c:v>
                </c:pt>
                <c:pt idx="2">
                  <c:v>36</c:v>
                </c:pt>
                <c:pt idx="3">
                  <c:v>14</c:v>
                </c:pt>
                <c:pt idx="4">
                  <c:v>19</c:v>
                </c:pt>
                <c:pt idx="5">
                  <c:v>60</c:v>
                </c:pt>
              </c:numCache>
            </c:numRef>
          </c:val>
          <c:extLst>
            <c:ext xmlns:c16="http://schemas.microsoft.com/office/drawing/2014/chart" uri="{C3380CC4-5D6E-409C-BE32-E72D297353CC}">
              <c16:uniqueId val="{00000001-023A-402B-B1B3-B9D49DB57309}"/>
            </c:ext>
          </c:extLst>
        </c:ser>
        <c:dLbls>
          <c:showLegendKey val="0"/>
          <c:showVal val="0"/>
          <c:showCatName val="0"/>
          <c:showSerName val="0"/>
          <c:showPercent val="0"/>
          <c:showBubbleSize val="0"/>
        </c:dLbls>
        <c:gapWidth val="150"/>
        <c:axId val="243090560"/>
        <c:axId val="243092480"/>
      </c:barChart>
      <c:catAx>
        <c:axId val="243090560"/>
        <c:scaling>
          <c:orientation val="minMax"/>
        </c:scaling>
        <c:delete val="0"/>
        <c:axPos val="b"/>
        <c:numFmt formatCode="General" sourceLinked="0"/>
        <c:majorTickMark val="none"/>
        <c:minorTickMark val="none"/>
        <c:tickLblPos val="nextTo"/>
        <c:crossAx val="243092480"/>
        <c:crosses val="autoZero"/>
        <c:auto val="1"/>
        <c:lblAlgn val="ctr"/>
        <c:lblOffset val="100"/>
        <c:noMultiLvlLbl val="0"/>
      </c:catAx>
      <c:valAx>
        <c:axId val="24309248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43090560"/>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t>Dota piekrišana kriminālprocesa apturēšanai izmeklēšanā</a:t>
            </a:r>
          </a:p>
        </c:rich>
      </c:tx>
      <c:overlay val="0"/>
    </c:title>
    <c:autoTitleDeleted val="0"/>
    <c:plotArea>
      <c:layout/>
      <c:barChart>
        <c:barDir val="col"/>
        <c:grouping val="clustered"/>
        <c:varyColors val="0"/>
        <c:ser>
          <c:idx val="0"/>
          <c:order val="0"/>
          <c:tx>
            <c:strRef>
              <c:f>II_Rajona_prok!$AI$4</c:f>
              <c:strCache>
                <c:ptCount val="1"/>
                <c:pt idx="0">
                  <c:v>2020</c:v>
                </c:pt>
              </c:strCache>
            </c:strRef>
          </c:tx>
          <c:invertIfNegative val="0"/>
          <c:dLbls>
            <c:dLbl>
              <c:idx val="0"/>
              <c:layout>
                <c:manualLayout>
                  <c:x val="0"/>
                  <c:y val="1.18622962827319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E4C-4206-8938-3667F9D876D8}"/>
                </c:ext>
              </c:extLst>
            </c:dLbl>
            <c:dLbl>
              <c:idx val="2"/>
              <c:layout>
                <c:manualLayout>
                  <c:x val="-2.352941176470588E-3"/>
                  <c:y val="1.15537447353963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4C-4206-8938-3667F9D876D8}"/>
                </c:ext>
              </c:extLst>
            </c:dLbl>
            <c:dLbl>
              <c:idx val="3"/>
              <c:layout>
                <c:manualLayout>
                  <c:x val="0"/>
                  <c:y val="-4.06747848379417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4C-4206-8938-3667F9D876D8}"/>
                </c:ext>
              </c:extLst>
            </c:dLbl>
            <c:dLbl>
              <c:idx val="4"/>
              <c:layout>
                <c:manualLayout>
                  <c:x val="-1.7254702632987096E-16"/>
                  <c:y val="1.653726423731906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235294117647059E-2"/>
                      <c:h val="0.12209302325581395"/>
                    </c:manualLayout>
                  </c15:layout>
                </c:ext>
                <c:ext xmlns:c16="http://schemas.microsoft.com/office/drawing/2014/chart" uri="{C3380CC4-5D6E-409C-BE32-E72D297353CC}">
                  <c16:uniqueId val="{00000006-6E4C-4206-8938-3667F9D876D8}"/>
                </c:ext>
              </c:extLst>
            </c:dLbl>
            <c:dLbl>
              <c:idx val="5"/>
              <c:layout>
                <c:manualLayout>
                  <c:x val="-7.0588235294119376E-3"/>
                  <c:y val="9.5948544222669314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9.058823529411765E-2"/>
                      <c:h val="0.12209302325581395"/>
                    </c:manualLayout>
                  </c15:layout>
                </c:ext>
                <c:ext xmlns:c16="http://schemas.microsoft.com/office/drawing/2014/chart" uri="{C3380CC4-5D6E-409C-BE32-E72D297353CC}">
                  <c16:uniqueId val="{00000008-6E4C-4206-8938-3667F9D876D8}"/>
                </c:ext>
              </c:extLst>
            </c:dLbl>
            <c:spPr>
              <a:noFill/>
              <a:ln>
                <a:noFill/>
              </a:ln>
              <a:effectLst/>
            </c:spPr>
            <c:txPr>
              <a:bodyPr rot="-5400000" vert="horz"/>
              <a:lstStyle/>
              <a:p>
                <a:pPr>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II_Rajona_prok!$AH$5:$AH$10</c:f>
              <c:strCache>
                <c:ptCount val="6"/>
                <c:pt idx="0">
                  <c:v>Balvu raj.</c:v>
                </c:pt>
                <c:pt idx="1">
                  <c:v>Daugavpils</c:v>
                </c:pt>
                <c:pt idx="2">
                  <c:v>Krāslavas raj.</c:v>
                </c:pt>
                <c:pt idx="3">
                  <c:v>Ludzas raj.</c:v>
                </c:pt>
                <c:pt idx="4">
                  <c:v>Preiļu raj.</c:v>
                </c:pt>
                <c:pt idx="5">
                  <c:v>Rēzekne</c:v>
                </c:pt>
              </c:strCache>
            </c:strRef>
          </c:cat>
          <c:val>
            <c:numRef>
              <c:f>II_Rajona_prok!$AI$5:$AI$10</c:f>
              <c:numCache>
                <c:formatCode>General</c:formatCode>
                <c:ptCount val="6"/>
                <c:pt idx="0">
                  <c:v>64</c:v>
                </c:pt>
                <c:pt idx="1">
                  <c:v>786</c:v>
                </c:pt>
                <c:pt idx="2">
                  <c:v>203</c:v>
                </c:pt>
                <c:pt idx="3">
                  <c:v>80</c:v>
                </c:pt>
                <c:pt idx="4">
                  <c:v>125</c:v>
                </c:pt>
                <c:pt idx="5">
                  <c:v>313</c:v>
                </c:pt>
              </c:numCache>
            </c:numRef>
          </c:val>
          <c:extLst>
            <c:ext xmlns:c16="http://schemas.microsoft.com/office/drawing/2014/chart" uri="{C3380CC4-5D6E-409C-BE32-E72D297353CC}">
              <c16:uniqueId val="{00000000-6E4C-4206-8938-3667F9D876D8}"/>
            </c:ext>
          </c:extLst>
        </c:ser>
        <c:ser>
          <c:idx val="1"/>
          <c:order val="1"/>
          <c:tx>
            <c:strRef>
              <c:f>II_Rajona_prok!$AJ$4</c:f>
              <c:strCache>
                <c:ptCount val="1"/>
                <c:pt idx="0">
                  <c:v>2019</c:v>
                </c:pt>
              </c:strCache>
            </c:strRef>
          </c:tx>
          <c:invertIfNegative val="0"/>
          <c:dLbls>
            <c:dLbl>
              <c:idx val="0"/>
              <c:layout>
                <c:manualLayout>
                  <c:x val="0"/>
                  <c:y val="2.0562168101080282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235294117647059E-2"/>
                      <c:h val="9.3023255813953487E-2"/>
                    </c:manualLayout>
                  </c15:layout>
                </c:ext>
                <c:ext xmlns:c16="http://schemas.microsoft.com/office/drawing/2014/chart" uri="{C3380CC4-5D6E-409C-BE32-E72D297353CC}">
                  <c16:uniqueId val="{0000000A-6E4C-4206-8938-3667F9D876D8}"/>
                </c:ext>
              </c:extLst>
            </c:dLbl>
            <c:dLbl>
              <c:idx val="1"/>
              <c:layout>
                <c:manualLayout>
                  <c:x val="0"/>
                  <c:y val="0.1761463101995970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E4C-4206-8938-3667F9D876D8}"/>
                </c:ext>
              </c:extLst>
            </c:dLbl>
            <c:dLbl>
              <c:idx val="2"/>
              <c:layout>
                <c:manualLayout>
                  <c:x val="2.3529411764705022E-3"/>
                  <c:y val="2.19891045596044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4C-4206-8938-3667F9D876D8}"/>
                </c:ext>
              </c:extLst>
            </c:dLbl>
            <c:dLbl>
              <c:idx val="3"/>
              <c:layout>
                <c:manualLayout>
                  <c:x val="-8.6273513164935482E-17"/>
                  <c:y val="1.74647500457791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4C-4206-8938-3667F9D876D8}"/>
                </c:ext>
              </c:extLst>
            </c:dLbl>
            <c:dLbl>
              <c:idx val="4"/>
              <c:layout>
                <c:manualLayout>
                  <c:x val="2.3529411764705022E-3"/>
                  <c:y val="1.7410272843801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4C-4206-8938-3667F9D876D8}"/>
                </c:ext>
              </c:extLst>
            </c:dLbl>
            <c:dLbl>
              <c:idx val="5"/>
              <c:layout>
                <c:manualLayout>
                  <c:x val="-1.7254702632987096E-16"/>
                  <c:y val="0.1915422999450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E4C-4206-8938-3667F9D876D8}"/>
                </c:ext>
              </c:extLst>
            </c:dLbl>
            <c:spPr>
              <a:noFill/>
              <a:ln>
                <a:noFill/>
              </a:ln>
              <a:effectLst/>
            </c:spPr>
            <c:txPr>
              <a:bodyPr rot="-5400000" vert="horz"/>
              <a:lstStyle/>
              <a:p>
                <a:pPr>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II_Rajona_prok!$AH$5:$AH$10</c:f>
              <c:strCache>
                <c:ptCount val="6"/>
                <c:pt idx="0">
                  <c:v>Balvu raj.</c:v>
                </c:pt>
                <c:pt idx="1">
                  <c:v>Daugavpils</c:v>
                </c:pt>
                <c:pt idx="2">
                  <c:v>Krāslavas raj.</c:v>
                </c:pt>
                <c:pt idx="3">
                  <c:v>Ludzas raj.</c:v>
                </c:pt>
                <c:pt idx="4">
                  <c:v>Preiļu raj.</c:v>
                </c:pt>
                <c:pt idx="5">
                  <c:v>Rēzekne</c:v>
                </c:pt>
              </c:strCache>
            </c:strRef>
          </c:cat>
          <c:val>
            <c:numRef>
              <c:f>II_Rajona_prok!$AJ$5:$AJ$10</c:f>
              <c:numCache>
                <c:formatCode>General</c:formatCode>
                <c:ptCount val="6"/>
                <c:pt idx="0">
                  <c:v>83</c:v>
                </c:pt>
                <c:pt idx="1">
                  <c:v>918</c:v>
                </c:pt>
                <c:pt idx="2">
                  <c:v>175</c:v>
                </c:pt>
                <c:pt idx="3">
                  <c:v>80</c:v>
                </c:pt>
                <c:pt idx="4">
                  <c:v>165</c:v>
                </c:pt>
                <c:pt idx="5">
                  <c:v>558</c:v>
                </c:pt>
              </c:numCache>
            </c:numRef>
          </c:val>
          <c:extLst>
            <c:ext xmlns:c16="http://schemas.microsoft.com/office/drawing/2014/chart" uri="{C3380CC4-5D6E-409C-BE32-E72D297353CC}">
              <c16:uniqueId val="{00000001-6E4C-4206-8938-3667F9D876D8}"/>
            </c:ext>
          </c:extLst>
        </c:ser>
        <c:dLbls>
          <c:showLegendKey val="0"/>
          <c:showVal val="0"/>
          <c:showCatName val="0"/>
          <c:showSerName val="0"/>
          <c:showPercent val="0"/>
          <c:showBubbleSize val="0"/>
        </c:dLbls>
        <c:gapWidth val="150"/>
        <c:axId val="291249152"/>
        <c:axId val="291261824"/>
      </c:barChart>
      <c:catAx>
        <c:axId val="291249152"/>
        <c:scaling>
          <c:orientation val="minMax"/>
        </c:scaling>
        <c:delete val="0"/>
        <c:axPos val="b"/>
        <c:numFmt formatCode="General" sourceLinked="0"/>
        <c:majorTickMark val="none"/>
        <c:minorTickMark val="none"/>
        <c:tickLblPos val="nextTo"/>
        <c:crossAx val="291261824"/>
        <c:crosses val="autoZero"/>
        <c:auto val="1"/>
        <c:lblAlgn val="ctr"/>
        <c:lblOffset val="100"/>
        <c:noMultiLvlLbl val="0"/>
      </c:catAx>
      <c:valAx>
        <c:axId val="291261824"/>
        <c:scaling>
          <c:orientation val="minMax"/>
        </c:scaling>
        <c:delete val="0"/>
        <c:axPos val="l"/>
        <c:majorGridlines/>
        <c:numFmt formatCode="General" sourceLinked="1"/>
        <c:majorTickMark val="none"/>
        <c:minorTickMark val="none"/>
        <c:tickLblPos val="nextTo"/>
        <c:txPr>
          <a:bodyPr/>
          <a:lstStyle/>
          <a:p>
            <a:pPr>
              <a:defRPr b="0" i="0" baseline="0"/>
            </a:pPr>
            <a:endParaRPr lang="lv-LV"/>
          </a:p>
        </c:txPr>
        <c:crossAx val="291249152"/>
        <c:crosses val="autoZero"/>
        <c:crossBetween val="between"/>
      </c:valAx>
      <c:dTable>
        <c:showHorzBorder val="1"/>
        <c:showVertBorder val="1"/>
        <c:showOutline val="1"/>
        <c:showKeys val="1"/>
      </c:dTable>
    </c:plotArea>
    <c:plotVisOnly val="1"/>
    <c:dispBlanksAs val="gap"/>
    <c:showDLblsOverMax val="0"/>
  </c:chart>
  <c:spPr>
    <a:solidFill>
      <a:schemeClr val="accent4">
        <a:lumMod val="20000"/>
        <a:lumOff val="80000"/>
      </a:schemeClr>
    </a:solidFill>
  </c:spPr>
  <c:txPr>
    <a:bodyPr/>
    <a:lstStyle/>
    <a:p>
      <a:pPr>
        <a:defRPr b="1" i="0" baseline="0">
          <a:solidFill>
            <a:schemeClr val="tx1"/>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lv-LV" sz="1200" baseline="0">
                <a:solidFill>
                  <a:schemeClr val="tx1"/>
                </a:solidFill>
              </a:rPr>
              <a:t>Prokuroru dotie norādījumi</a:t>
            </a:r>
          </a:p>
        </c:rich>
      </c:tx>
      <c:overlay val="0"/>
    </c:title>
    <c:autoTitleDeleted val="0"/>
    <c:plotArea>
      <c:layout/>
      <c:barChart>
        <c:barDir val="col"/>
        <c:grouping val="clustered"/>
        <c:varyColors val="0"/>
        <c:ser>
          <c:idx val="0"/>
          <c:order val="0"/>
          <c:tx>
            <c:strRef>
              <c:f>II_Rajona_prok!$AM$4</c:f>
              <c:strCache>
                <c:ptCount val="1"/>
                <c:pt idx="0">
                  <c:v>2020</c:v>
                </c:pt>
              </c:strCache>
            </c:strRef>
          </c:tx>
          <c:invertIfNegative val="0"/>
          <c:cat>
            <c:strRef>
              <c:f>II_Rajona_prok!$AL$5:$AL$10</c:f>
              <c:strCache>
                <c:ptCount val="6"/>
                <c:pt idx="0">
                  <c:v>Balvu raj.</c:v>
                </c:pt>
                <c:pt idx="1">
                  <c:v>Daugavpils</c:v>
                </c:pt>
                <c:pt idx="2">
                  <c:v>Krāslavas raj.</c:v>
                </c:pt>
                <c:pt idx="3">
                  <c:v>Ludzas raj.</c:v>
                </c:pt>
                <c:pt idx="4">
                  <c:v>Preiļu raj.</c:v>
                </c:pt>
                <c:pt idx="5">
                  <c:v>Rēzekne</c:v>
                </c:pt>
              </c:strCache>
            </c:strRef>
          </c:cat>
          <c:val>
            <c:numRef>
              <c:f>II_Rajona_prok!$AM$5:$AM$10</c:f>
              <c:numCache>
                <c:formatCode>General</c:formatCode>
                <c:ptCount val="6"/>
                <c:pt idx="0">
                  <c:v>199</c:v>
                </c:pt>
                <c:pt idx="1">
                  <c:v>972</c:v>
                </c:pt>
                <c:pt idx="2">
                  <c:v>131</c:v>
                </c:pt>
                <c:pt idx="3">
                  <c:v>100</c:v>
                </c:pt>
                <c:pt idx="4">
                  <c:v>95</c:v>
                </c:pt>
                <c:pt idx="5">
                  <c:v>324</c:v>
                </c:pt>
              </c:numCache>
            </c:numRef>
          </c:val>
          <c:extLst>
            <c:ext xmlns:c16="http://schemas.microsoft.com/office/drawing/2014/chart" uri="{C3380CC4-5D6E-409C-BE32-E72D297353CC}">
              <c16:uniqueId val="{00000000-3996-4506-A2DD-33F934D223E8}"/>
            </c:ext>
          </c:extLst>
        </c:ser>
        <c:ser>
          <c:idx val="1"/>
          <c:order val="1"/>
          <c:tx>
            <c:strRef>
              <c:f>II_Rajona_prok!$AN$4</c:f>
              <c:strCache>
                <c:ptCount val="1"/>
                <c:pt idx="0">
                  <c:v>2019</c:v>
                </c:pt>
              </c:strCache>
            </c:strRef>
          </c:tx>
          <c:invertIfNegative val="0"/>
          <c:cat>
            <c:strRef>
              <c:f>II_Rajona_prok!$AL$5:$AL$10</c:f>
              <c:strCache>
                <c:ptCount val="6"/>
                <c:pt idx="0">
                  <c:v>Balvu raj.</c:v>
                </c:pt>
                <c:pt idx="1">
                  <c:v>Daugavpils</c:v>
                </c:pt>
                <c:pt idx="2">
                  <c:v>Krāslavas raj.</c:v>
                </c:pt>
                <c:pt idx="3">
                  <c:v>Ludzas raj.</c:v>
                </c:pt>
                <c:pt idx="4">
                  <c:v>Preiļu raj.</c:v>
                </c:pt>
                <c:pt idx="5">
                  <c:v>Rēzekne</c:v>
                </c:pt>
              </c:strCache>
            </c:strRef>
          </c:cat>
          <c:val>
            <c:numRef>
              <c:f>II_Rajona_prok!$AN$5:$AN$10</c:f>
              <c:numCache>
                <c:formatCode>General</c:formatCode>
                <c:ptCount val="6"/>
                <c:pt idx="0">
                  <c:v>252</c:v>
                </c:pt>
                <c:pt idx="1">
                  <c:v>907</c:v>
                </c:pt>
                <c:pt idx="2">
                  <c:v>139</c:v>
                </c:pt>
                <c:pt idx="3">
                  <c:v>119</c:v>
                </c:pt>
                <c:pt idx="4">
                  <c:v>136</c:v>
                </c:pt>
                <c:pt idx="5">
                  <c:v>164</c:v>
                </c:pt>
              </c:numCache>
            </c:numRef>
          </c:val>
          <c:extLst>
            <c:ext xmlns:c16="http://schemas.microsoft.com/office/drawing/2014/chart" uri="{C3380CC4-5D6E-409C-BE32-E72D297353CC}">
              <c16:uniqueId val="{00000001-3996-4506-A2DD-33F934D223E8}"/>
            </c:ext>
          </c:extLst>
        </c:ser>
        <c:dLbls>
          <c:showLegendKey val="0"/>
          <c:showVal val="0"/>
          <c:showCatName val="0"/>
          <c:showSerName val="0"/>
          <c:showPercent val="0"/>
          <c:showBubbleSize val="0"/>
        </c:dLbls>
        <c:gapWidth val="150"/>
        <c:axId val="258443904"/>
        <c:axId val="258512000"/>
      </c:barChart>
      <c:catAx>
        <c:axId val="258443904"/>
        <c:scaling>
          <c:orientation val="minMax"/>
        </c:scaling>
        <c:delete val="0"/>
        <c:axPos val="b"/>
        <c:numFmt formatCode="General" sourceLinked="0"/>
        <c:majorTickMark val="none"/>
        <c:minorTickMark val="none"/>
        <c:tickLblPos val="nextTo"/>
        <c:crossAx val="258512000"/>
        <c:crosses val="autoZero"/>
        <c:auto val="1"/>
        <c:lblAlgn val="ctr"/>
        <c:lblOffset val="100"/>
        <c:noMultiLvlLbl val="0"/>
      </c:catAx>
      <c:valAx>
        <c:axId val="25851200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58443904"/>
        <c:crosses val="autoZero"/>
        <c:crossBetween val="between"/>
      </c:valAx>
      <c:dTable>
        <c:showHorzBorder val="1"/>
        <c:showVertBorder val="1"/>
        <c:showOutline val="1"/>
        <c:showKeys val="1"/>
        <c:txPr>
          <a:bodyPr/>
          <a:lstStyle/>
          <a:p>
            <a:pPr rtl="0">
              <a:defRPr b="1" i="0" baseline="0">
                <a:solidFill>
                  <a:schemeClr val="tx1"/>
                </a:solidFill>
              </a:defRPr>
            </a:pPr>
            <a:endParaRPr lang="lv-LV"/>
          </a:p>
        </c:txPr>
      </c:dTable>
    </c:plotArea>
    <c:plotVisOnly val="1"/>
    <c:dispBlanksAs val="gap"/>
    <c:showDLblsOverMax val="0"/>
  </c:chart>
  <c:spPr>
    <a:solidFill>
      <a:schemeClr val="accent4">
        <a:lumMod val="20000"/>
        <a:lumOff val="80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Valsts apsūdzības uzturēšana pirmās instances tiesā (izskatītas krimināllietas), no tām bez pierādījumu pārbaudes</a:t>
            </a:r>
          </a:p>
        </c:rich>
      </c:tx>
      <c:overlay val="0"/>
    </c:title>
    <c:autoTitleDeleted val="0"/>
    <c:plotArea>
      <c:layout/>
      <c:barChart>
        <c:barDir val="col"/>
        <c:grouping val="clustered"/>
        <c:varyColors val="0"/>
        <c:ser>
          <c:idx val="0"/>
          <c:order val="0"/>
          <c:tx>
            <c:strRef>
              <c:f>II_Rajona_prok!$AQ$4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Balvu raj.</c:v>
                </c:pt>
                <c:pt idx="1">
                  <c:v>Daugavpils</c:v>
                </c:pt>
                <c:pt idx="2">
                  <c:v>Krāslavas raj.</c:v>
                </c:pt>
                <c:pt idx="3">
                  <c:v>Ludzas raj.</c:v>
                </c:pt>
                <c:pt idx="4">
                  <c:v>Preiļu raj.</c:v>
                </c:pt>
                <c:pt idx="5">
                  <c:v>Rēzekne</c:v>
                </c:pt>
              </c:strCache>
            </c:strRef>
          </c:cat>
          <c:val>
            <c:numRef>
              <c:f>II_Rajona_prok!$AQ$5:$AQ$10</c:f>
              <c:numCache>
                <c:formatCode>General</c:formatCode>
                <c:ptCount val="6"/>
                <c:pt idx="0">
                  <c:v>72</c:v>
                </c:pt>
                <c:pt idx="1">
                  <c:v>346</c:v>
                </c:pt>
                <c:pt idx="2">
                  <c:v>73</c:v>
                </c:pt>
                <c:pt idx="3">
                  <c:v>150</c:v>
                </c:pt>
                <c:pt idx="4">
                  <c:v>83</c:v>
                </c:pt>
                <c:pt idx="5">
                  <c:v>180</c:v>
                </c:pt>
              </c:numCache>
            </c:numRef>
          </c:val>
          <c:extLst>
            <c:ext xmlns:c16="http://schemas.microsoft.com/office/drawing/2014/chart" uri="{C3380CC4-5D6E-409C-BE32-E72D297353CC}">
              <c16:uniqueId val="{00000000-D215-4052-952D-661B48B87A47}"/>
            </c:ext>
          </c:extLst>
        </c:ser>
        <c:ser>
          <c:idx val="1"/>
          <c:order val="1"/>
          <c:tx>
            <c:strRef>
              <c:f>II_Rajona_prok!$AQ$4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Balvu raj.</c:v>
                </c:pt>
                <c:pt idx="1">
                  <c:v>Daugavpils</c:v>
                </c:pt>
                <c:pt idx="2">
                  <c:v>Krāslavas raj.</c:v>
                </c:pt>
                <c:pt idx="3">
                  <c:v>Ludzas raj.</c:v>
                </c:pt>
                <c:pt idx="4">
                  <c:v>Preiļu raj.</c:v>
                </c:pt>
                <c:pt idx="5">
                  <c:v>Rēzekne</c:v>
                </c:pt>
              </c:strCache>
            </c:strRef>
          </c:cat>
          <c:val>
            <c:numRef>
              <c:f>II_Rajona_prok!$AR$5:$AR$10</c:f>
              <c:numCache>
                <c:formatCode>General</c:formatCode>
                <c:ptCount val="6"/>
                <c:pt idx="0">
                  <c:v>52</c:v>
                </c:pt>
                <c:pt idx="1">
                  <c:v>296</c:v>
                </c:pt>
                <c:pt idx="2">
                  <c:v>67</c:v>
                </c:pt>
                <c:pt idx="3">
                  <c:v>136</c:v>
                </c:pt>
                <c:pt idx="4">
                  <c:v>72</c:v>
                </c:pt>
                <c:pt idx="5">
                  <c:v>133</c:v>
                </c:pt>
              </c:numCache>
            </c:numRef>
          </c:val>
          <c:extLst>
            <c:ext xmlns:c16="http://schemas.microsoft.com/office/drawing/2014/chart" uri="{C3380CC4-5D6E-409C-BE32-E72D297353CC}">
              <c16:uniqueId val="{00000001-D215-4052-952D-661B48B87A47}"/>
            </c:ext>
          </c:extLst>
        </c:ser>
        <c:ser>
          <c:idx val="2"/>
          <c:order val="2"/>
          <c:tx>
            <c:strRef>
              <c:f>II_Rajona_prok!$AS$4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Balvu raj.</c:v>
                </c:pt>
                <c:pt idx="1">
                  <c:v>Daugavpils</c:v>
                </c:pt>
                <c:pt idx="2">
                  <c:v>Krāslavas raj.</c:v>
                </c:pt>
                <c:pt idx="3">
                  <c:v>Ludzas raj.</c:v>
                </c:pt>
                <c:pt idx="4">
                  <c:v>Preiļu raj.</c:v>
                </c:pt>
                <c:pt idx="5">
                  <c:v>Rēzekne</c:v>
                </c:pt>
              </c:strCache>
            </c:strRef>
          </c:cat>
          <c:val>
            <c:numRef>
              <c:f>II_Rajona_prok!$AS$5:$AS$10</c:f>
              <c:numCache>
                <c:formatCode>General</c:formatCode>
                <c:ptCount val="6"/>
                <c:pt idx="0">
                  <c:v>118</c:v>
                </c:pt>
                <c:pt idx="1">
                  <c:v>395</c:v>
                </c:pt>
                <c:pt idx="2">
                  <c:v>105</c:v>
                </c:pt>
                <c:pt idx="3">
                  <c:v>121</c:v>
                </c:pt>
                <c:pt idx="4">
                  <c:v>106</c:v>
                </c:pt>
                <c:pt idx="5">
                  <c:v>216</c:v>
                </c:pt>
              </c:numCache>
            </c:numRef>
          </c:val>
          <c:extLst>
            <c:ext xmlns:c16="http://schemas.microsoft.com/office/drawing/2014/chart" uri="{C3380CC4-5D6E-409C-BE32-E72D297353CC}">
              <c16:uniqueId val="{00000002-D215-4052-952D-661B48B87A47}"/>
            </c:ext>
          </c:extLst>
        </c:ser>
        <c:ser>
          <c:idx val="3"/>
          <c:order val="3"/>
          <c:tx>
            <c:strRef>
              <c:f>II_Rajona_prok!$AS$4</c:f>
              <c:strCache>
                <c:ptCount val="1"/>
                <c:pt idx="0">
                  <c:v>2019</c:v>
                </c:pt>
              </c:strCache>
            </c:strRef>
          </c:tx>
          <c:invertIfNegative val="0"/>
          <c:dLbls>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II_Rajona_prok!$AP$5:$AP$10</c:f>
              <c:strCache>
                <c:ptCount val="6"/>
                <c:pt idx="0">
                  <c:v>Balvu raj.</c:v>
                </c:pt>
                <c:pt idx="1">
                  <c:v>Daugavpils</c:v>
                </c:pt>
                <c:pt idx="2">
                  <c:v>Krāslavas raj.</c:v>
                </c:pt>
                <c:pt idx="3">
                  <c:v>Ludzas raj.</c:v>
                </c:pt>
                <c:pt idx="4">
                  <c:v>Preiļu raj.</c:v>
                </c:pt>
                <c:pt idx="5">
                  <c:v>Rēzekne</c:v>
                </c:pt>
              </c:strCache>
            </c:strRef>
          </c:cat>
          <c:val>
            <c:numRef>
              <c:f>II_Rajona_prok!$AT$5:$AT$10</c:f>
              <c:numCache>
                <c:formatCode>General</c:formatCode>
                <c:ptCount val="6"/>
                <c:pt idx="0">
                  <c:v>77</c:v>
                </c:pt>
                <c:pt idx="1">
                  <c:v>325</c:v>
                </c:pt>
                <c:pt idx="2">
                  <c:v>85</c:v>
                </c:pt>
                <c:pt idx="3">
                  <c:v>105</c:v>
                </c:pt>
                <c:pt idx="4">
                  <c:v>98</c:v>
                </c:pt>
                <c:pt idx="5">
                  <c:v>162</c:v>
                </c:pt>
              </c:numCache>
            </c:numRef>
          </c:val>
          <c:extLst>
            <c:ext xmlns:c16="http://schemas.microsoft.com/office/drawing/2014/chart" uri="{C3380CC4-5D6E-409C-BE32-E72D297353CC}">
              <c16:uniqueId val="{00000003-D215-4052-952D-661B48B87A47}"/>
            </c:ext>
          </c:extLst>
        </c:ser>
        <c:dLbls>
          <c:showLegendKey val="0"/>
          <c:showVal val="0"/>
          <c:showCatName val="0"/>
          <c:showSerName val="0"/>
          <c:showPercent val="0"/>
          <c:showBubbleSize val="0"/>
        </c:dLbls>
        <c:gapWidth val="150"/>
        <c:axId val="256409600"/>
        <c:axId val="256412672"/>
      </c:barChart>
      <c:catAx>
        <c:axId val="256409600"/>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56412672"/>
        <c:crosses val="autoZero"/>
        <c:auto val="1"/>
        <c:lblAlgn val="ctr"/>
        <c:lblOffset val="100"/>
        <c:noMultiLvlLbl val="0"/>
      </c:catAx>
      <c:valAx>
        <c:axId val="256412672"/>
        <c:scaling>
          <c:orientation val="minMax"/>
        </c:scaling>
        <c:delete val="0"/>
        <c:axPos val="l"/>
        <c:majorGridlines/>
        <c:numFmt formatCode="General" sourceLinked="1"/>
        <c:majorTickMark val="out"/>
        <c:minorTickMark val="none"/>
        <c:tickLblPos val="nextTo"/>
        <c:txPr>
          <a:bodyPr/>
          <a:lstStyle/>
          <a:p>
            <a:pPr>
              <a:defRPr baseline="0">
                <a:solidFill>
                  <a:schemeClr val="tx1"/>
                </a:solidFill>
              </a:defRPr>
            </a:pPr>
            <a:endParaRPr lang="lv-LV"/>
          </a:p>
        </c:txPr>
        <c:crossAx val="256409600"/>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Iesniegti protesti, no tiem apmierināti</a:t>
            </a:r>
          </a:p>
        </c:rich>
      </c:tx>
      <c:overlay val="0"/>
    </c:title>
    <c:autoTitleDeleted val="0"/>
    <c:plotArea>
      <c:layout>
        <c:manualLayout>
          <c:layoutTarget val="inner"/>
          <c:xMode val="edge"/>
          <c:yMode val="edge"/>
          <c:x val="5.7342035751208532E-2"/>
          <c:y val="0.18345061878184904"/>
          <c:w val="0.82807857870152957"/>
          <c:h val="0.68826601710757374"/>
        </c:manualLayout>
      </c:layout>
      <c:barChart>
        <c:barDir val="col"/>
        <c:grouping val="clustered"/>
        <c:varyColors val="0"/>
        <c:ser>
          <c:idx val="0"/>
          <c:order val="0"/>
          <c:tx>
            <c:strRef>
              <c:f>II_Rajona_prok!$AW$4</c:f>
              <c:strCache>
                <c:ptCount val="1"/>
                <c:pt idx="0">
                  <c:v>2020</c:v>
                </c:pt>
              </c:strCache>
            </c:strRef>
          </c:tx>
          <c:invertIfNegative val="0"/>
          <c:dLbls>
            <c:spPr>
              <a:noFill/>
              <a:ln>
                <a:noFill/>
              </a:ln>
              <a:effectLst/>
            </c:spPr>
            <c:txPr>
              <a:bodyPr/>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Balvu raj.</c:v>
                </c:pt>
                <c:pt idx="1">
                  <c:v>Daugavpils</c:v>
                </c:pt>
                <c:pt idx="2">
                  <c:v>Krāslavas raj.</c:v>
                </c:pt>
                <c:pt idx="3">
                  <c:v>Ludzas raj.</c:v>
                </c:pt>
                <c:pt idx="4">
                  <c:v>Preiļu raj.</c:v>
                </c:pt>
                <c:pt idx="5">
                  <c:v>Rēzekne</c:v>
                </c:pt>
              </c:strCache>
            </c:strRef>
          </c:cat>
          <c:val>
            <c:numRef>
              <c:f>II_Rajona_prok!$AW$5:$AW$10</c:f>
              <c:numCache>
                <c:formatCode>General</c:formatCode>
                <c:ptCount val="6"/>
                <c:pt idx="0">
                  <c:v>5</c:v>
                </c:pt>
                <c:pt idx="1">
                  <c:v>9</c:v>
                </c:pt>
                <c:pt idx="2">
                  <c:v>0</c:v>
                </c:pt>
                <c:pt idx="3">
                  <c:v>7</c:v>
                </c:pt>
                <c:pt idx="4">
                  <c:v>0</c:v>
                </c:pt>
                <c:pt idx="5">
                  <c:v>7</c:v>
                </c:pt>
              </c:numCache>
            </c:numRef>
          </c:val>
          <c:extLst>
            <c:ext xmlns:c16="http://schemas.microsoft.com/office/drawing/2014/chart" uri="{C3380CC4-5D6E-409C-BE32-E72D297353CC}">
              <c16:uniqueId val="{00000000-F7E8-41C2-90D6-72ECA5765E21}"/>
            </c:ext>
          </c:extLst>
        </c:ser>
        <c:ser>
          <c:idx val="1"/>
          <c:order val="1"/>
          <c:tx>
            <c:strRef>
              <c:f>II_Rajona_prok!$AW$4</c:f>
              <c:strCache>
                <c:ptCount val="1"/>
                <c:pt idx="0">
                  <c:v>2020</c:v>
                </c:pt>
              </c:strCache>
            </c:strRef>
          </c:tx>
          <c:invertIfNegative val="0"/>
          <c:dLbls>
            <c:dLbl>
              <c:idx val="0"/>
              <c:layout>
                <c:manualLayout>
                  <c:x val="2.2048285745783266E-3"/>
                  <c:y val="-3.4171050142635024E-3"/>
                </c:manualLayout>
              </c:layout>
              <c:spPr>
                <a:noFill/>
                <a:ln>
                  <a:noFill/>
                </a:ln>
                <a:effectLst/>
              </c:spPr>
              <c:txPr>
                <a:bodyPr/>
                <a:lstStyle/>
                <a:p>
                  <a:pPr>
                    <a:defRPr b="1" strike="noStrike" baseline="0">
                      <a:solidFill>
                        <a:schemeClr val="tx1"/>
                      </a:solidFill>
                    </a:defRPr>
                  </a:pPr>
                  <a:endParaRPr lang="lv-LV"/>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7E8-41C2-90D6-72ECA5765E21}"/>
                </c:ext>
              </c:extLst>
            </c:dLbl>
            <c:dLbl>
              <c:idx val="4"/>
              <c:layout>
                <c:manualLayout>
                  <c:x val="8.0842780498506403E-17"/>
                  <c:y val="1.4360859588012874E-3"/>
                </c:manualLayout>
              </c:layout>
              <c:spPr>
                <a:noFill/>
                <a:ln>
                  <a:noFill/>
                </a:ln>
                <a:effectLst/>
              </c:spPr>
              <c:txPr>
                <a:bodyPr/>
                <a:lstStyle/>
                <a:p>
                  <a:pPr>
                    <a:defRPr b="1" strike="noStrike" baseline="0">
                      <a:solidFill>
                        <a:schemeClr val="tx1"/>
                      </a:solidFill>
                    </a:defRPr>
                  </a:pPr>
                  <a:endParaRPr lang="lv-LV"/>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7E8-41C2-90D6-72ECA5765E21}"/>
                </c:ext>
              </c:extLst>
            </c:dLbl>
            <c:spPr>
              <a:noFill/>
              <a:ln>
                <a:noFill/>
              </a:ln>
              <a:effectLst/>
            </c:spPr>
            <c:txPr>
              <a:bodyPr/>
              <a:lstStyle/>
              <a:p>
                <a:pPr>
                  <a:defRPr b="1" strike="dblStrike"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Balvu raj.</c:v>
                </c:pt>
                <c:pt idx="1">
                  <c:v>Daugavpils</c:v>
                </c:pt>
                <c:pt idx="2">
                  <c:v>Krāslavas raj.</c:v>
                </c:pt>
                <c:pt idx="3">
                  <c:v>Ludzas raj.</c:v>
                </c:pt>
                <c:pt idx="4">
                  <c:v>Preiļu raj.</c:v>
                </c:pt>
                <c:pt idx="5">
                  <c:v>Rēzekne</c:v>
                </c:pt>
              </c:strCache>
            </c:strRef>
          </c:cat>
          <c:val>
            <c:numRef>
              <c:f>II_Rajona_prok!$AX$5:$AX$10</c:f>
              <c:numCache>
                <c:formatCode>General</c:formatCode>
                <c:ptCount val="6"/>
                <c:pt idx="0">
                  <c:v>1</c:v>
                </c:pt>
                <c:pt idx="1">
                  <c:v>8</c:v>
                </c:pt>
                <c:pt idx="2">
                  <c:v>0</c:v>
                </c:pt>
                <c:pt idx="3">
                  <c:v>2</c:v>
                </c:pt>
                <c:pt idx="4">
                  <c:v>1</c:v>
                </c:pt>
                <c:pt idx="5">
                  <c:v>2</c:v>
                </c:pt>
              </c:numCache>
            </c:numRef>
          </c:val>
          <c:extLst>
            <c:ext xmlns:c16="http://schemas.microsoft.com/office/drawing/2014/chart" uri="{C3380CC4-5D6E-409C-BE32-E72D297353CC}">
              <c16:uniqueId val="{00000001-F7E8-41C2-90D6-72ECA5765E21}"/>
            </c:ext>
          </c:extLst>
        </c:ser>
        <c:ser>
          <c:idx val="2"/>
          <c:order val="2"/>
          <c:tx>
            <c:strRef>
              <c:f>II_Rajona_prok!$AY$4</c:f>
              <c:strCache>
                <c:ptCount val="1"/>
                <c:pt idx="0">
                  <c:v>2019</c:v>
                </c:pt>
              </c:strCache>
            </c:strRef>
          </c:tx>
          <c:invertIfNegative val="0"/>
          <c:dLbls>
            <c:dLbl>
              <c:idx val="0"/>
              <c:layout>
                <c:manualLayout>
                  <c:x val="0"/>
                  <c:y val="-1.980636914440624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7E8-41C2-90D6-72ECA5765E21}"/>
                </c:ext>
              </c:extLst>
            </c:dLbl>
            <c:dLbl>
              <c:idx val="1"/>
              <c:layout>
                <c:manualLayout>
                  <c:x val="2.2048285745783266E-3"/>
                  <c:y val="0.1220241245626872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7E8-41C2-90D6-72ECA5765E21}"/>
                </c:ext>
              </c:extLst>
            </c:dLbl>
            <c:dLbl>
              <c:idx val="2"/>
              <c:layout>
                <c:manualLayout>
                  <c:x val="0"/>
                  <c:y val="0.1396534363076004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7E8-41C2-90D6-72ECA5765E21}"/>
                </c:ext>
              </c:extLst>
            </c:dLbl>
            <c:dLbl>
              <c:idx val="3"/>
              <c:layout>
                <c:manualLayout>
                  <c:x val="0"/>
                  <c:y val="0.1473791813392895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7E8-41C2-90D6-72ECA5765E21}"/>
                </c:ext>
              </c:extLst>
            </c:dLbl>
            <c:dLbl>
              <c:idx val="5"/>
              <c:layout>
                <c:manualLayout>
                  <c:x val="2.2048285745783266E-3"/>
                  <c:y val="0.1313835224612938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7E8-41C2-90D6-72ECA5765E21}"/>
                </c:ext>
              </c:extLst>
            </c:dLbl>
            <c:spPr>
              <a:noFill/>
              <a:ln>
                <a:noFill/>
              </a:ln>
              <a:effectLst/>
            </c:spPr>
            <c:txPr>
              <a:bodyPr/>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Balvu raj.</c:v>
                </c:pt>
                <c:pt idx="1">
                  <c:v>Daugavpils</c:v>
                </c:pt>
                <c:pt idx="2">
                  <c:v>Krāslavas raj.</c:v>
                </c:pt>
                <c:pt idx="3">
                  <c:v>Ludzas raj.</c:v>
                </c:pt>
                <c:pt idx="4">
                  <c:v>Preiļu raj.</c:v>
                </c:pt>
                <c:pt idx="5">
                  <c:v>Rēzekne</c:v>
                </c:pt>
              </c:strCache>
            </c:strRef>
          </c:cat>
          <c:val>
            <c:numRef>
              <c:f>II_Rajona_prok!$AY$5:$AY$10</c:f>
              <c:numCache>
                <c:formatCode>General</c:formatCode>
                <c:ptCount val="6"/>
                <c:pt idx="0">
                  <c:v>2</c:v>
                </c:pt>
                <c:pt idx="1">
                  <c:v>14</c:v>
                </c:pt>
                <c:pt idx="2">
                  <c:v>6</c:v>
                </c:pt>
                <c:pt idx="3">
                  <c:v>8</c:v>
                </c:pt>
                <c:pt idx="4">
                  <c:v>2</c:v>
                </c:pt>
                <c:pt idx="5">
                  <c:v>7</c:v>
                </c:pt>
              </c:numCache>
            </c:numRef>
          </c:val>
          <c:extLst>
            <c:ext xmlns:c16="http://schemas.microsoft.com/office/drawing/2014/chart" uri="{C3380CC4-5D6E-409C-BE32-E72D297353CC}">
              <c16:uniqueId val="{00000002-F7E8-41C2-90D6-72ECA5765E21}"/>
            </c:ext>
          </c:extLst>
        </c:ser>
        <c:ser>
          <c:idx val="3"/>
          <c:order val="3"/>
          <c:tx>
            <c:strRef>
              <c:f>II_Rajona_prok!$AY$4</c:f>
              <c:strCache>
                <c:ptCount val="1"/>
                <c:pt idx="0">
                  <c:v>2019</c:v>
                </c:pt>
              </c:strCache>
            </c:strRef>
          </c:tx>
          <c:invertIfNegative val="0"/>
          <c:dLbls>
            <c:dLbl>
              <c:idx val="1"/>
              <c:layout>
                <c:manualLayout>
                  <c:x val="0"/>
                  <c:y val="0.1216771405151642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7E8-41C2-90D6-72ECA5765E21}"/>
                </c:ext>
              </c:extLst>
            </c:dLbl>
            <c:dLbl>
              <c:idx val="2"/>
              <c:layout>
                <c:manualLayout>
                  <c:x val="0"/>
                  <c:y val="0.1319280734169330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7E8-41C2-90D6-72ECA5765E21}"/>
                </c:ext>
              </c:extLst>
            </c:dLbl>
            <c:dLbl>
              <c:idx val="5"/>
              <c:layout>
                <c:manualLayout>
                  <c:x val="0"/>
                  <c:y val="6.28927693186607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7E8-41C2-90D6-72ECA5765E21}"/>
                </c:ext>
              </c:extLst>
            </c:dLbl>
            <c:spPr>
              <a:noFill/>
              <a:ln>
                <a:noFill/>
              </a:ln>
              <a:effectLst/>
            </c:spPr>
            <c:txPr>
              <a:bodyPr/>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II_Rajona_prok!$AV$5:$AV$10</c:f>
              <c:strCache>
                <c:ptCount val="6"/>
                <c:pt idx="0">
                  <c:v>Balvu raj.</c:v>
                </c:pt>
                <c:pt idx="1">
                  <c:v>Daugavpils</c:v>
                </c:pt>
                <c:pt idx="2">
                  <c:v>Krāslavas raj.</c:v>
                </c:pt>
                <c:pt idx="3">
                  <c:v>Ludzas raj.</c:v>
                </c:pt>
                <c:pt idx="4">
                  <c:v>Preiļu raj.</c:v>
                </c:pt>
                <c:pt idx="5">
                  <c:v>Rēzekne</c:v>
                </c:pt>
              </c:strCache>
            </c:strRef>
          </c:cat>
          <c:val>
            <c:numRef>
              <c:f>II_Rajona_prok!$AZ$5:$AZ$10</c:f>
              <c:numCache>
                <c:formatCode>General</c:formatCode>
                <c:ptCount val="6"/>
                <c:pt idx="0">
                  <c:v>0</c:v>
                </c:pt>
                <c:pt idx="1">
                  <c:v>7</c:v>
                </c:pt>
                <c:pt idx="2">
                  <c:v>4</c:v>
                </c:pt>
                <c:pt idx="3">
                  <c:v>4</c:v>
                </c:pt>
                <c:pt idx="4">
                  <c:v>0</c:v>
                </c:pt>
                <c:pt idx="5">
                  <c:v>1</c:v>
                </c:pt>
              </c:numCache>
            </c:numRef>
          </c:val>
          <c:extLst>
            <c:ext xmlns:c16="http://schemas.microsoft.com/office/drawing/2014/chart" uri="{C3380CC4-5D6E-409C-BE32-E72D297353CC}">
              <c16:uniqueId val="{00000003-F7E8-41C2-90D6-72ECA5765E21}"/>
            </c:ext>
          </c:extLst>
        </c:ser>
        <c:dLbls>
          <c:showLegendKey val="0"/>
          <c:showVal val="0"/>
          <c:showCatName val="0"/>
          <c:showSerName val="0"/>
          <c:showPercent val="0"/>
          <c:showBubbleSize val="0"/>
        </c:dLbls>
        <c:gapWidth val="150"/>
        <c:axId val="240398336"/>
        <c:axId val="240425216"/>
      </c:barChart>
      <c:catAx>
        <c:axId val="240398336"/>
        <c:scaling>
          <c:orientation val="minMax"/>
        </c:scaling>
        <c:delete val="0"/>
        <c:axPos val="b"/>
        <c:numFmt formatCode="General" sourceLinked="0"/>
        <c:majorTickMark val="none"/>
        <c:minorTickMark val="none"/>
        <c:tickLblPos val="nextTo"/>
        <c:txPr>
          <a:bodyPr/>
          <a:lstStyle/>
          <a:p>
            <a:pPr>
              <a:defRPr b="1" i="0" baseline="0">
                <a:solidFill>
                  <a:schemeClr val="tx1"/>
                </a:solidFill>
              </a:defRPr>
            </a:pPr>
            <a:endParaRPr lang="lv-LV"/>
          </a:p>
        </c:txPr>
        <c:crossAx val="240425216"/>
        <c:crosses val="autoZero"/>
        <c:auto val="1"/>
        <c:lblAlgn val="ctr"/>
        <c:lblOffset val="100"/>
        <c:noMultiLvlLbl val="0"/>
      </c:catAx>
      <c:valAx>
        <c:axId val="240425216"/>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240398336"/>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lv-LV" sz="1200" baseline="0">
                <a:solidFill>
                  <a:schemeClr val="tx1"/>
                </a:solidFill>
              </a:rPr>
              <a:t>Izlemtas sūdzības, no tām apmierinātas</a:t>
            </a:r>
          </a:p>
        </c:rich>
      </c:tx>
      <c:overlay val="0"/>
    </c:title>
    <c:autoTitleDeleted val="0"/>
    <c:plotArea>
      <c:layout>
        <c:manualLayout>
          <c:layoutTarget val="inner"/>
          <c:xMode val="edge"/>
          <c:yMode val="edge"/>
          <c:x val="7.0688999564100422E-2"/>
          <c:y val="0.2031413612565445"/>
          <c:w val="0.80453483950548588"/>
          <c:h val="0.69992125984251974"/>
        </c:manualLayout>
      </c:layout>
      <c:barChart>
        <c:barDir val="col"/>
        <c:grouping val="clustered"/>
        <c:varyColors val="0"/>
        <c:ser>
          <c:idx val="0"/>
          <c:order val="0"/>
          <c:tx>
            <c:strRef>
              <c:f>II_Rajona_prok!$BC$4</c:f>
              <c:strCache>
                <c:ptCount val="1"/>
                <c:pt idx="0">
                  <c:v>2020</c:v>
                </c:pt>
              </c:strCache>
            </c:strRef>
          </c:tx>
          <c:invertIfNegative val="0"/>
          <c:dLbls>
            <c:dLbl>
              <c:idx val="0"/>
              <c:layout>
                <c:manualLayout>
                  <c:x val="0"/>
                  <c:y val="1.93445191078863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7C-47CB-AE60-6EB991BE994B}"/>
                </c:ext>
              </c:extLst>
            </c:dLbl>
            <c:dLbl>
              <c:idx val="2"/>
              <c:layout>
                <c:manualLayout>
                  <c:x val="-4.3187565483036018E-17"/>
                  <c:y val="1.16366409696170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37C-47CB-AE60-6EB991BE994B}"/>
                </c:ext>
              </c:extLst>
            </c:dLbl>
            <c:dLbl>
              <c:idx val="3"/>
              <c:layout>
                <c:manualLayout>
                  <c:x val="-2.3557126030624262E-3"/>
                  <c:y val="6.69250113369336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37C-47CB-AE60-6EB991BE994B}"/>
                </c:ext>
              </c:extLst>
            </c:dLbl>
            <c:dLbl>
              <c:idx val="4"/>
              <c:layout>
                <c:manualLayout>
                  <c:x val="-2.3557126030625129E-3"/>
                  <c:y val="2.3926701570680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37C-47CB-AE60-6EB991BE994B}"/>
                </c:ext>
              </c:extLst>
            </c:dLbl>
            <c:spPr>
              <a:noFill/>
              <a:ln>
                <a:noFill/>
              </a:ln>
              <a:effectLst/>
            </c:spPr>
            <c:txPr>
              <a:bodyPr rot="-5400000" vert="horz"/>
              <a:lstStyle/>
              <a:p>
                <a:pPr>
                  <a:defRPr b="1" baseline="0">
                    <a:solidFill>
                      <a:schemeClr val="tx1"/>
                    </a:solidFill>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Balvu raj.</c:v>
                </c:pt>
                <c:pt idx="1">
                  <c:v>Daugavpils</c:v>
                </c:pt>
                <c:pt idx="2">
                  <c:v>Krāslavas raj.</c:v>
                </c:pt>
                <c:pt idx="3">
                  <c:v>Ludzas raj.</c:v>
                </c:pt>
                <c:pt idx="4">
                  <c:v>Preiļu raj.</c:v>
                </c:pt>
                <c:pt idx="5">
                  <c:v>Rēzekne</c:v>
                </c:pt>
              </c:strCache>
            </c:strRef>
          </c:cat>
          <c:val>
            <c:numRef>
              <c:f>II_Rajona_prok!$BC$5:$BC$10</c:f>
              <c:numCache>
                <c:formatCode>General</c:formatCode>
                <c:ptCount val="6"/>
                <c:pt idx="0">
                  <c:v>28</c:v>
                </c:pt>
                <c:pt idx="1">
                  <c:v>313</c:v>
                </c:pt>
                <c:pt idx="2">
                  <c:v>32</c:v>
                </c:pt>
                <c:pt idx="3">
                  <c:v>40</c:v>
                </c:pt>
                <c:pt idx="4">
                  <c:v>46</c:v>
                </c:pt>
                <c:pt idx="5">
                  <c:v>137</c:v>
                </c:pt>
              </c:numCache>
            </c:numRef>
          </c:val>
          <c:extLst>
            <c:ext xmlns:c16="http://schemas.microsoft.com/office/drawing/2014/chart" uri="{C3380CC4-5D6E-409C-BE32-E72D297353CC}">
              <c16:uniqueId val="{00000000-137C-47CB-AE60-6EB991BE994B}"/>
            </c:ext>
          </c:extLst>
        </c:ser>
        <c:ser>
          <c:idx val="1"/>
          <c:order val="1"/>
          <c:tx>
            <c:strRef>
              <c:f>II_Rajona_prok!$BC$4</c:f>
              <c:strCache>
                <c:ptCount val="1"/>
                <c:pt idx="0">
                  <c:v>2020</c:v>
                </c:pt>
              </c:strCache>
            </c:strRef>
          </c:tx>
          <c:invertIfNegative val="0"/>
          <c:dLbls>
            <c:spPr>
              <a:noFill/>
              <a:ln>
                <a:noFill/>
              </a:ln>
              <a:effectLst/>
            </c:spPr>
            <c:txPr>
              <a:bodyPr rot="-5400000" vert="horz"/>
              <a:lstStyle/>
              <a:p>
                <a:pPr>
                  <a:defRPr b="1" baseline="0">
                    <a:solidFill>
                      <a:schemeClr val="tx1"/>
                    </a:solidFill>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Balvu raj.</c:v>
                </c:pt>
                <c:pt idx="1">
                  <c:v>Daugavpils</c:v>
                </c:pt>
                <c:pt idx="2">
                  <c:v>Krāslavas raj.</c:v>
                </c:pt>
                <c:pt idx="3">
                  <c:v>Ludzas raj.</c:v>
                </c:pt>
                <c:pt idx="4">
                  <c:v>Preiļu raj.</c:v>
                </c:pt>
                <c:pt idx="5">
                  <c:v>Rēzekne</c:v>
                </c:pt>
              </c:strCache>
            </c:strRef>
          </c:cat>
          <c:val>
            <c:numRef>
              <c:f>II_Rajona_prok!$BD$5:$BD$10</c:f>
              <c:numCache>
                <c:formatCode>General</c:formatCode>
                <c:ptCount val="6"/>
                <c:pt idx="0">
                  <c:v>4</c:v>
                </c:pt>
                <c:pt idx="1">
                  <c:v>69</c:v>
                </c:pt>
                <c:pt idx="2">
                  <c:v>4</c:v>
                </c:pt>
                <c:pt idx="3">
                  <c:v>10</c:v>
                </c:pt>
                <c:pt idx="4">
                  <c:v>13</c:v>
                </c:pt>
                <c:pt idx="5">
                  <c:v>33</c:v>
                </c:pt>
              </c:numCache>
            </c:numRef>
          </c:val>
          <c:extLst>
            <c:ext xmlns:c16="http://schemas.microsoft.com/office/drawing/2014/chart" uri="{C3380CC4-5D6E-409C-BE32-E72D297353CC}">
              <c16:uniqueId val="{00000001-137C-47CB-AE60-6EB991BE994B}"/>
            </c:ext>
          </c:extLst>
        </c:ser>
        <c:ser>
          <c:idx val="2"/>
          <c:order val="2"/>
          <c:tx>
            <c:strRef>
              <c:f>II_Rajona_prok!$BE$4</c:f>
              <c:strCache>
                <c:ptCount val="1"/>
                <c:pt idx="0">
                  <c:v>2019</c:v>
                </c:pt>
              </c:strCache>
            </c:strRef>
          </c:tx>
          <c:invertIfNegative val="0"/>
          <c:dLbls>
            <c:dLbl>
              <c:idx val="0"/>
              <c:layout>
                <c:manualLayout>
                  <c:x val="-2.1593782741518009E-17"/>
                  <c:y val="2.48715834604444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37C-47CB-AE60-6EB991BE994B}"/>
                </c:ext>
              </c:extLst>
            </c:dLbl>
            <c:dLbl>
              <c:idx val="1"/>
              <c:layout>
                <c:manualLayout>
                  <c:x val="4.7114252061248524E-3"/>
                  <c:y val="0.172250896648390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37C-47CB-AE60-6EB991BE994B}"/>
                </c:ext>
              </c:extLst>
            </c:dLbl>
            <c:dLbl>
              <c:idx val="2"/>
              <c:layout>
                <c:manualLayout>
                  <c:x val="2.3557126030623399E-3"/>
                  <c:y val="1.487240796471112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8292108362779744E-2"/>
                      <c:h val="8.3769633507853408E-2"/>
                    </c:manualLayout>
                  </c15:layout>
                </c:ext>
                <c:ext xmlns:c16="http://schemas.microsoft.com/office/drawing/2014/chart" uri="{C3380CC4-5D6E-409C-BE32-E72D297353CC}">
                  <c16:uniqueId val="{0000000B-137C-47CB-AE60-6EB991BE994B}"/>
                </c:ext>
              </c:extLst>
            </c:dLbl>
            <c:dLbl>
              <c:idx val="3"/>
              <c:layout>
                <c:manualLayout>
                  <c:x val="-8.6375130966072036E-17"/>
                  <c:y val="-9.30576740734633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37C-47CB-AE60-6EB991BE994B}"/>
                </c:ext>
              </c:extLst>
            </c:dLbl>
            <c:dLbl>
              <c:idx val="4"/>
              <c:layout>
                <c:manualLayout>
                  <c:x val="-8.6375130966072036E-17"/>
                  <c:y val="3.0398647813002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37C-47CB-AE60-6EB991BE994B}"/>
                </c:ext>
              </c:extLst>
            </c:dLbl>
            <c:dLbl>
              <c:idx val="5"/>
              <c:layout>
                <c:manualLayout>
                  <c:x val="-2.3557126030625129E-3"/>
                  <c:y val="0.14260667023951848"/>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10482921083627797"/>
                      <c:h val="0.1099476439790576"/>
                    </c:manualLayout>
                  </c15:layout>
                </c:ext>
                <c:ext xmlns:c16="http://schemas.microsoft.com/office/drawing/2014/chart" uri="{C3380CC4-5D6E-409C-BE32-E72D297353CC}">
                  <c16:uniqueId val="{00000011-137C-47CB-AE60-6EB991BE994B}"/>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Balvu raj.</c:v>
                </c:pt>
                <c:pt idx="1">
                  <c:v>Daugavpils</c:v>
                </c:pt>
                <c:pt idx="2">
                  <c:v>Krāslavas raj.</c:v>
                </c:pt>
                <c:pt idx="3">
                  <c:v>Ludzas raj.</c:v>
                </c:pt>
                <c:pt idx="4">
                  <c:v>Preiļu raj.</c:v>
                </c:pt>
                <c:pt idx="5">
                  <c:v>Rēzekne</c:v>
                </c:pt>
              </c:strCache>
            </c:strRef>
          </c:cat>
          <c:val>
            <c:numRef>
              <c:f>II_Rajona_prok!$BE$5:$BE$10</c:f>
              <c:numCache>
                <c:formatCode>General</c:formatCode>
                <c:ptCount val="6"/>
                <c:pt idx="0">
                  <c:v>36</c:v>
                </c:pt>
                <c:pt idx="1">
                  <c:v>327</c:v>
                </c:pt>
                <c:pt idx="2">
                  <c:v>31</c:v>
                </c:pt>
                <c:pt idx="3">
                  <c:v>32</c:v>
                </c:pt>
                <c:pt idx="4">
                  <c:v>44</c:v>
                </c:pt>
                <c:pt idx="5">
                  <c:v>142</c:v>
                </c:pt>
              </c:numCache>
            </c:numRef>
          </c:val>
          <c:extLst>
            <c:ext xmlns:c16="http://schemas.microsoft.com/office/drawing/2014/chart" uri="{C3380CC4-5D6E-409C-BE32-E72D297353CC}">
              <c16:uniqueId val="{00000002-137C-47CB-AE60-6EB991BE994B}"/>
            </c:ext>
          </c:extLst>
        </c:ser>
        <c:ser>
          <c:idx val="3"/>
          <c:order val="3"/>
          <c:tx>
            <c:strRef>
              <c:f>II_Rajona_prok!$BE$4</c:f>
              <c:strCache>
                <c:ptCount val="1"/>
                <c:pt idx="0">
                  <c:v>2019</c:v>
                </c:pt>
              </c:strCache>
            </c:strRef>
          </c:tx>
          <c:invertIfNegative val="0"/>
          <c:dLbls>
            <c:dLbl>
              <c:idx val="0"/>
              <c:layout>
                <c:manualLayout>
                  <c:x val="4.7114252061248316E-3"/>
                  <c:y val="-1.141567382611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7C-47CB-AE60-6EB991BE994B}"/>
                </c:ext>
              </c:extLst>
            </c:dLbl>
            <c:dLbl>
              <c:idx val="1"/>
              <c:layout>
                <c:manualLayout>
                  <c:x val="2.3557126030624262E-3"/>
                  <c:y val="2.25097909881683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37C-47CB-AE60-6EB991BE994B}"/>
                </c:ext>
              </c:extLst>
            </c:dLbl>
            <c:dLbl>
              <c:idx val="2"/>
              <c:layout>
                <c:manualLayout>
                  <c:x val="-8.6375130966072036E-17"/>
                  <c:y val="-8.17990683101785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37C-47CB-AE60-6EB991BE994B}"/>
                </c:ext>
              </c:extLst>
            </c:dLbl>
            <c:dLbl>
              <c:idx val="4"/>
              <c:layout>
                <c:manualLayout>
                  <c:x val="0"/>
                  <c:y val="1.18176196561817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37C-47CB-AE60-6EB991BE994B}"/>
                </c:ext>
              </c:extLst>
            </c:dLbl>
            <c:dLbl>
              <c:idx val="5"/>
              <c:layout>
                <c:manualLayout>
                  <c:x val="2.3557126030622536E-3"/>
                  <c:y val="1.21090819144990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37C-47CB-AE60-6EB991BE994B}"/>
                </c:ext>
              </c:extLst>
            </c:dLbl>
            <c:spPr>
              <a:noFill/>
              <a:ln>
                <a:noFill/>
              </a:ln>
              <a:effectLst/>
            </c:spPr>
            <c:txPr>
              <a:bodyPr rot="-5400000" vert="horz"/>
              <a:lstStyle/>
              <a:p>
                <a:pPr>
                  <a:defRPr b="1" baseline="0">
                    <a:solidFill>
                      <a:schemeClr val="tx1"/>
                    </a:solidFill>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II_Rajona_prok!$BB$5:$BB$10</c:f>
              <c:strCache>
                <c:ptCount val="6"/>
                <c:pt idx="0">
                  <c:v>Balvu raj.</c:v>
                </c:pt>
                <c:pt idx="1">
                  <c:v>Daugavpils</c:v>
                </c:pt>
                <c:pt idx="2">
                  <c:v>Krāslavas raj.</c:v>
                </c:pt>
                <c:pt idx="3">
                  <c:v>Ludzas raj.</c:v>
                </c:pt>
                <c:pt idx="4">
                  <c:v>Preiļu raj.</c:v>
                </c:pt>
                <c:pt idx="5">
                  <c:v>Rēzekne</c:v>
                </c:pt>
              </c:strCache>
            </c:strRef>
          </c:cat>
          <c:val>
            <c:numRef>
              <c:f>II_Rajona_prok!$BF$5:$BF$10</c:f>
              <c:numCache>
                <c:formatCode>General</c:formatCode>
                <c:ptCount val="6"/>
                <c:pt idx="0">
                  <c:v>10</c:v>
                </c:pt>
                <c:pt idx="1">
                  <c:v>61</c:v>
                </c:pt>
                <c:pt idx="2">
                  <c:v>9</c:v>
                </c:pt>
                <c:pt idx="3">
                  <c:v>3</c:v>
                </c:pt>
                <c:pt idx="4">
                  <c:v>19</c:v>
                </c:pt>
                <c:pt idx="5">
                  <c:v>27</c:v>
                </c:pt>
              </c:numCache>
            </c:numRef>
          </c:val>
          <c:extLst>
            <c:ext xmlns:c16="http://schemas.microsoft.com/office/drawing/2014/chart" uri="{C3380CC4-5D6E-409C-BE32-E72D297353CC}">
              <c16:uniqueId val="{00000003-137C-47CB-AE60-6EB991BE994B}"/>
            </c:ext>
          </c:extLst>
        </c:ser>
        <c:dLbls>
          <c:showLegendKey val="0"/>
          <c:showVal val="0"/>
          <c:showCatName val="0"/>
          <c:showSerName val="0"/>
          <c:showPercent val="0"/>
          <c:showBubbleSize val="0"/>
        </c:dLbls>
        <c:gapWidth val="150"/>
        <c:axId val="304738304"/>
        <c:axId val="304741760"/>
      </c:barChart>
      <c:catAx>
        <c:axId val="304738304"/>
        <c:scaling>
          <c:orientation val="minMax"/>
        </c:scaling>
        <c:delete val="0"/>
        <c:axPos val="b"/>
        <c:numFmt formatCode="General" sourceLinked="0"/>
        <c:majorTickMark val="none"/>
        <c:minorTickMark val="none"/>
        <c:tickLblPos val="nextTo"/>
        <c:txPr>
          <a:bodyPr/>
          <a:lstStyle/>
          <a:p>
            <a:pPr>
              <a:defRPr baseline="0">
                <a:solidFill>
                  <a:schemeClr val="tx1"/>
                </a:solidFill>
              </a:defRPr>
            </a:pPr>
            <a:endParaRPr lang="lv-LV"/>
          </a:p>
        </c:txPr>
        <c:crossAx val="304741760"/>
        <c:crosses val="autoZero"/>
        <c:auto val="1"/>
        <c:lblAlgn val="ctr"/>
        <c:lblOffset val="100"/>
        <c:noMultiLvlLbl val="0"/>
      </c:catAx>
      <c:valAx>
        <c:axId val="304741760"/>
        <c:scaling>
          <c:orientation val="minMax"/>
        </c:scaling>
        <c:delete val="0"/>
        <c:axPos val="l"/>
        <c:majorGridlines/>
        <c:numFmt formatCode="General" sourceLinked="1"/>
        <c:majorTickMark val="none"/>
        <c:minorTickMark val="none"/>
        <c:tickLblPos val="nextTo"/>
        <c:txPr>
          <a:bodyPr/>
          <a:lstStyle/>
          <a:p>
            <a:pPr>
              <a:defRPr baseline="0">
                <a:solidFill>
                  <a:schemeClr val="tx1"/>
                </a:solidFill>
              </a:defRPr>
            </a:pPr>
            <a:endParaRPr lang="lv-LV"/>
          </a:p>
        </c:txPr>
        <c:crossAx val="304738304"/>
        <c:crosses val="autoZero"/>
        <c:crossBetween val="between"/>
      </c:valAx>
    </c:plotArea>
    <c:legend>
      <c:legendPos val="r"/>
      <c:overlay val="0"/>
      <c:txPr>
        <a:bodyPr/>
        <a:lstStyle/>
        <a:p>
          <a:pPr>
            <a:defRPr b="1" i="0" baseline="0">
              <a:solidFill>
                <a:schemeClr val="tx1"/>
              </a:solidFill>
            </a:defRPr>
          </a:pPr>
          <a:endParaRPr lang="lv-LV"/>
        </a:p>
      </c:txPr>
    </c:legend>
    <c:plotVisOnly val="1"/>
    <c:dispBlanksAs val="gap"/>
    <c:showDLblsOverMax val="0"/>
  </c:chart>
  <c:spPr>
    <a:solidFill>
      <a:schemeClr val="bg1">
        <a:lumMod val="8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400"/>
            </a:pPr>
            <a:r>
              <a:rPr lang="lv-LV" sz="1200" baseline="0">
                <a:solidFill>
                  <a:schemeClr val="tx1"/>
                </a:solidFill>
              </a:rPr>
              <a:t>Prokuroru personālsastāvs</a:t>
            </a:r>
          </a:p>
        </c:rich>
      </c:tx>
      <c:layout>
        <c:manualLayout>
          <c:xMode val="edge"/>
          <c:yMode val="edge"/>
          <c:x val="0.20712241786828156"/>
          <c:y val="0"/>
        </c:manualLayout>
      </c:layout>
      <c:overlay val="0"/>
    </c:title>
    <c:autoTitleDeleted val="0"/>
    <c:plotArea>
      <c:layout>
        <c:manualLayout>
          <c:layoutTarget val="inner"/>
          <c:xMode val="edge"/>
          <c:yMode val="edge"/>
          <c:x val="7.188675460153468E-2"/>
          <c:y val="0.14727718942337448"/>
          <c:w val="0.51062941973017706"/>
          <c:h val="0.85272281057662547"/>
        </c:manualLayout>
      </c:layout>
      <c:doughnutChart>
        <c:varyColors val="1"/>
        <c:ser>
          <c:idx val="0"/>
          <c:order val="0"/>
          <c:explosion val="1"/>
          <c:dPt>
            <c:idx val="1"/>
            <c:bubble3D val="0"/>
            <c:explosion val="0"/>
            <c:extLst>
              <c:ext xmlns:c16="http://schemas.microsoft.com/office/drawing/2014/chart" uri="{C3380CC4-5D6E-409C-BE32-E72D297353CC}">
                <c16:uniqueId val="{00000001-B7B2-4831-994D-1E9CEF250E8B}"/>
              </c:ext>
            </c:extLst>
          </c:dPt>
          <c:dPt>
            <c:idx val="2"/>
            <c:bubble3D val="0"/>
            <c:explosion val="0"/>
            <c:extLst>
              <c:ext xmlns:c16="http://schemas.microsoft.com/office/drawing/2014/chart" uri="{C3380CC4-5D6E-409C-BE32-E72D297353CC}">
                <c16:uniqueId val="{00000002-B7B2-4831-994D-1E9CEF250E8B}"/>
              </c:ext>
            </c:extLst>
          </c:dPt>
          <c:dLbls>
            <c:dLbl>
              <c:idx val="0"/>
              <c:tx>
                <c:rich>
                  <a:bodyPr/>
                  <a:lstStyle/>
                  <a:p>
                    <a:r>
                      <a:rPr lang="en-US"/>
                      <a:t>38</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B7B2-4831-994D-1E9CEF250E8B}"/>
                </c:ext>
              </c:extLst>
            </c:dLbl>
            <c:dLbl>
              <c:idx val="1"/>
              <c:tx>
                <c:rich>
                  <a:bodyPr/>
                  <a:lstStyle/>
                  <a:p>
                    <a:r>
                      <a:rPr lang="en-US"/>
                      <a:t>8</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B7B2-4831-994D-1E9CEF250E8B}"/>
                </c:ext>
              </c:extLst>
            </c:dLbl>
            <c:dLbl>
              <c:idx val="2"/>
              <c:delete val="1"/>
              <c:extLst>
                <c:ext xmlns:c15="http://schemas.microsoft.com/office/drawing/2012/chart" uri="{CE6537A1-D6FC-4f65-9D91-7224C49458BB}"/>
                <c:ext xmlns:c16="http://schemas.microsoft.com/office/drawing/2014/chart" uri="{C3380CC4-5D6E-409C-BE32-E72D297353CC}">
                  <c16:uniqueId val="{00000002-B7B2-4831-994D-1E9CEF250E8B}"/>
                </c:ext>
              </c:extLst>
            </c:dLbl>
            <c:dLbl>
              <c:idx val="3"/>
              <c:delete val="1"/>
              <c:extLst>
                <c:ext xmlns:c15="http://schemas.microsoft.com/office/drawing/2012/chart" uri="{CE6537A1-D6FC-4f65-9D91-7224C49458BB}"/>
                <c:ext xmlns:c16="http://schemas.microsoft.com/office/drawing/2014/chart" uri="{C3380CC4-5D6E-409C-BE32-E72D297353CC}">
                  <c16:uniqueId val="{00000003-B7B2-4831-994D-1E9CEF250E8B}"/>
                </c:ext>
              </c:extLst>
            </c:dLbl>
            <c:spPr>
              <a:noFill/>
              <a:ln>
                <a:noFill/>
              </a:ln>
              <a:effectLst/>
            </c:spPr>
            <c:txPr>
              <a:bodyPr/>
              <a:lstStyle/>
              <a:p>
                <a:pPr>
                  <a:defRPr sz="1000" b="1" baseline="0">
                    <a:solidFill>
                      <a:schemeClr val="tx1"/>
                    </a:solidFill>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I_tiesas_apgabala_prok!$AR$6:$AR$9</c:f>
              <c:strCache>
                <c:ptCount val="2"/>
                <c:pt idx="0">
                  <c:v>Aizpildītas štata vietas</c:v>
                </c:pt>
                <c:pt idx="1">
                  <c:v>Brīvas štata vietas</c:v>
                </c:pt>
              </c:strCache>
            </c:strRef>
          </c:cat>
          <c:val>
            <c:numRef>
              <c:f>I_tiesas_apgabala_prok!$AS$6:$AS$9</c:f>
              <c:numCache>
                <c:formatCode>General</c:formatCode>
                <c:ptCount val="4"/>
                <c:pt idx="0">
                  <c:v>38</c:v>
                </c:pt>
                <c:pt idx="1">
                  <c:v>8</c:v>
                </c:pt>
              </c:numCache>
            </c:numRef>
          </c:val>
          <c:extLst>
            <c:ext xmlns:c16="http://schemas.microsoft.com/office/drawing/2014/chart" uri="{C3380CC4-5D6E-409C-BE32-E72D297353CC}">
              <c16:uniqueId val="{00000004-B7B2-4831-994D-1E9CEF250E8B}"/>
            </c:ext>
          </c:extLst>
        </c:ser>
        <c:dLbls>
          <c:showLegendKey val="0"/>
          <c:showVal val="0"/>
          <c:showCatName val="0"/>
          <c:showSerName val="0"/>
          <c:showPercent val="1"/>
          <c:showBubbleSize val="0"/>
          <c:showLeaderLines val="1"/>
        </c:dLbls>
        <c:firstSliceAng val="0"/>
        <c:holeSize val="50"/>
      </c:doughnutChart>
      <c:spPr>
        <a:noFill/>
        <a:ln w="25400">
          <a:noFill/>
        </a:ln>
      </c:spPr>
    </c:plotArea>
    <c:legend>
      <c:legendPos val="r"/>
      <c:legendEntry>
        <c:idx val="2"/>
        <c:delete val="1"/>
      </c:legendEntry>
      <c:legendEntry>
        <c:idx val="3"/>
        <c:delete val="1"/>
      </c:legendEntry>
      <c:layout>
        <c:manualLayout>
          <c:xMode val="edge"/>
          <c:yMode val="edge"/>
          <c:x val="0.67664551883243895"/>
          <c:y val="0.24657703813224222"/>
          <c:w val="0.30591131253555282"/>
          <c:h val="0.64066207062545133"/>
        </c:manualLayout>
      </c:layout>
      <c:overlay val="0"/>
      <c:txPr>
        <a:bodyPr/>
        <a:lstStyle/>
        <a:p>
          <a:pPr>
            <a:defRPr b="1" i="0" baseline="0">
              <a:solidFill>
                <a:schemeClr val="tx1"/>
              </a:solidFill>
            </a:defRPr>
          </a:pPr>
          <a:endParaRPr lang="lv-LV"/>
        </a:p>
      </c:txPr>
    </c:legend>
    <c:plotVisOnly val="1"/>
    <c:dispBlanksAs val="gap"/>
    <c:showDLblsOverMax val="0"/>
  </c:chart>
  <c:spPr>
    <a:solidFill>
      <a:schemeClr val="bg1">
        <a:lumMod val="95000"/>
      </a:schemeClr>
    </a:solidFill>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userShapes r:id="rId2"/>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Kriminālvājāšanai saņemti kriminālprocesi</a:t>
            </a:r>
          </a:p>
        </c:rich>
      </c:tx>
      <c:layout>
        <c:manualLayout>
          <c:xMode val="edge"/>
          <c:yMode val="edge"/>
          <c:x val="0.15582550844246074"/>
          <c:y val="3.7037037037037035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3.3092659446450061E-2"/>
          <c:y val="0.2044001852709588"/>
          <c:w val="0.93381468110709986"/>
          <c:h val="0.66746805438247558"/>
        </c:manualLayout>
      </c:layout>
      <c:barChart>
        <c:barDir val="col"/>
        <c:grouping val="clustered"/>
        <c:varyColors val="0"/>
        <c:ser>
          <c:idx val="1"/>
          <c:order val="0"/>
          <c:tx>
            <c:strRef>
              <c:f>I_tiesas_apgabala_prok!$B$5:$B$7</c:f>
              <c:strCache>
                <c:ptCount val="3"/>
                <c:pt idx="0">
                  <c:v>2018</c:v>
                </c:pt>
                <c:pt idx="1">
                  <c:v>2019</c:v>
                </c:pt>
                <c:pt idx="2">
                  <c:v>2020</c:v>
                </c:pt>
              </c:strCache>
            </c:strRef>
          </c:tx>
          <c:spPr>
            <a:solidFill>
              <a:schemeClr val="accent2"/>
            </a:solidFill>
            <a:ln w="6350" cap="flat" cmpd="sng" algn="ctr">
              <a:solidFill>
                <a:schemeClr val="accent1">
                  <a:shade val="50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I_tiesas_apgabala_prok!$C$5:$C$7</c:f>
              <c:numCache>
                <c:formatCode>General</c:formatCode>
                <c:ptCount val="3"/>
                <c:pt idx="0">
                  <c:v>74</c:v>
                </c:pt>
                <c:pt idx="1">
                  <c:v>53</c:v>
                </c:pt>
                <c:pt idx="2">
                  <c:v>46</c:v>
                </c:pt>
              </c:numCache>
            </c:numRef>
          </c:val>
          <c:extLst>
            <c:ext xmlns:c16="http://schemas.microsoft.com/office/drawing/2014/chart" uri="{C3380CC4-5D6E-409C-BE32-E72D297353CC}">
              <c16:uniqueId val="{00000000-8405-451E-B58A-B3A908FCD2C7}"/>
            </c:ext>
          </c:extLst>
        </c:ser>
        <c:dLbls>
          <c:showLegendKey val="0"/>
          <c:showVal val="0"/>
          <c:showCatName val="0"/>
          <c:showSerName val="0"/>
          <c:showPercent val="0"/>
          <c:showBubbleSize val="0"/>
        </c:dLbls>
        <c:gapWidth val="150"/>
        <c:axId val="211601664"/>
        <c:axId val="237375488"/>
      </c:barChart>
      <c:catAx>
        <c:axId val="211601664"/>
        <c:scaling>
          <c:orientation val="minMax"/>
        </c:scaling>
        <c:delete val="0"/>
        <c:axPos val="b"/>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37375488"/>
        <c:crosses val="autoZero"/>
        <c:auto val="1"/>
        <c:lblAlgn val="ctr"/>
        <c:lblOffset val="100"/>
        <c:noMultiLvlLbl val="0"/>
      </c:catAx>
      <c:valAx>
        <c:axId val="237375488"/>
        <c:scaling>
          <c:orientation val="minMax"/>
        </c:scaling>
        <c:delete val="1"/>
        <c:axPos val="l"/>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crossAx val="211601664"/>
        <c:crosses val="autoZero"/>
        <c:crossBetween val="between"/>
      </c:valAx>
      <c:spPr>
        <a:solidFill>
          <a:schemeClr val="accent1">
            <a:tint val="20000"/>
          </a:schemeClr>
        </a:solidFill>
        <a:ln>
          <a:noFill/>
        </a:ln>
        <a:effectLst/>
      </c:spPr>
    </c:plotArea>
    <c:plotVisOnly val="1"/>
    <c:dispBlanksAs val="gap"/>
    <c:showDLblsOverMax val="0"/>
  </c:chart>
  <c:spPr>
    <a:solidFill>
      <a:schemeClr val="lt1"/>
    </a:solidFill>
    <a:ln w="6350" cap="flat" cmpd="sng" algn="ctr">
      <a:solidFill>
        <a:schemeClr val="tx2"/>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1" baseline="0">
                <a:solidFill>
                  <a:schemeClr val="tx1"/>
                </a:solidFill>
              </a:rPr>
              <a:t>Kriminālprocesa pabeigšanas veidi prokuratūrā</a:t>
            </a:r>
          </a:p>
          <a:p>
            <a:pPr algn="ctr">
              <a:defRPr sz="1400"/>
            </a:pPr>
            <a:r>
              <a:rPr lang="lv-LV" sz="1200" b="1" baseline="0">
                <a:solidFill>
                  <a:schemeClr val="tx1"/>
                </a:solidFill>
              </a:rPr>
              <a:t>2019. gadā</a:t>
            </a:r>
            <a:endParaRPr lang="lv-LV" sz="1200" b="1">
              <a:solidFill>
                <a:schemeClr val="tx1"/>
              </a:solidFill>
            </a:endParaRPr>
          </a:p>
        </c:rich>
      </c:tx>
      <c:layout>
        <c:manualLayout>
          <c:xMode val="edge"/>
          <c:yMode val="edge"/>
          <c:x val="0.13080982104930547"/>
          <c:y val="2.145539066690506E-2"/>
        </c:manualLayout>
      </c:layout>
      <c:overlay val="0"/>
      <c:spPr>
        <a:noFill/>
        <a:ln>
          <a:noFill/>
        </a:ln>
        <a:effectLst/>
      </c:spPr>
      <c:txPr>
        <a:bodyPr rot="0" spcFirstLastPara="1" vertOverflow="ellipsis" vert="horz" wrap="square" anchor="ctr" anchorCtr="1"/>
        <a:lstStyle/>
        <a:p>
          <a:pPr algn="ct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doughnutChart>
        <c:varyColors val="1"/>
        <c:ser>
          <c:idx val="0"/>
          <c:order val="0"/>
          <c:dPt>
            <c:idx val="0"/>
            <c:bubble3D val="0"/>
            <c:spPr>
              <a:solidFill>
                <a:schemeClr val="accent1"/>
              </a:solidFill>
              <a:ln w="6350" cap="flat" cmpd="sng" algn="ctr">
                <a:solidFill>
                  <a:schemeClr val="accent1">
                    <a:shade val="50000"/>
                  </a:schemeClr>
                </a:solidFill>
                <a:prstDash val="solid"/>
                <a:round/>
              </a:ln>
              <a:effectLst/>
            </c:spPr>
            <c:extLst>
              <c:ext xmlns:c16="http://schemas.microsoft.com/office/drawing/2014/chart" uri="{C3380CC4-5D6E-409C-BE32-E72D297353CC}">
                <c16:uniqueId val="{00000001-CD89-4CA4-A6B4-D99A42BB6EC0}"/>
              </c:ext>
            </c:extLst>
          </c:dPt>
          <c:dPt>
            <c:idx val="1"/>
            <c:bubble3D val="0"/>
            <c:spPr>
              <a:solidFill>
                <a:schemeClr val="accent2"/>
              </a:solidFill>
              <a:ln w="6350" cap="flat" cmpd="sng" algn="ctr">
                <a:solidFill>
                  <a:schemeClr val="accent2">
                    <a:shade val="50000"/>
                  </a:schemeClr>
                </a:solidFill>
                <a:prstDash val="solid"/>
                <a:round/>
              </a:ln>
              <a:effectLst/>
            </c:spPr>
            <c:extLst>
              <c:ext xmlns:c16="http://schemas.microsoft.com/office/drawing/2014/chart" uri="{C3380CC4-5D6E-409C-BE32-E72D297353CC}">
                <c16:uniqueId val="{00000003-CD89-4CA4-A6B4-D99A42BB6EC0}"/>
              </c:ext>
            </c:extLst>
          </c:dPt>
          <c:dPt>
            <c:idx val="2"/>
            <c:bubble3D val="0"/>
            <c:spPr>
              <a:solidFill>
                <a:schemeClr val="accent3"/>
              </a:solidFill>
              <a:ln w="6350" cap="flat" cmpd="sng" algn="ctr">
                <a:solidFill>
                  <a:schemeClr val="accent3">
                    <a:shade val="50000"/>
                  </a:schemeClr>
                </a:solidFill>
                <a:prstDash val="solid"/>
                <a:round/>
              </a:ln>
              <a:effectLst/>
            </c:spPr>
            <c:extLst>
              <c:ext xmlns:c16="http://schemas.microsoft.com/office/drawing/2014/chart" uri="{C3380CC4-5D6E-409C-BE32-E72D297353CC}">
                <c16:uniqueId val="{00000005-CD89-4CA4-A6B4-D99A42BB6EC0}"/>
              </c:ext>
            </c:extLst>
          </c:dPt>
          <c:dPt>
            <c:idx val="3"/>
            <c:bubble3D val="0"/>
            <c:spPr>
              <a:solidFill>
                <a:schemeClr val="accent4"/>
              </a:solidFill>
              <a:ln w="6350" cap="flat" cmpd="sng" algn="ctr">
                <a:solidFill>
                  <a:schemeClr val="accent4">
                    <a:shade val="50000"/>
                  </a:schemeClr>
                </a:solidFill>
                <a:prstDash val="solid"/>
                <a:round/>
              </a:ln>
              <a:effectLst/>
            </c:spPr>
            <c:extLst>
              <c:ext xmlns:c16="http://schemas.microsoft.com/office/drawing/2014/chart" uri="{C3380CC4-5D6E-409C-BE32-E72D297353CC}">
                <c16:uniqueId val="{00000007-CD89-4CA4-A6B4-D99A42BB6EC0}"/>
              </c:ext>
            </c:extLst>
          </c:dPt>
          <c:dPt>
            <c:idx val="4"/>
            <c:bubble3D val="0"/>
            <c:spPr>
              <a:solidFill>
                <a:schemeClr val="accent5"/>
              </a:solidFill>
              <a:ln w="6350" cap="flat" cmpd="sng" algn="ctr">
                <a:solidFill>
                  <a:schemeClr val="accent5">
                    <a:shade val="50000"/>
                  </a:schemeClr>
                </a:solidFill>
                <a:prstDash val="solid"/>
                <a:round/>
              </a:ln>
              <a:effectLst/>
            </c:spPr>
            <c:extLst>
              <c:ext xmlns:c16="http://schemas.microsoft.com/office/drawing/2014/chart" uri="{C3380CC4-5D6E-409C-BE32-E72D297353CC}">
                <c16:uniqueId val="{00000009-CD89-4CA4-A6B4-D99A42BB6EC0}"/>
              </c:ext>
            </c:extLst>
          </c:dPt>
          <c:dPt>
            <c:idx val="5"/>
            <c:bubble3D val="0"/>
            <c:spPr>
              <a:solidFill>
                <a:schemeClr val="accent6"/>
              </a:solidFill>
              <a:ln w="6350" cap="flat" cmpd="sng" algn="ctr">
                <a:solidFill>
                  <a:schemeClr val="accent6">
                    <a:shade val="50000"/>
                  </a:schemeClr>
                </a:solidFill>
                <a:prstDash val="solid"/>
                <a:round/>
              </a:ln>
              <a:effectLst/>
            </c:spPr>
            <c:extLst>
              <c:ext xmlns:c16="http://schemas.microsoft.com/office/drawing/2014/chart" uri="{C3380CC4-5D6E-409C-BE32-E72D297353CC}">
                <c16:uniqueId val="{0000000B-CD89-4CA4-A6B4-D99A42BB6EC0}"/>
              </c:ext>
            </c:extLst>
          </c:dPt>
          <c:dLbls>
            <c:dLbl>
              <c:idx val="2"/>
              <c:layout>
                <c:manualLayout>
                  <c:x val="0"/>
                  <c:y val="-9.84251968503930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89-4CA4-A6B4-D99A42BB6EC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6350" cap="flat" cmpd="sng" algn="ctr">
                  <a:solidFill>
                    <a:schemeClr val="dk1"/>
                  </a:solidFill>
                  <a:prstDash val="solid"/>
                  <a:round/>
                </a:ln>
                <a:effectLst/>
              </c:spPr>
            </c:leaderLines>
            <c:extLst>
              <c:ext xmlns:c15="http://schemas.microsoft.com/office/drawing/2012/chart" uri="{CE6537A1-D6FC-4f65-9D91-7224C49458BB}"/>
            </c:extLst>
          </c:dLbls>
          <c:cat>
            <c:strRef>
              <c:f>I_tiesas_apgabala_prok!$AR$6:$AR$11</c:f>
              <c:strCache>
                <c:ptCount val="5"/>
                <c:pt idx="0">
                  <c:v>Priekšraksti par sodu</c:v>
                </c:pt>
                <c:pt idx="1">
                  <c:v>Nosacīti atbrīvojot no kriminālatbildības</c:v>
                </c:pt>
                <c:pt idx="2">
                  <c:v>KPL 379.panta 1., 2.daļa</c:v>
                </c:pt>
                <c:pt idx="3">
                  <c:v>Izlīgumi (377.panta 9.punkts)</c:v>
                </c:pt>
                <c:pt idx="4">
                  <c:v>Citi</c:v>
                </c:pt>
              </c:strCache>
            </c:strRef>
          </c:cat>
          <c:val>
            <c:numRef>
              <c:f>I_tiesas_apgabala_prok!$AS$6:$AS$11</c:f>
              <c:numCache>
                <c:formatCode>General</c:formatCode>
                <c:ptCount val="6"/>
                <c:pt idx="0">
                  <c:v>1674</c:v>
                </c:pt>
                <c:pt idx="1">
                  <c:v>433</c:v>
                </c:pt>
                <c:pt idx="2">
                  <c:v>235</c:v>
                </c:pt>
                <c:pt idx="3">
                  <c:v>200</c:v>
                </c:pt>
                <c:pt idx="4">
                  <c:v>155</c:v>
                </c:pt>
              </c:numCache>
            </c:numRef>
          </c:val>
          <c:extLst>
            <c:ext xmlns:c16="http://schemas.microsoft.com/office/drawing/2014/chart" uri="{C3380CC4-5D6E-409C-BE32-E72D297353CC}">
              <c16:uniqueId val="{0000000C-CD89-4CA4-A6B4-D99A42BB6EC0}"/>
            </c:ext>
          </c:extLst>
        </c:ser>
        <c:dLbls>
          <c:showLegendKey val="0"/>
          <c:showVal val="0"/>
          <c:showCatName val="0"/>
          <c:showSerName val="0"/>
          <c:showPercent val="1"/>
          <c:showBubbleSize val="0"/>
          <c:showLeaderLines val="1"/>
        </c:dLbls>
        <c:firstSliceAng val="0"/>
        <c:holeSize val="52"/>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solidFill>
        <a:schemeClr val="dk1">
          <a:tint val="7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lv-LV" sz="1200" baseline="0">
                <a:solidFill>
                  <a:schemeClr val="tx1"/>
                </a:solidFill>
              </a:rPr>
              <a:t>Tiesai nodotas kimināllietas, no tām vienošanās procesa kārtībā</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2.8075548749361919E-2"/>
          <c:y val="0.2695340501792115"/>
          <c:w val="0.94384890250127618"/>
          <c:h val="0.56189935935427437"/>
        </c:manualLayout>
      </c:layout>
      <c:barChart>
        <c:barDir val="col"/>
        <c:grouping val="clustered"/>
        <c:varyColors val="0"/>
        <c:ser>
          <c:idx val="1"/>
          <c:order val="0"/>
          <c:tx>
            <c:strRef>
              <c:f>I_tiesas_apgabala_prok!$E$5:$E$7</c:f>
              <c:strCache>
                <c:ptCount val="3"/>
                <c:pt idx="0">
                  <c:v>2018</c:v>
                </c:pt>
                <c:pt idx="1">
                  <c:v>2019</c:v>
                </c:pt>
                <c:pt idx="2">
                  <c:v>2020</c:v>
                </c:pt>
              </c:strCache>
            </c:strRef>
          </c:tx>
          <c:spPr>
            <a:solidFill>
              <a:schemeClr val="accent3"/>
            </a:solidFill>
            <a:ln w="9525" cap="flat" cmpd="sng" algn="ctr">
              <a:solidFill>
                <a:schemeClr val="accent1">
                  <a:shade val="50000"/>
                  <a:shade val="95000"/>
                  <a:satMod val="105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I_tiesas_apgabala_prok!$F$5:$F$7</c:f>
              <c:numCache>
                <c:formatCode>General</c:formatCode>
                <c:ptCount val="3"/>
                <c:pt idx="0">
                  <c:v>43</c:v>
                </c:pt>
                <c:pt idx="1">
                  <c:v>48</c:v>
                </c:pt>
                <c:pt idx="2">
                  <c:v>34</c:v>
                </c:pt>
              </c:numCache>
            </c:numRef>
          </c:val>
          <c:extLst>
            <c:ext xmlns:c16="http://schemas.microsoft.com/office/drawing/2014/chart" uri="{C3380CC4-5D6E-409C-BE32-E72D297353CC}">
              <c16:uniqueId val="{00000000-255B-4EDB-8213-0C6DB3F98029}"/>
            </c:ext>
          </c:extLst>
        </c:ser>
        <c:ser>
          <c:idx val="0"/>
          <c:order val="1"/>
          <c:tx>
            <c:strRef>
              <c:f>I_tiesas_apgabala_prok!$E$5:$E$7</c:f>
              <c:strCache>
                <c:ptCount val="3"/>
                <c:pt idx="0">
                  <c:v>2018</c:v>
                </c:pt>
                <c:pt idx="1">
                  <c:v>2019</c:v>
                </c:pt>
                <c:pt idx="2">
                  <c:v>2020</c:v>
                </c:pt>
              </c:strCache>
            </c:strRef>
          </c:tx>
          <c:spPr>
            <a:solidFill>
              <a:schemeClr val="accent1"/>
            </a:solidFill>
            <a:ln w="9525" cap="flat" cmpd="sng" algn="ctr">
              <a:solidFill>
                <a:schemeClr val="accent1">
                  <a:shade val="50000"/>
                  <a:shade val="95000"/>
                  <a:satMod val="105000"/>
                </a:schemeClr>
              </a:solidFill>
              <a:prstDash val="solid"/>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I_tiesas_apgabala_prok!$G$5:$G$7</c:f>
              <c:numCache>
                <c:formatCode>General</c:formatCode>
                <c:ptCount val="3"/>
                <c:pt idx="0">
                  <c:v>19</c:v>
                </c:pt>
                <c:pt idx="1">
                  <c:v>15</c:v>
                </c:pt>
                <c:pt idx="2">
                  <c:v>6</c:v>
                </c:pt>
              </c:numCache>
            </c:numRef>
          </c:val>
          <c:extLst>
            <c:ext xmlns:c16="http://schemas.microsoft.com/office/drawing/2014/chart" uri="{C3380CC4-5D6E-409C-BE32-E72D297353CC}">
              <c16:uniqueId val="{00000001-255B-4EDB-8213-0C6DB3F98029}"/>
            </c:ext>
          </c:extLst>
        </c:ser>
        <c:dLbls>
          <c:showLegendKey val="0"/>
          <c:showVal val="0"/>
          <c:showCatName val="0"/>
          <c:showSerName val="0"/>
          <c:showPercent val="0"/>
          <c:showBubbleSize val="0"/>
        </c:dLbls>
        <c:gapWidth val="150"/>
        <c:axId val="51186688"/>
        <c:axId val="139997952"/>
      </c:barChart>
      <c:catAx>
        <c:axId val="51186688"/>
        <c:scaling>
          <c:orientation val="minMax"/>
        </c:scaling>
        <c:delete val="0"/>
        <c:axPos val="b"/>
        <c:numFmt formatCode="General" sourceLinked="1"/>
        <c:majorTickMark val="none"/>
        <c:minorTickMark val="none"/>
        <c:tickLblPos val="nextTo"/>
        <c:spPr>
          <a:noFill/>
          <a:ln w="9525" cap="flat" cmpd="sng" algn="ctr">
            <a:solidFill>
              <a:schemeClr val="dk1">
                <a:tint val="75000"/>
                <a:shade val="95000"/>
                <a:satMod val="10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39997952"/>
        <c:crosses val="autoZero"/>
        <c:auto val="1"/>
        <c:lblAlgn val="ctr"/>
        <c:lblOffset val="100"/>
        <c:noMultiLvlLbl val="0"/>
      </c:catAx>
      <c:valAx>
        <c:axId val="139997952"/>
        <c:scaling>
          <c:orientation val="minMax"/>
        </c:scaling>
        <c:delete val="1"/>
        <c:axPos val="l"/>
        <c:majorGridlines>
          <c:spPr>
            <a:ln w="9525" cap="flat" cmpd="sng" algn="ctr">
              <a:solidFill>
                <a:schemeClr val="dk1">
                  <a:tint val="75000"/>
                  <a:shade val="95000"/>
                  <a:satMod val="105000"/>
                </a:schemeClr>
              </a:solidFill>
              <a:prstDash val="solid"/>
              <a:round/>
            </a:ln>
            <a:effectLst/>
          </c:spPr>
        </c:majorGridlines>
        <c:numFmt formatCode="General" sourceLinked="1"/>
        <c:majorTickMark val="none"/>
        <c:minorTickMark val="none"/>
        <c:tickLblPos val="nextTo"/>
        <c:crossAx val="51186688"/>
        <c:crosses val="autoZero"/>
        <c:crossBetween val="between"/>
      </c:valAx>
      <c:spPr>
        <a:solidFill>
          <a:schemeClr val="accent1">
            <a:tint val="20000"/>
          </a:schemeClr>
        </a:solidFill>
        <a:ln>
          <a:noFill/>
        </a:ln>
        <a:effectLst/>
      </c:spPr>
    </c:plotArea>
    <c:plotVisOnly val="1"/>
    <c:dispBlanksAs val="gap"/>
    <c:showDLblsOverMax val="0"/>
  </c:chart>
  <c:spPr>
    <a:solidFill>
      <a:schemeClr val="lt1"/>
    </a:solidFill>
    <a:ln w="9525" cap="flat" cmpd="sng" algn="ctr">
      <a:solidFill>
        <a:schemeClr val="dk1">
          <a:tint val="75000"/>
          <a:shade val="95000"/>
          <a:satMod val="105000"/>
        </a:schemeClr>
      </a:solidFill>
      <a:prstDash val="solid"/>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baseline="0">
                <a:solidFill>
                  <a:schemeClr val="tx1"/>
                </a:solidFill>
              </a:defRPr>
            </a:pPr>
            <a:r>
              <a:rPr lang="lv-LV" sz="1200" b="1" i="0" baseline="0">
                <a:solidFill>
                  <a:schemeClr val="tx1"/>
                </a:solidFill>
                <a:effectLst/>
                <a:latin typeface="Times New Roman" panose="02020603050405020304" pitchFamily="18" charset="0"/>
                <a:cs typeface="Times New Roman" panose="02020603050405020304" pitchFamily="18" charset="0"/>
              </a:rPr>
              <a:t>Prokuratūrā pabeigti kriminālprocesi, nenododot krimināllietu tiesai</a:t>
            </a:r>
            <a:endParaRPr lang="lv-LV" sz="120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124741115628877"/>
          <c:y val="7.1077790808063882E-2"/>
        </c:manualLayout>
      </c:layout>
      <c:overlay val="0"/>
    </c:title>
    <c:autoTitleDeleted val="0"/>
    <c:plotArea>
      <c:layout/>
      <c:barChart>
        <c:barDir val="col"/>
        <c:grouping val="clustered"/>
        <c:varyColors val="1"/>
        <c:ser>
          <c:idx val="1"/>
          <c:order val="0"/>
          <c:tx>
            <c:strRef>
              <c:f>I_tiesas_apgabala_prok!$I$5:$I$7</c:f>
              <c:strCache>
                <c:ptCount val="3"/>
                <c:pt idx="0">
                  <c:v>2018</c:v>
                </c:pt>
                <c:pt idx="1">
                  <c:v>2019</c:v>
                </c:pt>
                <c:pt idx="2">
                  <c:v>2020</c:v>
                </c:pt>
              </c:strCache>
            </c:strRef>
          </c:tx>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I_tiesas_apgabala_prok!$B$5:$B$7</c:f>
              <c:numCache>
                <c:formatCode>General</c:formatCode>
                <c:ptCount val="3"/>
                <c:pt idx="0">
                  <c:v>2018</c:v>
                </c:pt>
                <c:pt idx="1">
                  <c:v>2019</c:v>
                </c:pt>
                <c:pt idx="2">
                  <c:v>2020</c:v>
                </c:pt>
              </c:numCache>
            </c:numRef>
          </c:cat>
          <c:val>
            <c:numRef>
              <c:f>I_tiesas_apgabala_prok!$J$5:$J$7</c:f>
              <c:numCache>
                <c:formatCode>General</c:formatCode>
                <c:ptCount val="3"/>
                <c:pt idx="0">
                  <c:v>6</c:v>
                </c:pt>
                <c:pt idx="1">
                  <c:v>7</c:v>
                </c:pt>
                <c:pt idx="2">
                  <c:v>8</c:v>
                </c:pt>
              </c:numCache>
            </c:numRef>
          </c:val>
          <c:extLst>
            <c:ext xmlns:c16="http://schemas.microsoft.com/office/drawing/2014/chart" uri="{C3380CC4-5D6E-409C-BE32-E72D297353CC}">
              <c16:uniqueId val="{00000000-E0F0-42BD-B990-98988A642EB1}"/>
            </c:ext>
          </c:extLst>
        </c:ser>
        <c:dLbls>
          <c:showLegendKey val="0"/>
          <c:showVal val="0"/>
          <c:showCatName val="0"/>
          <c:showSerName val="0"/>
          <c:showPercent val="0"/>
          <c:showBubbleSize val="0"/>
        </c:dLbls>
        <c:gapWidth val="150"/>
        <c:axId val="166366592"/>
        <c:axId val="166438400"/>
      </c:barChart>
      <c:catAx>
        <c:axId val="1663665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166438400"/>
        <c:crosses val="autoZero"/>
        <c:auto val="1"/>
        <c:lblAlgn val="ctr"/>
        <c:lblOffset val="100"/>
        <c:noMultiLvlLbl val="0"/>
      </c:catAx>
      <c:valAx>
        <c:axId val="166438400"/>
        <c:scaling>
          <c:orientation val="minMax"/>
        </c:scaling>
        <c:delete val="1"/>
        <c:axPos val="l"/>
        <c:majorGridlines/>
        <c:numFmt formatCode="General" sourceLinked="1"/>
        <c:majorTickMark val="none"/>
        <c:minorTickMark val="none"/>
        <c:tickLblPos val="nextTo"/>
        <c:crossAx val="1663665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400"/>
            </a:pPr>
            <a:r>
              <a:rPr lang="lv-LV" sz="1200">
                <a:solidFill>
                  <a:schemeClr val="tx1"/>
                </a:solidFill>
              </a:rPr>
              <a:t>Pabeigti kriminālprocesi</a:t>
            </a:r>
            <a:r>
              <a:rPr lang="lv-LV" sz="1200" baseline="0">
                <a:solidFill>
                  <a:schemeClr val="tx1"/>
                </a:solidFill>
              </a:rPr>
              <a:t> par atsevišķiem noziedzīgiem nodarījumiem (īpaši aktuāli)</a:t>
            </a:r>
            <a:r>
              <a:rPr lang="lv-LV" sz="1200"/>
              <a:t> </a:t>
            </a:r>
          </a:p>
        </c:rich>
      </c:tx>
      <c:layout>
        <c:manualLayout>
          <c:xMode val="edge"/>
          <c:yMode val="edge"/>
          <c:x val="0.10714560303335394"/>
          <c:y val="2.3916287344776587E-2"/>
        </c:manualLayout>
      </c:layout>
      <c:overlay val="0"/>
    </c:title>
    <c:autoTitleDeleted val="0"/>
    <c:plotArea>
      <c:layout>
        <c:manualLayout>
          <c:layoutTarget val="inner"/>
          <c:xMode val="edge"/>
          <c:yMode val="edge"/>
          <c:x val="4.8241300008544742E-2"/>
          <c:y val="0.205602665051484"/>
          <c:w val="0.58204834664045046"/>
          <c:h val="0.65632023372644033"/>
        </c:manualLayout>
      </c:layout>
      <c:barChart>
        <c:barDir val="col"/>
        <c:grouping val="clustered"/>
        <c:varyColors val="0"/>
        <c:ser>
          <c:idx val="0"/>
          <c:order val="0"/>
          <c:tx>
            <c:strRef>
              <c:f>I_tiesas_apgabala_prok!$M$4</c:f>
              <c:strCache>
                <c:ptCount val="1"/>
                <c:pt idx="0">
                  <c:v>Slepkavības (ieskaitot KL 125.p.3.d.)</c:v>
                </c:pt>
              </c:strCache>
            </c:strRef>
          </c:tx>
          <c:spPr>
            <a:solidFill>
              <a:srgbClr val="C00000"/>
            </a:solidFill>
          </c:spPr>
          <c:invertIfNegative val="0"/>
          <c:dLbls>
            <c:dLbl>
              <c:idx val="0"/>
              <c:layout>
                <c:manualLayout>
                  <c:x val="-1.0696103586667905E-17"/>
                  <c:y val="2.23037120359953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A7-482B-905C-26A50C1C7318}"/>
                </c:ext>
              </c:extLst>
            </c:dLbl>
            <c:dLbl>
              <c:idx val="2"/>
              <c:layout>
                <c:manualLayout>
                  <c:x val="-2.3337222870478411E-3"/>
                  <c:y val="-3.492255775720342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A7-482B-905C-26A50C1C7318}"/>
                </c:ext>
              </c:extLst>
            </c:dLbl>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I_tiesas_apgabala_prok!$M$5:$M$7</c:f>
              <c:numCache>
                <c:formatCode>General</c:formatCode>
                <c:ptCount val="3"/>
                <c:pt idx="0">
                  <c:v>2</c:v>
                </c:pt>
                <c:pt idx="1">
                  <c:v>0</c:v>
                </c:pt>
                <c:pt idx="2">
                  <c:v>3</c:v>
                </c:pt>
              </c:numCache>
            </c:numRef>
          </c:val>
          <c:extLst>
            <c:ext xmlns:c16="http://schemas.microsoft.com/office/drawing/2014/chart" uri="{C3380CC4-5D6E-409C-BE32-E72D297353CC}">
              <c16:uniqueId val="{00000000-ECA7-482B-905C-26A50C1C7318}"/>
            </c:ext>
          </c:extLst>
        </c:ser>
        <c:ser>
          <c:idx val="1"/>
          <c:order val="1"/>
          <c:tx>
            <c:strRef>
              <c:f>I_tiesas_apgabala_prok!$N$4</c:f>
              <c:strCache>
                <c:ptCount val="1"/>
                <c:pt idx="0">
                  <c:v>Noziegumi pret tikumību un dzimumneaizskaramību, kas izdarīti ar mazgadīgo vai nepilngadīgo 
          </c:v>
                </c:pt>
              </c:strCache>
            </c:strRef>
          </c:tx>
          <c:spPr>
            <a:solidFill>
              <a:schemeClr val="accent1"/>
            </a:solidFill>
          </c:spPr>
          <c:invertIfNegative val="0"/>
          <c:dLbls>
            <c:dLbl>
              <c:idx val="0"/>
              <c:layout>
                <c:manualLayout>
                  <c:x val="0"/>
                  <c:y val="1.76232586311326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A7-482B-905C-26A50C1C7318}"/>
                </c:ext>
              </c:extLst>
            </c:dLbl>
            <c:dLbl>
              <c:idx val="1"/>
              <c:layout>
                <c:manualLayout>
                  <c:x val="3.5252308174897849E-3"/>
                  <c:y val="6.1658830550926684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3.9689665701305547E-2"/>
                      <c:h val="0.51911158655279444"/>
                    </c:manualLayout>
                  </c15:layout>
                </c:ext>
                <c:ext xmlns:c16="http://schemas.microsoft.com/office/drawing/2014/chart" uri="{C3380CC4-5D6E-409C-BE32-E72D297353CC}">
                  <c16:uniqueId val="{0000000C-ECA7-482B-905C-26A50C1C7318}"/>
                </c:ext>
              </c:extLst>
            </c:dLbl>
            <c:dLbl>
              <c:idx val="2"/>
              <c:layout>
                <c:manualLayout>
                  <c:x val="-3.5005834305717621E-3"/>
                  <c:y val="4.8595483256900496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3337222870478413E-2"/>
                      <c:h val="0.15164835164835164"/>
                    </c:manualLayout>
                  </c15:layout>
                </c:ext>
                <c:ext xmlns:c16="http://schemas.microsoft.com/office/drawing/2014/chart" uri="{C3380CC4-5D6E-409C-BE32-E72D297353CC}">
                  <c16:uniqueId val="{00000008-ECA7-482B-905C-26A50C1C7318}"/>
                </c:ext>
              </c:extLst>
            </c:dLbl>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I_tiesas_apgabala_prok!$N$5:$N$7</c:f>
              <c:numCache>
                <c:formatCode>General</c:formatCode>
                <c:ptCount val="3"/>
                <c:pt idx="0">
                  <c:v>14</c:v>
                </c:pt>
                <c:pt idx="1">
                  <c:v>12</c:v>
                </c:pt>
                <c:pt idx="2">
                  <c:v>3</c:v>
                </c:pt>
              </c:numCache>
            </c:numRef>
          </c:val>
          <c:extLst>
            <c:ext xmlns:c16="http://schemas.microsoft.com/office/drawing/2014/chart" uri="{C3380CC4-5D6E-409C-BE32-E72D297353CC}">
              <c16:uniqueId val="{00000001-ECA7-482B-905C-26A50C1C7318}"/>
            </c:ext>
          </c:extLst>
        </c:ser>
        <c:ser>
          <c:idx val="2"/>
          <c:order val="2"/>
          <c:tx>
            <c:strRef>
              <c:f>I_tiesas_apgabala_prok!$O$4</c:f>
              <c:strCache>
                <c:ptCount val="1"/>
                <c:pt idx="0">
                  <c:v>Noziegumi pret īpašumu, ar ko radīts mantisks zaudējums lielā apmērā</c:v>
                </c:pt>
              </c:strCache>
            </c:strRef>
          </c:tx>
          <c:invertIfNegative val="0"/>
          <c:dLbls>
            <c:dLbl>
              <c:idx val="0"/>
              <c:layout>
                <c:manualLayout>
                  <c:x val="-2.1392207173335809E-17"/>
                  <c:y val="1.34308211473565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A7-482B-905C-26A50C1C7318}"/>
                </c:ext>
              </c:extLst>
            </c:dLbl>
            <c:dLbl>
              <c:idx val="1"/>
              <c:layout>
                <c:manualLayout>
                  <c:x val="0"/>
                  <c:y val="1.9942891753915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A7-482B-905C-26A50C1C7318}"/>
                </c:ext>
              </c:extLst>
            </c:dLbl>
            <c:spPr>
              <a:noFill/>
              <a:ln>
                <a:noFill/>
              </a:ln>
              <a:effectLst/>
            </c:spPr>
            <c:txPr>
              <a:bodyPr/>
              <a:lstStyle/>
              <a:p>
                <a:pPr>
                  <a:defRPr sz="1000" b="1" baseline="0">
                    <a:solidFill>
                      <a:schemeClr val="tx1"/>
                    </a:solidFill>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I_tiesas_apgabala_prok!$O$5:$O$7</c:f>
              <c:numCache>
                <c:formatCode>General</c:formatCode>
                <c:ptCount val="3"/>
                <c:pt idx="0">
                  <c:v>3</c:v>
                </c:pt>
                <c:pt idx="1">
                  <c:v>1</c:v>
                </c:pt>
                <c:pt idx="2">
                  <c:v>0</c:v>
                </c:pt>
              </c:numCache>
            </c:numRef>
          </c:val>
          <c:extLst>
            <c:ext xmlns:c16="http://schemas.microsoft.com/office/drawing/2014/chart" uri="{C3380CC4-5D6E-409C-BE32-E72D297353CC}">
              <c16:uniqueId val="{00000002-ECA7-482B-905C-26A50C1C7318}"/>
            </c:ext>
          </c:extLst>
        </c:ser>
        <c:ser>
          <c:idx val="3"/>
          <c:order val="3"/>
          <c:tx>
            <c:strRef>
              <c:f>I_tiesas_apgabala_prok!$P$4</c:f>
              <c:strCache>
                <c:ptCount val="1"/>
                <c:pt idx="0">
                  <c:v>Noziedzīgi iegūtu līdzekļu legalizēšana</c:v>
                </c:pt>
              </c:strCache>
            </c:strRef>
          </c:tx>
          <c:invertIfNegative val="0"/>
          <c:dLbls>
            <c:spPr>
              <a:noFill/>
              <a:ln>
                <a:noFill/>
              </a:ln>
              <a:effectLst/>
            </c:spPr>
            <c:txPr>
              <a:bodyPr/>
              <a:lstStyle/>
              <a:p>
                <a:pPr>
                  <a:defRPr sz="1000" b="1" baseline="0">
                    <a:solidFill>
                      <a:schemeClr val="tx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I_tiesas_apgabala_prok!$L$5:$L$7</c:f>
              <c:numCache>
                <c:formatCode>General</c:formatCode>
                <c:ptCount val="3"/>
                <c:pt idx="0">
                  <c:v>2018</c:v>
                </c:pt>
                <c:pt idx="1">
                  <c:v>2019</c:v>
                </c:pt>
                <c:pt idx="2">
                  <c:v>2020</c:v>
                </c:pt>
              </c:numCache>
            </c:numRef>
          </c:cat>
          <c:val>
            <c:numRef>
              <c:f>I_tiesas_apgabala_prok!$P$5:$P$7</c:f>
              <c:numCache>
                <c:formatCode>General</c:formatCode>
                <c:ptCount val="3"/>
                <c:pt idx="0">
                  <c:v>0</c:v>
                </c:pt>
                <c:pt idx="1">
                  <c:v>4</c:v>
                </c:pt>
                <c:pt idx="2">
                  <c:v>1</c:v>
                </c:pt>
              </c:numCache>
            </c:numRef>
          </c:val>
          <c:extLst>
            <c:ext xmlns:c16="http://schemas.microsoft.com/office/drawing/2014/chart" uri="{C3380CC4-5D6E-409C-BE32-E72D297353CC}">
              <c16:uniqueId val="{00000003-ECA7-482B-905C-26A50C1C7318}"/>
            </c:ext>
          </c:extLst>
        </c:ser>
        <c:dLbls>
          <c:showLegendKey val="0"/>
          <c:showVal val="0"/>
          <c:showCatName val="0"/>
          <c:showSerName val="0"/>
          <c:showPercent val="0"/>
          <c:showBubbleSize val="0"/>
        </c:dLbls>
        <c:gapWidth val="150"/>
        <c:axId val="145967360"/>
        <c:axId val="147392000"/>
        <c:extLst>
          <c:ext xmlns:c15="http://schemas.microsoft.com/office/drawing/2012/chart" uri="{02D57815-91ED-43cb-92C2-25804820EDAC}">
            <c15:filteredBarSeries>
              <c15:ser>
                <c:idx val="4"/>
                <c:order val="4"/>
                <c:tx>
                  <c:strRef>
                    <c:extLst>
                      <c:ext uri="{02D57815-91ED-43cb-92C2-25804820EDAC}">
                        <c15:formulaRef>
                          <c15:sqref>I_tiesas_apgabala_prok!$Q$4</c15:sqref>
                        </c15:formulaRef>
                      </c:ext>
                    </c:extLst>
                    <c:strCache>
                      <c:ptCount val="1"/>
                      <c:pt idx="0">
                        <c:v>Noziedzīgi nodarījumi valsts institūciju dienestā</c:v>
                      </c:pt>
                    </c:strCache>
                  </c:strRef>
                </c:tx>
                <c:spPr>
                  <a:solidFill>
                    <a:schemeClr val="accent6"/>
                  </a:solidFill>
                </c:spPr>
                <c:invertIfNegative val="0"/>
                <c:dLbls>
                  <c:spPr>
                    <a:noFill/>
                    <a:ln>
                      <a:noFill/>
                    </a:ln>
                    <a:effectLst/>
                  </c:spPr>
                  <c:txPr>
                    <a:bodyPr/>
                    <a:lstStyle/>
                    <a:p>
                      <a:pPr>
                        <a:defRPr sz="1200" b="1" baseline="0">
                          <a:solidFill>
                            <a:schemeClr val="tx1"/>
                          </a:solidFill>
                        </a:defRPr>
                      </a:pPr>
                      <a:endParaRPr lang="lv-LV"/>
                    </a:p>
                  </c:txPr>
                  <c:showLegendKey val="0"/>
                  <c:showVal val="1"/>
                  <c:showCatName val="0"/>
                  <c:showSerName val="0"/>
                  <c:showPercent val="0"/>
                  <c:showBubbleSize val="0"/>
                  <c:showLeaderLines val="0"/>
                  <c:extLst>
                    <c:ext uri="{CE6537A1-D6FC-4f65-9D91-7224C49458BB}">
                      <c15:showLeaderLines val="0"/>
                    </c:ext>
                  </c:extLst>
                </c:dLbls>
                <c:cat>
                  <c:numRef>
                    <c:extLst>
                      <c:ext uri="{02D57815-91ED-43cb-92C2-25804820EDAC}">
                        <c15:formulaRef>
                          <c15:sqref>I_tiesas_apgabala_prok!$L$5:$L$7</c15:sqref>
                        </c15:formulaRef>
                      </c:ext>
                    </c:extLst>
                    <c:numCache>
                      <c:formatCode>General</c:formatCode>
                      <c:ptCount val="3"/>
                      <c:pt idx="0">
                        <c:v>2018</c:v>
                      </c:pt>
                      <c:pt idx="1">
                        <c:v>2019</c:v>
                      </c:pt>
                      <c:pt idx="2">
                        <c:v>2020</c:v>
                      </c:pt>
                    </c:numCache>
                  </c:numRef>
                </c:cat>
                <c:val>
                  <c:numRef>
                    <c:extLst>
                      <c:ext uri="{02D57815-91ED-43cb-92C2-25804820EDAC}">
                        <c15:formulaRef>
                          <c15:sqref>I_tiesas_apgabala_prok!$Q$5:$Q$7</c15:sqref>
                        </c15:formulaRef>
                      </c:ext>
                    </c:extLst>
                    <c:numCache>
                      <c:formatCode>General</c:formatCode>
                      <c:ptCount val="3"/>
                      <c:pt idx="0">
                        <c:v>0</c:v>
                      </c:pt>
                      <c:pt idx="1">
                        <c:v>0</c:v>
                      </c:pt>
                      <c:pt idx="2">
                        <c:v>0</c:v>
                      </c:pt>
                    </c:numCache>
                  </c:numRef>
                </c:val>
                <c:extLst>
                  <c:ext xmlns:c16="http://schemas.microsoft.com/office/drawing/2014/chart" uri="{C3380CC4-5D6E-409C-BE32-E72D297353CC}">
                    <c16:uniqueId val="{00000004-ECA7-482B-905C-26A50C1C7318}"/>
                  </c:ext>
                </c:extLst>
              </c15:ser>
            </c15:filteredBarSeries>
          </c:ext>
        </c:extLst>
      </c:barChart>
      <c:catAx>
        <c:axId val="145967360"/>
        <c:scaling>
          <c:orientation val="minMax"/>
        </c:scaling>
        <c:delete val="0"/>
        <c:axPos val="b"/>
        <c:numFmt formatCode="General" sourceLinked="1"/>
        <c:majorTickMark val="none"/>
        <c:minorTickMark val="none"/>
        <c:tickLblPos val="nextTo"/>
        <c:txPr>
          <a:bodyPr/>
          <a:lstStyle/>
          <a:p>
            <a:pPr>
              <a:defRPr sz="1000" b="1" baseline="0">
                <a:solidFill>
                  <a:schemeClr val="tx1"/>
                </a:solidFill>
              </a:defRPr>
            </a:pPr>
            <a:endParaRPr lang="lv-LV"/>
          </a:p>
        </c:txPr>
        <c:crossAx val="147392000"/>
        <c:crosses val="autoZero"/>
        <c:auto val="1"/>
        <c:lblAlgn val="ctr"/>
        <c:lblOffset val="100"/>
        <c:noMultiLvlLbl val="0"/>
      </c:catAx>
      <c:valAx>
        <c:axId val="147392000"/>
        <c:scaling>
          <c:orientation val="minMax"/>
        </c:scaling>
        <c:delete val="1"/>
        <c:axPos val="l"/>
        <c:majorGridlines/>
        <c:numFmt formatCode="General" sourceLinked="1"/>
        <c:majorTickMark val="none"/>
        <c:minorTickMark val="none"/>
        <c:tickLblPos val="nextTo"/>
        <c:crossAx val="145967360"/>
        <c:crosses val="autoZero"/>
        <c:crossBetween val="between"/>
      </c:valAx>
      <c:spPr>
        <a:solidFill>
          <a:schemeClr val="bg1">
            <a:lumMod val="95000"/>
          </a:schemeClr>
        </a:solidFill>
      </c:spPr>
    </c:plotArea>
    <c:legend>
      <c:legendPos val="r"/>
      <c:layout>
        <c:manualLayout>
          <c:xMode val="edge"/>
          <c:yMode val="edge"/>
          <c:x val="0.69670913095865705"/>
          <c:y val="0.20561628907436674"/>
          <c:w val="0.28822021518022034"/>
          <c:h val="0.69875850134117856"/>
        </c:manualLayout>
      </c:layout>
      <c:overlay val="1"/>
      <c:txPr>
        <a:bodyPr/>
        <a:lstStyle/>
        <a:p>
          <a:pPr>
            <a:defRPr sz="800" b="1" i="0" baseline="0">
              <a:solidFill>
                <a:schemeClr val="tx1"/>
              </a:solidFill>
            </a:defRPr>
          </a:pPr>
          <a:endParaRPr lang="lv-LV"/>
        </a:p>
      </c:txPr>
    </c:legend>
    <c:plotVisOnly val="1"/>
    <c:dispBlanksAs val="gap"/>
    <c:showDLblsOverMax val="0"/>
  </c:chart>
  <c:spPr>
    <a:solidFill>
      <a:schemeClr val="accent2">
        <a:lumMod val="20000"/>
        <a:lumOff val="80000"/>
      </a:schemeClr>
    </a:solidFill>
    <a:ln>
      <a:solidFill>
        <a:schemeClr val="tx2"/>
      </a:solidFill>
    </a:ln>
  </c:spPr>
  <c:txPr>
    <a:bodyPr/>
    <a:lstStyle/>
    <a:p>
      <a:pPr>
        <a:defRPr baseline="0">
          <a:solidFill>
            <a:schemeClr val="tx2"/>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Prokuroru uzraudzībā pieņemti kriminālprocesi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501616511419219"/>
          <c:y val="4.8467212349444462E-2"/>
        </c:manualLayout>
      </c:layout>
      <c:overlay val="0"/>
    </c:title>
    <c:autoTitleDeleted val="0"/>
    <c:plotArea>
      <c:layout/>
      <c:lineChart>
        <c:grouping val="standard"/>
        <c:varyColors val="0"/>
        <c:ser>
          <c:idx val="1"/>
          <c:order val="0"/>
          <c:tx>
            <c:strRef>
              <c:f>I_tiesas_apgabala_prok!$S$5:$S$7</c:f>
              <c:strCache>
                <c:ptCount val="3"/>
                <c:pt idx="0">
                  <c:v>2018</c:v>
                </c:pt>
                <c:pt idx="1">
                  <c:v>2019</c:v>
                </c:pt>
                <c:pt idx="2">
                  <c:v>2020</c:v>
                </c:pt>
              </c:strCache>
            </c:strRef>
          </c:tx>
          <c:marker>
            <c:symbol val="none"/>
          </c:marker>
          <c:dLbls>
            <c:dLbl>
              <c:idx val="0"/>
              <c:layout>
                <c:manualLayout>
                  <c:x val="-6.3465552308552525E-2"/>
                  <c:y val="-7.607133484602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1C-4D3E-80FB-44877B871C52}"/>
                </c:ext>
              </c:extLst>
            </c:dLbl>
            <c:dLbl>
              <c:idx val="1"/>
              <c:layout>
                <c:manualLayout>
                  <c:x val="-7.4043144359978011E-2"/>
                  <c:y val="-4.7544584278765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1C-4D3E-80FB-44877B871C52}"/>
                </c:ext>
              </c:extLst>
            </c:dLbl>
            <c:dLbl>
              <c:idx val="2"/>
              <c:layout>
                <c:manualLayout>
                  <c:x val="-1.4103456068567227E-2"/>
                  <c:y val="-4.754458427876550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1C-4D3E-80FB-44877B871C52}"/>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I_tiesas_apgabala_prok!$T$5:$T$7</c:f>
              <c:numCache>
                <c:formatCode>General</c:formatCode>
                <c:ptCount val="3"/>
                <c:pt idx="0">
                  <c:v>108</c:v>
                </c:pt>
                <c:pt idx="1">
                  <c:v>113</c:v>
                </c:pt>
                <c:pt idx="2">
                  <c:v>115</c:v>
                </c:pt>
              </c:numCache>
            </c:numRef>
          </c:val>
          <c:smooth val="0"/>
          <c:extLst>
            <c:ext xmlns:c16="http://schemas.microsoft.com/office/drawing/2014/chart" uri="{C3380CC4-5D6E-409C-BE32-E72D297353CC}">
              <c16:uniqueId val="{00000003-031C-4D3E-80FB-44877B871C52}"/>
            </c:ext>
          </c:extLst>
        </c:ser>
        <c:dLbls>
          <c:showLegendKey val="0"/>
          <c:showVal val="0"/>
          <c:showCatName val="0"/>
          <c:showSerName val="0"/>
          <c:showPercent val="0"/>
          <c:showBubbleSize val="0"/>
        </c:dLbls>
        <c:smooth val="0"/>
        <c:axId val="290766208"/>
        <c:axId val="291205888"/>
      </c:lineChart>
      <c:catAx>
        <c:axId val="29076620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1205888"/>
        <c:crosses val="autoZero"/>
        <c:auto val="1"/>
        <c:lblAlgn val="ctr"/>
        <c:lblOffset val="100"/>
        <c:noMultiLvlLbl val="0"/>
      </c:catAx>
      <c:valAx>
        <c:axId val="291205888"/>
        <c:scaling>
          <c:orientation val="minMax"/>
        </c:scaling>
        <c:delete val="1"/>
        <c:axPos val="l"/>
        <c:majorGridlines/>
        <c:numFmt formatCode="General" sourceLinked="1"/>
        <c:majorTickMark val="none"/>
        <c:minorTickMark val="none"/>
        <c:tickLblPos val="nextTo"/>
        <c:crossAx val="29076620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Prokuroru dotie norādījumi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9242513871145626"/>
          <c:y val="5.6745908534742796E-2"/>
        </c:manualLayout>
      </c:layout>
      <c:overlay val="0"/>
    </c:title>
    <c:autoTitleDeleted val="0"/>
    <c:plotArea>
      <c:layout>
        <c:manualLayout>
          <c:layoutTarget val="inner"/>
          <c:xMode val="edge"/>
          <c:yMode val="edge"/>
          <c:x val="3.0549696076629222E-2"/>
          <c:y val="0.35285715388255068"/>
          <c:w val="0.94399222385951309"/>
          <c:h val="0.43214849494277263"/>
        </c:manualLayout>
      </c:layout>
      <c:lineChart>
        <c:grouping val="standard"/>
        <c:varyColors val="0"/>
        <c:ser>
          <c:idx val="1"/>
          <c:order val="0"/>
          <c:tx>
            <c:strRef>
              <c:f>I_tiesas_apgabala_prok!$V$6:$V$8</c:f>
              <c:strCache>
                <c:ptCount val="3"/>
                <c:pt idx="0">
                  <c:v>2018</c:v>
                </c:pt>
                <c:pt idx="1">
                  <c:v>2019</c:v>
                </c:pt>
                <c:pt idx="2">
                  <c:v>2020</c:v>
                </c:pt>
              </c:strCache>
            </c:strRef>
          </c:tx>
          <c:marker>
            <c:symbol val="none"/>
          </c:marker>
          <c:dLbls>
            <c:dLbl>
              <c:idx val="0"/>
              <c:layout>
                <c:manualLayout>
                  <c:x val="-4.0732928102172293E-2"/>
                  <c:y val="-6.03174622021454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AC-4417-8FC9-B005430F799E}"/>
                </c:ext>
              </c:extLst>
            </c:dLbl>
            <c:dLbl>
              <c:idx val="1"/>
              <c:layout>
                <c:manualLayout>
                  <c:x val="-4.0732928102172293E-2"/>
                  <c:y val="-7.53968277526817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AC-4417-8FC9-B005430F799E}"/>
                </c:ext>
              </c:extLst>
            </c:dLbl>
            <c:dLbl>
              <c:idx val="2"/>
              <c:layout>
                <c:manualLayout>
                  <c:x val="-4.073292810217239E-2"/>
                  <c:y val="-5.2777779426877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AC-4417-8FC9-B005430F799E}"/>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I_tiesas_apgabala_prok!$W$6:$W$8</c:f>
              <c:numCache>
                <c:formatCode>General</c:formatCode>
                <c:ptCount val="3"/>
                <c:pt idx="0">
                  <c:v>135</c:v>
                </c:pt>
                <c:pt idx="1">
                  <c:v>186</c:v>
                </c:pt>
                <c:pt idx="2">
                  <c:v>154</c:v>
                </c:pt>
              </c:numCache>
            </c:numRef>
          </c:val>
          <c:smooth val="0"/>
          <c:extLst>
            <c:ext xmlns:c16="http://schemas.microsoft.com/office/drawing/2014/chart" uri="{C3380CC4-5D6E-409C-BE32-E72D297353CC}">
              <c16:uniqueId val="{00000003-01AC-4417-8FC9-B005430F799E}"/>
            </c:ext>
          </c:extLst>
        </c:ser>
        <c:dLbls>
          <c:showLegendKey val="0"/>
          <c:showVal val="0"/>
          <c:showCatName val="0"/>
          <c:showSerName val="0"/>
          <c:showPercent val="0"/>
          <c:showBubbleSize val="0"/>
        </c:dLbls>
        <c:smooth val="0"/>
        <c:axId val="291300864"/>
        <c:axId val="291444608"/>
      </c:lineChart>
      <c:catAx>
        <c:axId val="29130086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1444608"/>
        <c:crosses val="autoZero"/>
        <c:auto val="1"/>
        <c:lblAlgn val="ctr"/>
        <c:lblOffset val="100"/>
        <c:noMultiLvlLbl val="0"/>
      </c:catAx>
      <c:valAx>
        <c:axId val="291444608"/>
        <c:scaling>
          <c:orientation val="minMax"/>
        </c:scaling>
        <c:delete val="1"/>
        <c:axPos val="l"/>
        <c:majorGridlines/>
        <c:numFmt formatCode="General" sourceLinked="1"/>
        <c:majorTickMark val="none"/>
        <c:minorTickMark val="none"/>
        <c:tickLblPos val="nextTo"/>
        <c:crossAx val="2913008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600"/>
            </a:pPr>
            <a:r>
              <a:rPr lang="lv-LV" sz="1200" b="1" i="0" baseline="0">
                <a:solidFill>
                  <a:schemeClr val="tx1"/>
                </a:solidFill>
                <a:effectLst/>
                <a:latin typeface="Times New Roman" panose="02020603050405020304" pitchFamily="18" charset="0"/>
                <a:cs typeface="Times New Roman" panose="02020603050405020304" pitchFamily="18" charset="0"/>
              </a:rPr>
              <a:t>Valsts apsūdzības uzturēšana pirmās instances tiesā (izskatītas krimināllietas), no tām ar pierādījumu pārbaudi</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3322557036139712"/>
          <c:y val="2.7610598448949537E-2"/>
        </c:manualLayout>
      </c:layout>
      <c:overlay val="0"/>
    </c:title>
    <c:autoTitleDeleted val="0"/>
    <c:plotArea>
      <c:layout>
        <c:manualLayout>
          <c:layoutTarget val="inner"/>
          <c:xMode val="edge"/>
          <c:yMode val="edge"/>
          <c:x val="2.1940928270042195E-2"/>
          <c:y val="0.32077766297312382"/>
          <c:w val="0.96286919831223627"/>
          <c:h val="0.56751772544269075"/>
        </c:manualLayout>
      </c:layout>
      <c:barChart>
        <c:barDir val="col"/>
        <c:grouping val="clustered"/>
        <c:varyColors val="0"/>
        <c:ser>
          <c:idx val="1"/>
          <c:order val="0"/>
          <c:tx>
            <c:strRef>
              <c:f>I_tiesas_apgabala_prok!$Y$6:$Y$8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I_tiesas_apgabala_prok!$Z$6:$Z$8</c:f>
              <c:numCache>
                <c:formatCode>General</c:formatCode>
                <c:ptCount val="3"/>
                <c:pt idx="0">
                  <c:v>63</c:v>
                </c:pt>
                <c:pt idx="1">
                  <c:v>53</c:v>
                </c:pt>
                <c:pt idx="2">
                  <c:v>50</c:v>
                </c:pt>
              </c:numCache>
            </c:numRef>
          </c:val>
          <c:extLst>
            <c:ext xmlns:c16="http://schemas.microsoft.com/office/drawing/2014/chart" uri="{C3380CC4-5D6E-409C-BE32-E72D297353CC}">
              <c16:uniqueId val="{00000000-BD04-4519-B704-6A118F02A723}"/>
            </c:ext>
          </c:extLst>
        </c:ser>
        <c:ser>
          <c:idx val="0"/>
          <c:order val="1"/>
          <c:tx>
            <c:strRef>
              <c:f>I_tiesas_apgabala_prok!$Y$6:$Y$8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I_tiesas_apgabala_prok!$AA$6:$AA$8</c:f>
              <c:numCache>
                <c:formatCode>General</c:formatCode>
                <c:ptCount val="3"/>
                <c:pt idx="0">
                  <c:v>47</c:v>
                </c:pt>
                <c:pt idx="1">
                  <c:v>31</c:v>
                </c:pt>
                <c:pt idx="2">
                  <c:v>37</c:v>
                </c:pt>
              </c:numCache>
            </c:numRef>
          </c:val>
          <c:extLst>
            <c:ext xmlns:c16="http://schemas.microsoft.com/office/drawing/2014/chart" uri="{C3380CC4-5D6E-409C-BE32-E72D297353CC}">
              <c16:uniqueId val="{00000001-BD04-4519-B704-6A118F02A723}"/>
            </c:ext>
          </c:extLst>
        </c:ser>
        <c:dLbls>
          <c:showLegendKey val="0"/>
          <c:showVal val="0"/>
          <c:showCatName val="0"/>
          <c:showSerName val="0"/>
          <c:showPercent val="0"/>
          <c:showBubbleSize val="0"/>
        </c:dLbls>
        <c:gapWidth val="150"/>
        <c:axId val="293905536"/>
        <c:axId val="294287616"/>
      </c:barChart>
      <c:catAx>
        <c:axId val="293905536"/>
        <c:scaling>
          <c:orientation val="minMax"/>
        </c:scaling>
        <c:delete val="0"/>
        <c:axPos val="b"/>
        <c:numFmt formatCode="General" sourceLinked="1"/>
        <c:majorTickMark val="none"/>
        <c:minorTickMark val="none"/>
        <c:tickLblPos val="nextTo"/>
        <c:txPr>
          <a:bodyPr/>
          <a:lstStyle/>
          <a:p>
            <a:pPr>
              <a:defRPr sz="1000" b="1">
                <a:solidFill>
                  <a:schemeClr val="tx1"/>
                </a:solidFill>
                <a:latin typeface="Times New Roman" panose="02020603050405020304" pitchFamily="18" charset="0"/>
                <a:cs typeface="Times New Roman" panose="02020603050405020304" pitchFamily="18" charset="0"/>
              </a:defRPr>
            </a:pPr>
            <a:endParaRPr lang="lv-LV"/>
          </a:p>
        </c:txPr>
        <c:crossAx val="294287616"/>
        <c:crosses val="autoZero"/>
        <c:auto val="1"/>
        <c:lblAlgn val="ctr"/>
        <c:lblOffset val="100"/>
        <c:noMultiLvlLbl val="0"/>
      </c:catAx>
      <c:valAx>
        <c:axId val="294287616"/>
        <c:scaling>
          <c:orientation val="minMax"/>
        </c:scaling>
        <c:delete val="1"/>
        <c:axPos val="l"/>
        <c:majorGridlines/>
        <c:numFmt formatCode="General" sourceLinked="1"/>
        <c:majorTickMark val="none"/>
        <c:minorTickMark val="none"/>
        <c:tickLblPos val="nextTo"/>
        <c:crossAx val="293905536"/>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400"/>
            </a:pPr>
            <a:r>
              <a:rPr lang="lv-LV" sz="1200" b="1" i="0" baseline="0">
                <a:solidFill>
                  <a:schemeClr val="tx1"/>
                </a:solidFill>
                <a:effectLst/>
                <a:latin typeface="Times New Roman" panose="02020603050405020304" pitchFamily="18" charset="0"/>
                <a:cs typeface="Times New Roman" panose="02020603050405020304" pitchFamily="18" charset="0"/>
              </a:rPr>
              <a:t>Valsts apsūdzības uzturēšana apelācijas instances tiesā (izskatītas krimināllietas), no tām mutvārdu/rakstveida procesā</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1971584305663005"/>
          <c:y val="2.7613358674993212E-2"/>
        </c:manualLayout>
      </c:layout>
      <c:overlay val="0"/>
    </c:title>
    <c:autoTitleDeleted val="0"/>
    <c:plotArea>
      <c:layout/>
      <c:barChart>
        <c:barDir val="col"/>
        <c:grouping val="clustered"/>
        <c:varyColors val="0"/>
        <c:ser>
          <c:idx val="1"/>
          <c:order val="0"/>
          <c:tx>
            <c:strRef>
              <c:f>I_tiesas_apgabala_prok!$AC$6:$AC$8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I_tiesas_apgabala_prok!$AD$6:$AD$8</c:f>
              <c:numCache>
                <c:formatCode>General</c:formatCode>
                <c:ptCount val="3"/>
                <c:pt idx="0">
                  <c:v>58</c:v>
                </c:pt>
                <c:pt idx="1">
                  <c:v>54</c:v>
                </c:pt>
                <c:pt idx="2">
                  <c:v>39</c:v>
                </c:pt>
              </c:numCache>
            </c:numRef>
          </c:val>
          <c:extLst>
            <c:ext xmlns:c16="http://schemas.microsoft.com/office/drawing/2014/chart" uri="{C3380CC4-5D6E-409C-BE32-E72D297353CC}">
              <c16:uniqueId val="{00000000-25C0-4AF3-8782-3579FB461680}"/>
            </c:ext>
          </c:extLst>
        </c:ser>
        <c:ser>
          <c:idx val="0"/>
          <c:order val="1"/>
          <c:tx>
            <c:strRef>
              <c:f>I_tiesas_apgabala_prok!$AC$6:$AC$8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I_tiesas_apgabala_prok!$AE$6:$AE$8</c:f>
              <c:numCache>
                <c:formatCode>General</c:formatCode>
                <c:ptCount val="3"/>
                <c:pt idx="0">
                  <c:v>0</c:v>
                </c:pt>
                <c:pt idx="1">
                  <c:v>4</c:v>
                </c:pt>
                <c:pt idx="2">
                  <c:v>4</c:v>
                </c:pt>
              </c:numCache>
            </c:numRef>
          </c:val>
          <c:extLst>
            <c:ext xmlns:c16="http://schemas.microsoft.com/office/drawing/2014/chart" uri="{C3380CC4-5D6E-409C-BE32-E72D297353CC}">
              <c16:uniqueId val="{00000001-25C0-4AF3-8782-3579FB461680}"/>
            </c:ext>
          </c:extLst>
        </c:ser>
        <c:dLbls>
          <c:showLegendKey val="0"/>
          <c:showVal val="0"/>
          <c:showCatName val="0"/>
          <c:showSerName val="0"/>
          <c:showPercent val="0"/>
          <c:showBubbleSize val="0"/>
        </c:dLbls>
        <c:gapWidth val="150"/>
        <c:axId val="305371392"/>
        <c:axId val="307386624"/>
      </c:barChart>
      <c:catAx>
        <c:axId val="305371392"/>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307386624"/>
        <c:crosses val="autoZero"/>
        <c:auto val="1"/>
        <c:lblAlgn val="ctr"/>
        <c:lblOffset val="100"/>
        <c:noMultiLvlLbl val="0"/>
      </c:catAx>
      <c:valAx>
        <c:axId val="307386624"/>
        <c:scaling>
          <c:orientation val="minMax"/>
        </c:scaling>
        <c:delete val="1"/>
        <c:axPos val="l"/>
        <c:majorGridlines/>
        <c:numFmt formatCode="General" sourceLinked="1"/>
        <c:majorTickMark val="none"/>
        <c:minorTickMark val="none"/>
        <c:tickLblPos val="nextTo"/>
        <c:crossAx val="305371392"/>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100" b="1" i="0" baseline="0">
                <a:solidFill>
                  <a:schemeClr val="tx1"/>
                </a:solidFill>
                <a:effectLst/>
                <a:latin typeface="Times New Roman" panose="02020603050405020304" pitchFamily="18" charset="0"/>
                <a:cs typeface="Times New Roman" panose="02020603050405020304" pitchFamily="18" charset="0"/>
              </a:rPr>
              <a:t>Iesniegti protesti, no tiem apmierināti</a:t>
            </a:r>
            <a:endParaRPr lang="lv-LV" sz="11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0970481889763778"/>
          <c:y val="7.5232470941132362E-2"/>
        </c:manualLayout>
      </c:layout>
      <c:overlay val="0"/>
    </c:title>
    <c:autoTitleDeleted val="0"/>
    <c:plotArea>
      <c:layout/>
      <c:barChart>
        <c:barDir val="col"/>
        <c:grouping val="clustered"/>
        <c:varyColors val="0"/>
        <c:ser>
          <c:idx val="1"/>
          <c:order val="0"/>
          <c:tx>
            <c:strRef>
              <c:f>I_tiesas_apgabala_prok!$AG$6:$AG$8</c:f>
              <c:strCache>
                <c:ptCount val="3"/>
                <c:pt idx="0">
                  <c:v>2018</c:v>
                </c:pt>
                <c:pt idx="1">
                  <c:v>2019</c:v>
                </c:pt>
                <c:pt idx="2">
                  <c:v>2020</c:v>
                </c:pt>
              </c:strCache>
            </c:strRef>
          </c:tx>
          <c:spPr>
            <a:solidFill>
              <a:schemeClr val="accent5">
                <a:lumMod val="60000"/>
                <a:lumOff val="40000"/>
              </a:schemeClr>
            </a:solidFill>
          </c:spPr>
          <c:invertIfNegative val="0"/>
          <c:dLbls>
            <c:dLbl>
              <c:idx val="2"/>
              <c:layout>
                <c:manualLayout>
                  <c:x val="-1.1846928302131689E-16"/>
                  <c:y val="0.1199923894271580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18F-44FB-A2D1-4A3174CFB5AB}"/>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I_tiesas_apgabala_prok!$AH$6:$AH$8</c:f>
              <c:numCache>
                <c:formatCode>General</c:formatCode>
                <c:ptCount val="3"/>
                <c:pt idx="0">
                  <c:v>9</c:v>
                </c:pt>
                <c:pt idx="1">
                  <c:v>15</c:v>
                </c:pt>
                <c:pt idx="2">
                  <c:v>4</c:v>
                </c:pt>
              </c:numCache>
            </c:numRef>
          </c:val>
          <c:extLst>
            <c:ext xmlns:c16="http://schemas.microsoft.com/office/drawing/2014/chart" uri="{C3380CC4-5D6E-409C-BE32-E72D297353CC}">
              <c16:uniqueId val="{00000000-B18F-44FB-A2D1-4A3174CFB5AB}"/>
            </c:ext>
          </c:extLst>
        </c:ser>
        <c:ser>
          <c:idx val="0"/>
          <c:order val="1"/>
          <c:tx>
            <c:strRef>
              <c:f>I_tiesas_apgabala_prok!$AG$6:$AG$8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0"/>
                  <c:y val="2.8656148464713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18F-44FB-A2D1-4A3174CFB5AB}"/>
                </c:ext>
              </c:extLst>
            </c:dLbl>
            <c:dLbl>
              <c:idx val="2"/>
              <c:layout>
                <c:manualLayout>
                  <c:x val="0"/>
                  <c:y val="2.06890898203276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8F-44FB-A2D1-4A3174CFB5AB}"/>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I_tiesas_apgabala_prok!$AI$6:$AI$8</c:f>
              <c:numCache>
                <c:formatCode>General</c:formatCode>
                <c:ptCount val="3"/>
                <c:pt idx="0">
                  <c:v>3</c:v>
                </c:pt>
                <c:pt idx="1">
                  <c:v>8</c:v>
                </c:pt>
                <c:pt idx="2">
                  <c:v>1</c:v>
                </c:pt>
              </c:numCache>
            </c:numRef>
          </c:val>
          <c:extLst>
            <c:ext xmlns:c16="http://schemas.microsoft.com/office/drawing/2014/chart" uri="{C3380CC4-5D6E-409C-BE32-E72D297353CC}">
              <c16:uniqueId val="{00000002-B18F-44FB-A2D1-4A3174CFB5AB}"/>
            </c:ext>
          </c:extLst>
        </c:ser>
        <c:dLbls>
          <c:showLegendKey val="0"/>
          <c:showVal val="0"/>
          <c:showCatName val="0"/>
          <c:showSerName val="0"/>
          <c:showPercent val="0"/>
          <c:showBubbleSize val="0"/>
        </c:dLbls>
        <c:gapWidth val="150"/>
        <c:axId val="308870144"/>
        <c:axId val="308871936"/>
      </c:barChart>
      <c:catAx>
        <c:axId val="30887014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308871936"/>
        <c:crosses val="autoZero"/>
        <c:auto val="1"/>
        <c:lblAlgn val="ctr"/>
        <c:lblOffset val="100"/>
        <c:noMultiLvlLbl val="0"/>
      </c:catAx>
      <c:valAx>
        <c:axId val="308871936"/>
        <c:scaling>
          <c:orientation val="minMax"/>
        </c:scaling>
        <c:delete val="1"/>
        <c:axPos val="l"/>
        <c:majorGridlines/>
        <c:numFmt formatCode="General" sourceLinked="1"/>
        <c:majorTickMark val="none"/>
        <c:minorTickMark val="none"/>
        <c:tickLblPos val="nextTo"/>
        <c:crossAx val="30887014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200"/>
            </a:pPr>
            <a:r>
              <a:rPr lang="lv-LV" sz="1200" b="1" i="0" baseline="0">
                <a:solidFill>
                  <a:schemeClr val="tx1"/>
                </a:solidFill>
                <a:effectLst/>
                <a:latin typeface="Times New Roman" panose="02020603050405020304" pitchFamily="18" charset="0"/>
                <a:cs typeface="Times New Roman" panose="02020603050405020304" pitchFamily="18" charset="0"/>
              </a:rPr>
              <a:t>Tiesā attaisnoto apsūdzēto skaits</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9703952077760614"/>
          <c:y val="7.0546193313321362E-2"/>
        </c:manualLayout>
      </c:layout>
      <c:overlay val="0"/>
    </c:title>
    <c:autoTitleDeleted val="0"/>
    <c:plotArea>
      <c:layout>
        <c:manualLayout>
          <c:layoutTarget val="inner"/>
          <c:xMode val="edge"/>
          <c:yMode val="edge"/>
          <c:x val="3.0555555555555555E-2"/>
          <c:y val="0.26111111111111113"/>
          <c:w val="0.93888888888888888"/>
          <c:h val="0.52667508065233648"/>
        </c:manualLayout>
      </c:layout>
      <c:lineChart>
        <c:grouping val="standard"/>
        <c:varyColors val="0"/>
        <c:ser>
          <c:idx val="1"/>
          <c:order val="0"/>
          <c:tx>
            <c:strRef>
              <c:f>I_tiesas_apgabala_prok!$AK$6:$AK$8</c:f>
              <c:strCache>
                <c:ptCount val="3"/>
                <c:pt idx="0">
                  <c:v>2018</c:v>
                </c:pt>
                <c:pt idx="1">
                  <c:v>2019</c:v>
                </c:pt>
                <c:pt idx="2">
                  <c:v>2020</c:v>
                </c:pt>
              </c:strCache>
            </c:strRef>
          </c:tx>
          <c:marker>
            <c:symbol val="none"/>
          </c:marker>
          <c:dLbls>
            <c:dLbl>
              <c:idx val="0"/>
              <c:layout>
                <c:manualLayout>
                  <c:x val="-3.3461673083654185E-2"/>
                  <c:y val="0.102827832876433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7C-4E12-8F16-095410E541A5}"/>
                </c:ext>
              </c:extLst>
            </c:dLbl>
            <c:dLbl>
              <c:idx val="1"/>
              <c:layout>
                <c:manualLayout>
                  <c:x val="-3.3461673083654268E-2"/>
                  <c:y val="-8.56898607303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7C-4E12-8F16-095410E541A5}"/>
                </c:ext>
              </c:extLst>
            </c:dLbl>
            <c:dLbl>
              <c:idx val="2"/>
              <c:layout>
                <c:manualLayout>
                  <c:x val="-2.6647999066619996E-2"/>
                  <c:y val="-8.568986073036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7C-4E12-8F16-095410E541A5}"/>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I_tiesas_apgabala_prok!$S$5:$S$7</c:f>
              <c:numCache>
                <c:formatCode>General</c:formatCode>
                <c:ptCount val="3"/>
                <c:pt idx="0">
                  <c:v>2018</c:v>
                </c:pt>
                <c:pt idx="1">
                  <c:v>2019</c:v>
                </c:pt>
                <c:pt idx="2">
                  <c:v>2020</c:v>
                </c:pt>
              </c:numCache>
            </c:numRef>
          </c:cat>
          <c:val>
            <c:numRef>
              <c:f>I_tiesas_apgabala_prok!$AL$6:$AL$8</c:f>
              <c:numCache>
                <c:formatCode>General</c:formatCode>
                <c:ptCount val="3"/>
                <c:pt idx="0">
                  <c:v>6</c:v>
                </c:pt>
                <c:pt idx="1">
                  <c:v>5</c:v>
                </c:pt>
                <c:pt idx="2">
                  <c:v>3</c:v>
                </c:pt>
              </c:numCache>
            </c:numRef>
          </c:val>
          <c:smooth val="0"/>
          <c:extLst>
            <c:ext xmlns:c16="http://schemas.microsoft.com/office/drawing/2014/chart" uri="{C3380CC4-5D6E-409C-BE32-E72D297353CC}">
              <c16:uniqueId val="{00000003-2E7C-4E12-8F16-095410E541A5}"/>
            </c:ext>
          </c:extLst>
        </c:ser>
        <c:dLbls>
          <c:showLegendKey val="0"/>
          <c:showVal val="0"/>
          <c:showCatName val="0"/>
          <c:showSerName val="0"/>
          <c:showPercent val="0"/>
          <c:showBubbleSize val="0"/>
        </c:dLbls>
        <c:smooth val="0"/>
        <c:axId val="291646464"/>
        <c:axId val="292175232"/>
      </c:lineChart>
      <c:catAx>
        <c:axId val="291646464"/>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92175232"/>
        <c:crosses val="autoZero"/>
        <c:auto val="1"/>
        <c:lblAlgn val="ctr"/>
        <c:lblOffset val="100"/>
        <c:noMultiLvlLbl val="0"/>
      </c:catAx>
      <c:valAx>
        <c:axId val="292175232"/>
        <c:scaling>
          <c:orientation val="minMax"/>
        </c:scaling>
        <c:delete val="1"/>
        <c:axPos val="l"/>
        <c:majorGridlines/>
        <c:numFmt formatCode="General" sourceLinked="1"/>
        <c:majorTickMark val="none"/>
        <c:minorTickMark val="none"/>
        <c:tickLblPos val="nextTo"/>
        <c:crossAx val="291646464"/>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lv-LV" sz="1200" b="1" i="0" baseline="0">
                <a:solidFill>
                  <a:schemeClr val="tx1"/>
                </a:solidFill>
                <a:effectLst/>
                <a:latin typeface="Times New Roman" panose="02020603050405020304" pitchFamily="18" charset="0"/>
                <a:cs typeface="Times New Roman" panose="02020603050405020304" pitchFamily="18" charset="0"/>
              </a:rPr>
              <a:t>Izlemtas sūdzības, no tām apmierinātas</a:t>
            </a:r>
            <a:endParaRPr lang="lv-LV" sz="12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0676561433364316"/>
          <c:y val="4.676673228346457E-2"/>
        </c:manualLayout>
      </c:layout>
      <c:overlay val="0"/>
    </c:title>
    <c:autoTitleDeleted val="0"/>
    <c:plotArea>
      <c:layout/>
      <c:barChart>
        <c:barDir val="col"/>
        <c:grouping val="clustered"/>
        <c:varyColors val="0"/>
        <c:ser>
          <c:idx val="1"/>
          <c:order val="0"/>
          <c:tx>
            <c:strRef>
              <c:f>I_tiesas_apgabala_prok!$AN$6:$AN$8</c:f>
              <c:strCache>
                <c:ptCount val="3"/>
                <c:pt idx="0">
                  <c:v>2018</c:v>
                </c:pt>
                <c:pt idx="1">
                  <c:v>2019</c:v>
                </c:pt>
                <c:pt idx="2">
                  <c:v>2020</c:v>
                </c:pt>
              </c:strCache>
            </c:strRef>
          </c:tx>
          <c:spPr>
            <a:solidFill>
              <a:schemeClr val="accent5">
                <a:lumMod val="60000"/>
                <a:lumOff val="40000"/>
              </a:schemeClr>
            </a:solidFill>
          </c:spPr>
          <c:invertIfNegative val="0"/>
          <c:dLbls>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I_tiesas_apgabala_prok!$AO$6:$AO$8</c:f>
              <c:numCache>
                <c:formatCode>General</c:formatCode>
                <c:ptCount val="3"/>
                <c:pt idx="0">
                  <c:v>134</c:v>
                </c:pt>
                <c:pt idx="1">
                  <c:v>97</c:v>
                </c:pt>
                <c:pt idx="2">
                  <c:v>136</c:v>
                </c:pt>
              </c:numCache>
            </c:numRef>
          </c:val>
          <c:extLst>
            <c:ext xmlns:c16="http://schemas.microsoft.com/office/drawing/2014/chart" uri="{C3380CC4-5D6E-409C-BE32-E72D297353CC}">
              <c16:uniqueId val="{00000000-1547-4050-80B5-A386252153C3}"/>
            </c:ext>
          </c:extLst>
        </c:ser>
        <c:ser>
          <c:idx val="0"/>
          <c:order val="1"/>
          <c:tx>
            <c:strRef>
              <c:f>I_tiesas_apgabala_prok!$AN$6:$AN$8</c:f>
              <c:strCache>
                <c:ptCount val="3"/>
                <c:pt idx="0">
                  <c:v>2018</c:v>
                </c:pt>
                <c:pt idx="1">
                  <c:v>2019</c:v>
                </c:pt>
                <c:pt idx="2">
                  <c:v>2020</c:v>
                </c:pt>
              </c:strCache>
            </c:strRef>
          </c:tx>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3.5653869712650424E-17"/>
                  <c:y val="1.7611091796179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47-4050-80B5-A386252153C3}"/>
                </c:ext>
              </c:extLst>
            </c:dLbl>
            <c:dLbl>
              <c:idx val="1"/>
              <c:layout>
                <c:manualLayout>
                  <c:x val="-7.1307739425300847E-17"/>
                  <c:y val="8.2101584536952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47-4050-80B5-A386252153C3}"/>
                </c:ext>
              </c:extLst>
            </c:dLbl>
            <c:dLbl>
              <c:idx val="2"/>
              <c:layout>
                <c:manualLayout>
                  <c:x val="0"/>
                  <c:y val="-3.5093167352440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47-4050-80B5-A386252153C3}"/>
                </c:ext>
              </c:extLst>
            </c:dLbl>
            <c:spPr>
              <a:noFill/>
              <a:ln>
                <a:noFill/>
              </a:ln>
              <a:effectLst/>
            </c:spPr>
            <c:txPr>
              <a:bodyPr/>
              <a:lstStyle/>
              <a:p>
                <a:pPr>
                  <a:defRPr sz="1000" b="1" baseline="0">
                    <a:solidFill>
                      <a:schemeClr val="tx1"/>
                    </a:solidFill>
                    <a:latin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I_tiesas_apgabala_prok!$E$5:$E$7</c:f>
              <c:numCache>
                <c:formatCode>General</c:formatCode>
                <c:ptCount val="3"/>
                <c:pt idx="0">
                  <c:v>2018</c:v>
                </c:pt>
                <c:pt idx="1">
                  <c:v>2019</c:v>
                </c:pt>
                <c:pt idx="2">
                  <c:v>2020</c:v>
                </c:pt>
              </c:numCache>
            </c:numRef>
          </c:cat>
          <c:val>
            <c:numRef>
              <c:f>I_tiesas_apgabala_prok!$AP$6:$AP$8</c:f>
              <c:numCache>
                <c:formatCode>General</c:formatCode>
                <c:ptCount val="3"/>
                <c:pt idx="0">
                  <c:v>24</c:v>
                </c:pt>
                <c:pt idx="1">
                  <c:v>6</c:v>
                </c:pt>
                <c:pt idx="2">
                  <c:v>16</c:v>
                </c:pt>
              </c:numCache>
            </c:numRef>
          </c:val>
          <c:extLst>
            <c:ext xmlns:c16="http://schemas.microsoft.com/office/drawing/2014/chart" uri="{C3380CC4-5D6E-409C-BE32-E72D297353CC}">
              <c16:uniqueId val="{00000004-1547-4050-80B5-A386252153C3}"/>
            </c:ext>
          </c:extLst>
        </c:ser>
        <c:dLbls>
          <c:showLegendKey val="0"/>
          <c:showVal val="0"/>
          <c:showCatName val="0"/>
          <c:showSerName val="0"/>
          <c:showPercent val="0"/>
          <c:showBubbleSize val="0"/>
        </c:dLbls>
        <c:gapWidth val="150"/>
        <c:axId val="263482368"/>
        <c:axId val="288760576"/>
      </c:barChart>
      <c:catAx>
        <c:axId val="263482368"/>
        <c:scaling>
          <c:orientation val="minMax"/>
        </c:scaling>
        <c:delete val="0"/>
        <c:axPos val="b"/>
        <c:numFmt formatCode="General" sourceLinked="1"/>
        <c:majorTickMark val="none"/>
        <c:minorTickMark val="none"/>
        <c:tickLblPos val="nextTo"/>
        <c:txPr>
          <a:bodyPr/>
          <a:lstStyle/>
          <a:p>
            <a:pPr>
              <a:defRPr sz="1000" b="1" baseline="0">
                <a:solidFill>
                  <a:schemeClr val="tx1"/>
                </a:solidFill>
                <a:latin typeface="Times New Roman" panose="02020603050405020304" pitchFamily="18" charset="0"/>
              </a:defRPr>
            </a:pPr>
            <a:endParaRPr lang="lv-LV"/>
          </a:p>
        </c:txPr>
        <c:crossAx val="288760576"/>
        <c:crosses val="autoZero"/>
        <c:auto val="1"/>
        <c:lblAlgn val="ctr"/>
        <c:lblOffset val="100"/>
        <c:noMultiLvlLbl val="0"/>
      </c:catAx>
      <c:valAx>
        <c:axId val="288760576"/>
        <c:scaling>
          <c:orientation val="minMax"/>
        </c:scaling>
        <c:delete val="1"/>
        <c:axPos val="l"/>
        <c:majorGridlines/>
        <c:numFmt formatCode="General" sourceLinked="1"/>
        <c:majorTickMark val="none"/>
        <c:minorTickMark val="none"/>
        <c:tickLblPos val="nextTo"/>
        <c:crossAx val="263482368"/>
        <c:crosses val="autoZero"/>
        <c:crossBetween val="between"/>
      </c:valAx>
    </c:plotArea>
    <c:plotVisOnly val="1"/>
    <c:dispBlanksAs val="gap"/>
    <c:showDLblsOverMax val="0"/>
  </c:chart>
  <c:spPr>
    <a:solidFill>
      <a:schemeClr val="bg1">
        <a:lumMod val="95000"/>
      </a:schemeClr>
    </a:solidFill>
    <a:ln>
      <a:solidFill>
        <a:schemeClr val="tx2"/>
      </a:solidFill>
    </a:ln>
  </c:spPr>
  <c:txPr>
    <a:bodyPr/>
    <a:lstStyle/>
    <a:p>
      <a:pPr>
        <a:defRPr baseline="0">
          <a:latin typeface="Arial" panose="020B0604020202020204" pitchFamily="34" charset="0"/>
        </a:defRPr>
      </a:pPr>
      <a:endParaRPr lang="lv-LV"/>
    </a:p>
  </c:txPr>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withinLinearReversed" id="25">
  <a:schemeClr val="accent5"/>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 id="14">
  <a:schemeClr val="accent1"/>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withinLinearReversed" id="25">
  <a:schemeClr val="accent5"/>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34">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cs:styleClr val="auto">
        <a:shade val="50000"/>
      </cs:styleClr>
    </cs:lnRef>
    <cs:fillRef idx="1">
      <cs:styleClr val="auto"/>
    </cs:fillRef>
    <cs:effectRef idx="0"/>
    <cs:fontRef idx="minor">
      <a:schemeClr val="dk1"/>
    </cs:fontRef>
    <cs:spPr>
      <a:ln>
        <a:round/>
      </a:ln>
    </cs:spPr>
  </cs:dataPoint>
  <cs:dataPoint3D>
    <cs:lnRef idx="1">
      <cs:styleClr val="auto">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a:schemeClr val="dk1"/>
    </cs:lnRef>
    <cs:fillRef idx="1">
      <a:schemeClr val="dk1">
        <a:tint val="95000"/>
      </a:schem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a:schemeClr val="dk1">
        <a:tint val="20000"/>
      </a:schem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a:schemeClr val="dk1">
        <a:tint val="20000"/>
      </a:schem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a:schemeClr val="dk1"/>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a:schemeClr val="dk1">
        <a:tint val="20000"/>
      </a:schemeClr>
    </cs:fillRef>
    <cs:effectRef idx="0"/>
    <cs:fontRef idx="minor">
      <a:schemeClr val="dk1"/>
    </cs:fontRef>
  </cs:wall>
</cs:chartStyle>
</file>

<file path=word/charts/style11.xml><?xml version="1.0" encoding="utf-8"?>
<cs:chartStyle xmlns:cs="http://schemas.microsoft.com/office/drawing/2012/chartStyle" xmlns:a="http://schemas.openxmlformats.org/drawingml/2006/main" id="134">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cs:styleClr val="auto">
        <a:shade val="50000"/>
      </cs:styleClr>
    </cs:lnRef>
    <cs:fillRef idx="1">
      <cs:styleClr val="auto"/>
    </cs:fillRef>
    <cs:effectRef idx="0"/>
    <cs:fontRef idx="minor">
      <a:schemeClr val="dk1"/>
    </cs:fontRef>
    <cs:spPr>
      <a:ln>
        <a:round/>
      </a:ln>
    </cs:spPr>
  </cs:dataPoint>
  <cs:dataPoint3D>
    <cs:lnRef idx="1">
      <cs:styleClr val="auto">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a:schemeClr val="dk1"/>
    </cs:lnRef>
    <cs:fillRef idx="1">
      <a:schemeClr val="dk1">
        <a:tint val="95000"/>
      </a:schem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a:schemeClr val="dk1">
        <a:tint val="20000"/>
      </a:schem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a:schemeClr val="dk1">
        <a:tint val="20000"/>
      </a:schem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a:schemeClr val="dk1"/>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a:schemeClr val="dk1">
        <a:tint val="20000"/>
      </a:schemeClr>
    </cs:fillRef>
    <cs:effectRef idx="0"/>
    <cs:fontRef idx="minor">
      <a:schemeClr val="dk1"/>
    </cs:fontRef>
  </cs:wall>
</cs:chartStyle>
</file>

<file path=word/charts/style12.xml><?xml version="1.0" encoding="utf-8"?>
<cs:chartStyle xmlns:cs="http://schemas.microsoft.com/office/drawing/2012/chartStyle" xmlns:a="http://schemas.openxmlformats.org/drawingml/2006/main" id="134">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cs:styleClr val="auto">
        <a:shade val="50000"/>
      </cs:styleClr>
    </cs:lnRef>
    <cs:fillRef idx="1">
      <cs:styleClr val="auto"/>
    </cs:fillRef>
    <cs:effectRef idx="0"/>
    <cs:fontRef idx="minor">
      <a:schemeClr val="dk1"/>
    </cs:fontRef>
    <cs:spPr>
      <a:ln>
        <a:round/>
      </a:ln>
    </cs:spPr>
  </cs:dataPoint>
  <cs:dataPoint3D>
    <cs:lnRef idx="1">
      <cs:styleClr val="auto">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a:schemeClr val="dk1"/>
    </cs:lnRef>
    <cs:fillRef idx="1">
      <a:schemeClr val="dk1">
        <a:tint val="95000"/>
      </a:schem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a:schemeClr val="dk1">
        <a:tint val="20000"/>
      </a:schem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a:schemeClr val="dk1">
        <a:tint val="20000"/>
      </a:schem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a:schemeClr val="dk1"/>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a:schemeClr val="dk1">
        <a:tint val="20000"/>
      </a:schemeClr>
    </cs:fillRef>
    <cs:effectRef idx="0"/>
    <cs:fontRef idx="minor">
      <a:schemeClr val="dk1"/>
    </cs:fontRef>
  </cs:wall>
</cs:chartStyle>
</file>

<file path=word/charts/style13.xml><?xml version="1.0" encoding="utf-8"?>
<cs:chartStyle xmlns:cs="http://schemas.microsoft.com/office/drawing/2012/chartStyle" xmlns:a="http://schemas.openxmlformats.org/drawingml/2006/main" id="134">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cs:styleClr val="auto">
        <a:shade val="50000"/>
      </cs:styleClr>
    </cs:lnRef>
    <cs:fillRef idx="1">
      <cs:styleClr val="auto"/>
    </cs:fillRef>
    <cs:effectRef idx="0"/>
    <cs:fontRef idx="minor">
      <a:schemeClr val="dk1"/>
    </cs:fontRef>
    <cs:spPr>
      <a:ln>
        <a:round/>
      </a:ln>
    </cs:spPr>
  </cs:dataPoint>
  <cs:dataPoint3D>
    <cs:lnRef idx="1">
      <cs:styleClr val="auto">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a:schemeClr val="dk1"/>
    </cs:lnRef>
    <cs:fillRef idx="1">
      <a:schemeClr val="dk1">
        <a:tint val="95000"/>
      </a:schem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a:schemeClr val="dk1">
        <a:tint val="20000"/>
      </a:schem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a:schemeClr val="dk1">
        <a:tint val="20000"/>
      </a:schem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a:schemeClr val="dk1"/>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a:schemeClr val="dk1">
        <a:tint val="20000"/>
      </a:schemeClr>
    </cs:fillRef>
    <cs:effectRef idx="0"/>
    <cs:fontRef idx="minor">
      <a:schemeClr val="dk1"/>
    </cs:fontRef>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17.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18.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19.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1.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2.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3.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4.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5.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6.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7.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8.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29.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31.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32.xml><?xml version="1.0" encoding="utf-8"?>
<cs:chartStyle xmlns:cs="http://schemas.microsoft.com/office/drawing/2012/chartStyle" xmlns:a="http://schemas.openxmlformats.org/drawingml/2006/main" id="138">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33.xml><?xml version="1.0" encoding="utf-8"?>
<cs:chartStyle xmlns:cs="http://schemas.microsoft.com/office/drawing/2012/chartStyle" xmlns:a="http://schemas.openxmlformats.org/drawingml/2006/main" id="135">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2.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8.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34">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cs:styleClr val="auto">
        <a:shade val="50000"/>
      </cs:styleClr>
    </cs:lnRef>
    <cs:fillRef idx="1">
      <cs:styleClr val="auto"/>
    </cs:fillRef>
    <cs:effectRef idx="0"/>
    <cs:fontRef idx="minor">
      <a:schemeClr val="dk1"/>
    </cs:fontRef>
    <cs:spPr>
      <a:ln>
        <a:round/>
      </a:ln>
    </cs:spPr>
  </cs:dataPoint>
  <cs:dataPoint3D>
    <cs:lnRef idx="1">
      <cs:styleClr val="auto">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a:schemeClr val="dk1"/>
    </cs:lnRef>
    <cs:fillRef idx="1">
      <a:schemeClr val="dk1">
        <a:tint val="95000"/>
      </a:schem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a:schemeClr val="dk1">
        <a:tint val="20000"/>
      </a:schem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a:schemeClr val="dk1">
        <a:tint val="20000"/>
      </a:schem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a:schemeClr val="dk1"/>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a:schemeClr val="dk1">
        <a:tint val="20000"/>
      </a:schemeClr>
    </cs:fillRef>
    <cs:effectRef idx="0"/>
    <cs:fontRef idx="minor">
      <a:schemeClr val="dk1"/>
    </cs:fontRef>
  </cs:wall>
</cs:chartStyle>
</file>

<file path=word/charts/style9.xml><?xml version="1.0" encoding="utf-8"?>
<cs:chartStyle xmlns:cs="http://schemas.microsoft.com/office/drawing/2012/chartStyle" xmlns:a="http://schemas.openxmlformats.org/drawingml/2006/main" id="134">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cs:styleClr val="auto">
        <a:shade val="50000"/>
      </cs:styleClr>
    </cs:lnRef>
    <cs:fillRef idx="1">
      <cs:styleClr val="auto"/>
    </cs:fillRef>
    <cs:effectRef idx="0"/>
    <cs:fontRef idx="minor">
      <a:schemeClr val="dk1"/>
    </cs:fontRef>
    <cs:spPr>
      <a:ln>
        <a:round/>
      </a:ln>
    </cs:spPr>
  </cs:dataPoint>
  <cs:dataPoint3D>
    <cs:lnRef idx="1">
      <cs:styleClr val="auto">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a:schemeClr val="dk1"/>
    </cs:lnRef>
    <cs:fillRef idx="1">
      <a:schemeClr val="dk1">
        <a:tint val="95000"/>
      </a:schem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a:schemeClr val="dk1">
        <a:tint val="20000"/>
      </a:schem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a:schemeClr val="dk1">
        <a:tint val="20000"/>
      </a:schem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a:schemeClr val="dk1"/>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a:schemeClr val="dk1">
        <a:tint val="20000"/>
      </a:schemeClr>
    </cs:fillRef>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0.25125</cdr:x>
      <cdr:y>0.53169</cdr:y>
    </cdr:from>
    <cdr:to>
      <cdr:x>0.44041</cdr:x>
      <cdr:y>0.69946</cdr:y>
    </cdr:to>
    <cdr:sp macro="" textlink="">
      <cdr:nvSpPr>
        <cdr:cNvPr id="3" name="Text Box 2"/>
        <cdr:cNvSpPr txBox="1"/>
      </cdr:nvSpPr>
      <cdr:spPr>
        <a:xfrm xmlns:a="http://schemas.openxmlformats.org/drawingml/2006/main">
          <a:off x="1205346" y="1163782"/>
          <a:ext cx="907473" cy="3672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t>    </a:t>
          </a:r>
          <a:r>
            <a:rPr lang="lv-LV" sz="1200" b="1" baseline="0">
              <a:solidFill>
                <a:schemeClr val="tx1"/>
              </a:solidFill>
              <a:latin typeface="Times New Roman" panose="02020603050405020304" pitchFamily="18" charset="0"/>
            </a:rPr>
            <a:t>2727</a:t>
          </a:r>
        </a:p>
      </cdr:txBody>
    </cdr:sp>
  </cdr:relSizeAnchor>
</c:userShapes>
</file>

<file path=word/drawings/drawing10.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a:p xmlns:a="http://schemas.openxmlformats.org/drawingml/2006/main">
          <a:pPr algn="ctr"/>
          <a:r>
            <a:rPr lang="lv-LV" sz="1600" b="1">
              <a:solidFill>
                <a:schemeClr val="tx2"/>
              </a:solidFill>
              <a:latin typeface="Times New Roman" panose="02020603050405020304" pitchFamily="18" charset="0"/>
              <a:cs typeface="Times New Roman" panose="02020603050405020304" pitchFamily="18" charset="0"/>
            </a:rPr>
            <a:t>135</a:t>
          </a:r>
        </a:p>
      </cdr:txBody>
    </cdr:sp>
  </cdr:relSizeAnchor>
  <cdr:relSizeAnchor xmlns:cdr="http://schemas.openxmlformats.org/drawingml/2006/chartDrawing">
    <cdr:from>
      <cdr:x>0.24841</cdr:x>
      <cdr:y>0.39871</cdr:y>
    </cdr:from>
    <cdr:to>
      <cdr:x>0.41401</cdr:x>
      <cdr:y>0.79694</cdr:y>
    </cdr:to>
    <cdr:sp macro="" textlink="">
      <cdr:nvSpPr>
        <cdr:cNvPr id="3" name="Text Box 2"/>
        <cdr:cNvSpPr txBox="1"/>
      </cdr:nvSpPr>
      <cdr:spPr>
        <a:xfrm xmlns:a="http://schemas.openxmlformats.org/drawingml/2006/main">
          <a:off x="990600" y="787400"/>
          <a:ext cx="660400" cy="78643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200" b="1" baseline="0">
            <a:solidFill>
              <a:schemeClr val="tx1"/>
            </a:solidFill>
            <a:latin typeface="Times New Roman" panose="02020603050405020304" pitchFamily="18" charset="0"/>
          </a:endParaRPr>
        </a:p>
        <a:p xmlns:a="http://schemas.openxmlformats.org/drawingml/2006/main">
          <a:r>
            <a:rPr lang="lv-LV" sz="1200" b="1" baseline="0">
              <a:solidFill>
                <a:schemeClr val="tx1"/>
              </a:solidFill>
              <a:latin typeface="Times New Roman" panose="02020603050405020304" pitchFamily="18" charset="0"/>
            </a:rPr>
            <a:t>   46</a:t>
          </a:r>
        </a:p>
      </cdr:txBody>
    </cdr:sp>
  </cdr:relSizeAnchor>
</c:userShapes>
</file>

<file path=word/drawings/drawing11.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a:p xmlns:a="http://schemas.openxmlformats.org/drawingml/2006/main">
          <a:pPr algn="ctr"/>
          <a:r>
            <a:rPr lang="lv-LV" sz="1600" b="1">
              <a:solidFill>
                <a:schemeClr val="tx2"/>
              </a:solidFill>
              <a:latin typeface="Times New Roman" panose="02020603050405020304" pitchFamily="18" charset="0"/>
              <a:cs typeface="Times New Roman" panose="02020603050405020304" pitchFamily="18" charset="0"/>
            </a:rPr>
            <a:t>135</a:t>
          </a:r>
        </a:p>
      </cdr:txBody>
    </cdr:sp>
  </cdr:relSizeAnchor>
  <cdr:relSizeAnchor xmlns:cdr="http://schemas.openxmlformats.org/drawingml/2006/chartDrawing">
    <cdr:from>
      <cdr:x>0.27134</cdr:x>
      <cdr:y>0.50873</cdr:y>
    </cdr:from>
    <cdr:to>
      <cdr:x>0.40615</cdr:x>
      <cdr:y>0.66978</cdr:y>
    </cdr:to>
    <cdr:sp macro="" textlink="">
      <cdr:nvSpPr>
        <cdr:cNvPr id="3" name="Text Box 2"/>
        <cdr:cNvSpPr txBox="1"/>
      </cdr:nvSpPr>
      <cdr:spPr>
        <a:xfrm xmlns:a="http://schemas.openxmlformats.org/drawingml/2006/main">
          <a:off x="1119956" y="1036970"/>
          <a:ext cx="556444" cy="3282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400" b="1" baseline="0">
              <a:solidFill>
                <a:schemeClr val="tx1"/>
              </a:solidFill>
              <a:latin typeface="Times New Roman" panose="02020603050405020304" pitchFamily="18" charset="0"/>
            </a:rPr>
            <a:t>  </a:t>
          </a:r>
          <a:r>
            <a:rPr lang="lv-LV" sz="1200" b="1" baseline="0">
              <a:solidFill>
                <a:schemeClr val="tx1"/>
              </a:solidFill>
              <a:latin typeface="Times New Roman" panose="02020603050405020304" pitchFamily="18" charset="0"/>
            </a:rPr>
            <a:t>52</a:t>
          </a:r>
        </a:p>
      </cdr:txBody>
    </cdr:sp>
  </cdr:relSizeAnchor>
</c:userShapes>
</file>

<file path=word/drawings/drawing12.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a:p xmlns:a="http://schemas.openxmlformats.org/drawingml/2006/main">
          <a:pPr algn="ctr"/>
          <a:r>
            <a:rPr lang="lv-LV" sz="1600" b="1">
              <a:solidFill>
                <a:schemeClr val="tx2"/>
              </a:solidFill>
              <a:latin typeface="Times New Roman" panose="02020603050405020304" pitchFamily="18" charset="0"/>
              <a:cs typeface="Times New Roman" panose="02020603050405020304" pitchFamily="18" charset="0"/>
            </a:rPr>
            <a:t>135</a:t>
          </a:r>
        </a:p>
      </cdr:txBody>
    </cdr:sp>
  </cdr:relSizeAnchor>
  <cdr:relSizeAnchor xmlns:cdr="http://schemas.openxmlformats.org/drawingml/2006/chartDrawing">
    <cdr:from>
      <cdr:x>0.27751</cdr:x>
      <cdr:y>0.36194</cdr:y>
    </cdr:from>
    <cdr:to>
      <cdr:x>0.48726</cdr:x>
      <cdr:y>0.81716</cdr:y>
    </cdr:to>
    <cdr:sp macro="" textlink="">
      <cdr:nvSpPr>
        <cdr:cNvPr id="3" name="Text Box 2"/>
        <cdr:cNvSpPr txBox="1"/>
      </cdr:nvSpPr>
      <cdr:spPr>
        <a:xfrm xmlns:a="http://schemas.openxmlformats.org/drawingml/2006/main">
          <a:off x="1104899" y="615950"/>
          <a:ext cx="835101" cy="7746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400" b="1" baseline="0">
              <a:solidFill>
                <a:schemeClr val="tx1"/>
              </a:solidFill>
              <a:latin typeface="Times New Roman" panose="02020603050405020304" pitchFamily="18" charset="0"/>
            </a:rPr>
            <a:t>     </a:t>
          </a:r>
        </a:p>
        <a:p xmlns:a="http://schemas.openxmlformats.org/drawingml/2006/main">
          <a:r>
            <a:rPr lang="lv-LV" sz="1400" b="1" baseline="0">
              <a:solidFill>
                <a:schemeClr val="tx1"/>
              </a:solidFill>
              <a:latin typeface="Times New Roman" panose="02020603050405020304" pitchFamily="18" charset="0"/>
            </a:rPr>
            <a:t>     </a:t>
          </a:r>
          <a:r>
            <a:rPr lang="lv-LV" sz="1200" b="1" baseline="0">
              <a:solidFill>
                <a:schemeClr val="tx1"/>
              </a:solidFill>
              <a:latin typeface="Times New Roman" panose="02020603050405020304" pitchFamily="18" charset="0"/>
            </a:rPr>
            <a:t>79</a:t>
          </a:r>
        </a:p>
      </cdr:txBody>
    </cdr:sp>
  </cdr:relSizeAnchor>
</c:userShapes>
</file>

<file path=word/drawings/drawing13.xml><?xml version="1.0" encoding="utf-8"?>
<c:userShapes xmlns:c="http://schemas.openxmlformats.org/drawingml/2006/chart">
  <cdr:relSizeAnchor xmlns:cdr="http://schemas.openxmlformats.org/drawingml/2006/chartDrawing">
    <cdr:from>
      <cdr:x>0.17326</cdr:x>
      <cdr:y>0.09522</cdr:y>
    </cdr:from>
    <cdr:to>
      <cdr:x>0.85685</cdr:x>
      <cdr:y>0.17077</cdr:y>
    </cdr:to>
    <cdr:sp macro="" textlink="">
      <cdr:nvSpPr>
        <cdr:cNvPr id="5" name="Text Box 1">
          <a:extLst xmlns:a="http://schemas.openxmlformats.org/drawingml/2006/main">
            <a:ext uri="{FF2B5EF4-FFF2-40B4-BE49-F238E27FC236}">
              <a16:creationId xmlns:a16="http://schemas.microsoft.com/office/drawing/2014/main" id="{00939E88-E17B-4529-9689-F1E1EAC49234}"/>
            </a:ext>
          </a:extLst>
        </cdr:cNvPr>
        <cdr:cNvSpPr txBox="1">
          <a:spLocks xmlns:a="http://schemas.openxmlformats.org/drawingml/2006/main" noChangeArrowheads="1"/>
        </cdr:cNvSpPr>
      </cdr:nvSpPr>
      <cdr:spPr bwMode="auto">
        <a:xfrm xmlns:a="http://schemas.openxmlformats.org/drawingml/2006/main">
          <a:off x="1029122" y="372594"/>
          <a:ext cx="4060381" cy="295617"/>
        </a:xfrm>
        <a:prstGeom xmlns:a="http://schemas.openxmlformats.org/drawingml/2006/main" prst="rect">
          <a:avLst/>
        </a:prstGeom>
        <a:noFill xmlns:a="http://schemas.openxmlformats.org/drawingml/2006/main"/>
        <a:ln xmlns:a="http://schemas.openxmlformats.org/drawingml/2006/main" w="12700">
          <a:noFill/>
          <a:miter lim="800000"/>
          <a:headEnd/>
          <a:tailEnd/>
        </a:ln>
      </cdr:spPr>
      <cdr:txBody>
        <a:bodyPr xmlns:a="http://schemas.openxmlformats.org/drawingml/2006/main" wrap="square" lIns="36576" tIns="27432" rIns="36576" bIns="0" anchor="ctr"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r>
            <a:rPr lang="lv-LV" sz="1000" b="1" i="0" u="none" strike="noStrike" baseline="0">
              <a:solidFill>
                <a:schemeClr val="tx1"/>
              </a:solidFill>
              <a:latin typeface="Times New Roman" panose="02020603050405020304" pitchFamily="18" charset="0"/>
              <a:cs typeface="Times New Roman"/>
            </a:rPr>
            <a:t>2005. - 2020.g. samazinātas 108 prokurora amata vienības (-17,9%)</a:t>
          </a:r>
          <a:endParaRPr lang="lv-LV" sz="1000" b="0" i="0" u="none" strike="noStrike" baseline="0">
            <a:solidFill>
              <a:schemeClr val="tx1"/>
            </a:solidFill>
            <a:latin typeface="Times New Roman" panose="02020603050405020304" pitchFamily="18" charset="0"/>
            <a:cs typeface="Times New Roman"/>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0.25173</cdr:x>
      <cdr:y>0.53722</cdr:y>
    </cdr:from>
    <cdr:to>
      <cdr:x>0.43859</cdr:x>
      <cdr:y>0.71197</cdr:y>
    </cdr:to>
    <cdr:sp macro="" textlink="">
      <cdr:nvSpPr>
        <cdr:cNvPr id="3" name="Text Box 2"/>
        <cdr:cNvSpPr txBox="1"/>
      </cdr:nvSpPr>
      <cdr:spPr>
        <a:xfrm xmlns:a="http://schemas.openxmlformats.org/drawingml/2006/main">
          <a:off x="1212273" y="1196018"/>
          <a:ext cx="899906" cy="3890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t>    </a:t>
          </a:r>
          <a:r>
            <a:rPr lang="lv-LV" sz="1200" b="1" baseline="0">
              <a:solidFill>
                <a:schemeClr val="tx1"/>
              </a:solidFill>
              <a:latin typeface="Times New Roman" panose="02020603050405020304" pitchFamily="18" charset="0"/>
            </a:rPr>
            <a:t>2697</a:t>
          </a:r>
        </a:p>
      </cdr:txBody>
    </cdr:sp>
  </cdr:relSizeAnchor>
</c:userShapes>
</file>

<file path=word/drawings/drawing3.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0.236</cdr:x>
      <cdr:y>0.52704</cdr:y>
    </cdr:from>
    <cdr:to>
      <cdr:x>0.42669</cdr:x>
      <cdr:y>0.6804</cdr:y>
    </cdr:to>
    <cdr:sp macro="" textlink="">
      <cdr:nvSpPr>
        <cdr:cNvPr id="3" name="Text Box 2"/>
        <cdr:cNvSpPr txBox="1"/>
      </cdr:nvSpPr>
      <cdr:spPr>
        <a:xfrm xmlns:a="http://schemas.openxmlformats.org/drawingml/2006/main">
          <a:off x="1136073" y="1149927"/>
          <a:ext cx="917985" cy="3346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t>      </a:t>
          </a:r>
          <a:r>
            <a:rPr lang="lv-LV" sz="1100" b="1" baseline="0">
              <a:solidFill>
                <a:schemeClr val="tx1"/>
              </a:solidFill>
              <a:latin typeface="Times New Roman" panose="02020603050405020304" pitchFamily="18" charset="0"/>
            </a:rPr>
            <a:t>2925</a:t>
          </a:r>
        </a:p>
      </cdr:txBody>
    </cdr:sp>
  </cdr:relSizeAnchor>
</c:userShapes>
</file>

<file path=word/drawings/drawing4.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0.27947</cdr:x>
      <cdr:y>0.52606</cdr:y>
    </cdr:from>
    <cdr:to>
      <cdr:x>0.46688</cdr:x>
      <cdr:y>0.67942</cdr:y>
    </cdr:to>
    <cdr:sp macro="" textlink="">
      <cdr:nvSpPr>
        <cdr:cNvPr id="3" name="Text Box 2"/>
        <cdr:cNvSpPr txBox="1"/>
      </cdr:nvSpPr>
      <cdr:spPr>
        <a:xfrm xmlns:a="http://schemas.openxmlformats.org/drawingml/2006/main">
          <a:off x="1339850" y="1377950"/>
          <a:ext cx="898489" cy="4017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t>    </a:t>
          </a:r>
          <a:r>
            <a:rPr lang="lv-LV" sz="1100" b="1" baseline="0">
              <a:solidFill>
                <a:schemeClr val="tx1"/>
              </a:solidFill>
              <a:latin typeface="Times New Roman" panose="02020603050405020304" pitchFamily="18" charset="0"/>
            </a:rPr>
            <a:t>8887</a:t>
          </a:r>
        </a:p>
      </cdr:txBody>
    </cdr:sp>
  </cdr:relSizeAnchor>
</c:userShapes>
</file>

<file path=word/drawings/drawing5.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0.26957</cdr:x>
      <cdr:y>0.52936</cdr:y>
    </cdr:from>
    <cdr:to>
      <cdr:x>0.46688</cdr:x>
      <cdr:y>0.67942</cdr:y>
    </cdr:to>
    <cdr:sp macro="" textlink="">
      <cdr:nvSpPr>
        <cdr:cNvPr id="3" name="Text Box 2"/>
        <cdr:cNvSpPr txBox="1"/>
      </cdr:nvSpPr>
      <cdr:spPr>
        <a:xfrm xmlns:a="http://schemas.openxmlformats.org/drawingml/2006/main">
          <a:off x="1316182" y="1219199"/>
          <a:ext cx="963367" cy="3456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t>     </a:t>
          </a:r>
          <a:r>
            <a:rPr lang="lv-LV" sz="1100" b="1" baseline="0">
              <a:solidFill>
                <a:schemeClr val="tx1"/>
              </a:solidFill>
              <a:latin typeface="Times New Roman" panose="02020603050405020304" pitchFamily="18" charset="0"/>
            </a:rPr>
            <a:t>8593</a:t>
          </a:r>
        </a:p>
      </cdr:txBody>
    </cdr:sp>
  </cdr:relSizeAnchor>
</c:userShapes>
</file>

<file path=word/drawings/drawing6.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0.26936</cdr:x>
      <cdr:y>0.53625</cdr:y>
    </cdr:from>
    <cdr:to>
      <cdr:x>0.43906</cdr:x>
      <cdr:y>0.67942</cdr:y>
    </cdr:to>
    <cdr:sp macro="" textlink="">
      <cdr:nvSpPr>
        <cdr:cNvPr id="3" name="Text Box 2"/>
        <cdr:cNvSpPr txBox="1"/>
      </cdr:nvSpPr>
      <cdr:spPr>
        <a:xfrm xmlns:a="http://schemas.openxmlformats.org/drawingml/2006/main">
          <a:off x="1315496" y="1244599"/>
          <a:ext cx="828779" cy="3322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t>     </a:t>
          </a:r>
          <a:r>
            <a:rPr lang="lv-LV" sz="1100" b="1" baseline="0">
              <a:solidFill>
                <a:schemeClr val="tx1"/>
              </a:solidFill>
              <a:latin typeface="Times New Roman" panose="02020603050405020304" pitchFamily="18" charset="0"/>
            </a:rPr>
            <a:t>8088</a:t>
          </a:r>
        </a:p>
      </cdr:txBody>
    </cdr:sp>
  </cdr:relSizeAnchor>
</c:userShapes>
</file>

<file path=word/drawings/drawing7.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a:p xmlns:a="http://schemas.openxmlformats.org/drawingml/2006/main">
          <a:pPr algn="ctr"/>
          <a:r>
            <a:rPr lang="lv-LV" sz="1600" b="1">
              <a:solidFill>
                <a:schemeClr val="tx2"/>
              </a:solidFill>
              <a:latin typeface="Times New Roman" panose="02020603050405020304" pitchFamily="18" charset="0"/>
              <a:cs typeface="Times New Roman" panose="02020603050405020304" pitchFamily="18" charset="0"/>
            </a:rPr>
            <a:t>135</a:t>
          </a:r>
        </a:p>
      </cdr:txBody>
    </cdr:sp>
  </cdr:relSizeAnchor>
  <cdr:relSizeAnchor xmlns:cdr="http://schemas.openxmlformats.org/drawingml/2006/chartDrawing">
    <cdr:from>
      <cdr:x>0.25412</cdr:x>
      <cdr:y>0.48541</cdr:y>
    </cdr:from>
    <cdr:to>
      <cdr:x>0.41242</cdr:x>
      <cdr:y>0.66953</cdr:y>
    </cdr:to>
    <cdr:sp macro="" textlink="">
      <cdr:nvSpPr>
        <cdr:cNvPr id="3" name="Text Box 2"/>
        <cdr:cNvSpPr txBox="1"/>
      </cdr:nvSpPr>
      <cdr:spPr>
        <a:xfrm xmlns:a="http://schemas.openxmlformats.org/drawingml/2006/main">
          <a:off x="1073726" y="742847"/>
          <a:ext cx="668867" cy="2817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solidFill>
                <a:schemeClr val="tx1"/>
              </a:solidFill>
              <a:latin typeface="Times New Roman" panose="02020603050405020304" pitchFamily="18" charset="0"/>
              <a:cs typeface="Times New Roman" panose="02020603050405020304" pitchFamily="18" charset="0"/>
            </a:rPr>
            <a:t> 152</a:t>
          </a:r>
        </a:p>
      </cdr:txBody>
    </cdr:sp>
  </cdr:relSizeAnchor>
</c:userShapes>
</file>

<file path=word/drawings/drawing8.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a:p xmlns:a="http://schemas.openxmlformats.org/drawingml/2006/main">
          <a:pPr algn="ctr"/>
          <a:r>
            <a:rPr lang="lv-LV" sz="1600" b="1">
              <a:solidFill>
                <a:schemeClr val="tx2"/>
              </a:solidFill>
              <a:latin typeface="Times New Roman" panose="02020603050405020304" pitchFamily="18" charset="0"/>
              <a:cs typeface="Times New Roman" panose="02020603050405020304" pitchFamily="18" charset="0"/>
            </a:rPr>
            <a:t>135</a:t>
          </a:r>
        </a:p>
      </cdr:txBody>
    </cdr:sp>
  </cdr:relSizeAnchor>
  <cdr:relSizeAnchor xmlns:cdr="http://schemas.openxmlformats.org/drawingml/2006/chartDrawing">
    <cdr:from>
      <cdr:x>0.28455</cdr:x>
      <cdr:y>0.49518</cdr:y>
    </cdr:from>
    <cdr:to>
      <cdr:x>0.48726</cdr:x>
      <cdr:y>0.70422</cdr:y>
    </cdr:to>
    <cdr:sp macro="" textlink="">
      <cdr:nvSpPr>
        <cdr:cNvPr id="3" name="Text Box 2"/>
        <cdr:cNvSpPr txBox="1"/>
      </cdr:nvSpPr>
      <cdr:spPr>
        <a:xfrm xmlns:a="http://schemas.openxmlformats.org/drawingml/2006/main">
          <a:off x="1289050" y="977899"/>
          <a:ext cx="918282" cy="412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latin typeface="Times New Roman" panose="02020603050405020304" pitchFamily="18" charset="0"/>
              <a:cs typeface="Times New Roman" panose="02020603050405020304" pitchFamily="18" charset="0"/>
            </a:rPr>
            <a:t>     </a:t>
          </a:r>
          <a:r>
            <a:rPr lang="lv-LV" sz="1200" b="1" baseline="0">
              <a:solidFill>
                <a:schemeClr val="tx1"/>
              </a:solidFill>
              <a:latin typeface="Times New Roman" panose="02020603050405020304" pitchFamily="18" charset="0"/>
              <a:cs typeface="Times New Roman" panose="02020603050405020304" pitchFamily="18" charset="0"/>
            </a:rPr>
            <a:t>43</a:t>
          </a:r>
        </a:p>
      </cdr:txBody>
    </cdr:sp>
  </cdr:relSizeAnchor>
</c:userShapes>
</file>

<file path=word/drawings/drawing9.xml><?xml version="1.0" encoding="utf-8"?>
<c:userShapes xmlns:c="http://schemas.openxmlformats.org/drawingml/2006/chart">
  <cdr:relSizeAnchor xmlns:cdr="http://schemas.openxmlformats.org/drawingml/2006/chartDrawing">
    <cdr:from>
      <cdr:x>0.44374</cdr:x>
      <cdr:y>0.53682</cdr:y>
    </cdr:from>
    <cdr:to>
      <cdr:x>0.55151</cdr:x>
      <cdr:y>0.67458</cdr:y>
    </cdr:to>
    <cdr:sp macro="" textlink="">
      <cdr:nvSpPr>
        <cdr:cNvPr id="2" name="TextBox 1"/>
        <cdr:cNvSpPr txBox="1"/>
      </cdr:nvSpPr>
      <cdr:spPr>
        <a:xfrm xmlns:a="http://schemas.openxmlformats.org/drawingml/2006/main">
          <a:off x="2667001" y="2152651"/>
          <a:ext cx="6477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a:p xmlns:a="http://schemas.openxmlformats.org/drawingml/2006/main">
          <a:pPr algn="ctr"/>
          <a:r>
            <a:rPr lang="lv-LV" sz="1600" b="1">
              <a:solidFill>
                <a:schemeClr val="tx2"/>
              </a:solidFill>
              <a:latin typeface="Times New Roman" panose="02020603050405020304" pitchFamily="18" charset="0"/>
              <a:cs typeface="Times New Roman" panose="02020603050405020304" pitchFamily="18" charset="0"/>
            </a:rPr>
            <a:t>135</a:t>
          </a:r>
        </a:p>
      </cdr:txBody>
    </cdr:sp>
  </cdr:relSizeAnchor>
  <cdr:relSizeAnchor xmlns:cdr="http://schemas.openxmlformats.org/drawingml/2006/chartDrawing">
    <cdr:from>
      <cdr:x>0.27134</cdr:x>
      <cdr:y>0.47692</cdr:y>
    </cdr:from>
    <cdr:to>
      <cdr:x>0.41741</cdr:x>
      <cdr:y>0.64192</cdr:y>
    </cdr:to>
    <cdr:sp macro="" textlink="">
      <cdr:nvSpPr>
        <cdr:cNvPr id="3" name="Text Box 2"/>
        <cdr:cNvSpPr txBox="1"/>
      </cdr:nvSpPr>
      <cdr:spPr>
        <a:xfrm xmlns:a="http://schemas.openxmlformats.org/drawingml/2006/main">
          <a:off x="970054" y="787401"/>
          <a:ext cx="522196" cy="2724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400" b="1" baseline="0">
              <a:solidFill>
                <a:schemeClr val="tx1"/>
              </a:solidFill>
              <a:latin typeface="Times New Roman" panose="02020603050405020304" pitchFamily="18" charset="0"/>
            </a:rPr>
            <a:t>  </a:t>
          </a:r>
          <a:r>
            <a:rPr lang="lv-LV" sz="1200" b="1" baseline="0">
              <a:solidFill>
                <a:schemeClr val="tx1"/>
              </a:solidFill>
              <a:latin typeface="Times New Roman" panose="02020603050405020304" pitchFamily="18" charset="0"/>
            </a:rPr>
            <a:t>56</a:t>
          </a:r>
        </a:p>
      </cdr:txBody>
    </cdr:sp>
  </cdr:relSizeAnchor>
</c:userShapes>
</file>

<file path=word/theme/theme1.xml><?xml version="1.0" encoding="utf-8"?>
<a:theme xmlns:a="http://schemas.openxmlformats.org/drawingml/2006/main" name="Office dizains">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9B05B3EF35007418A1F3033F04DF377" ma:contentTypeVersion="5" ma:contentTypeDescription="Create a new document." ma:contentTypeScope="" ma:versionID="8a34747000c7bfd7c96a9e6f21daeb93">
  <xsd:schema xmlns:xsd="http://www.w3.org/2001/XMLSchema" xmlns:xs="http://www.w3.org/2001/XMLSchema" xmlns:p="http://schemas.microsoft.com/office/2006/metadata/properties" xmlns:ns3="9cc1ffcc-e60c-4402-83f6-ce7f83ff2b25" xmlns:ns4="57a7ae2a-79f7-4ea9-a83e-8d200f10254f" targetNamespace="http://schemas.microsoft.com/office/2006/metadata/properties" ma:root="true" ma:fieldsID="06a7c4a62c4f5f87f8646cfde84094a3" ns3:_="" ns4:_="">
    <xsd:import namespace="9cc1ffcc-e60c-4402-83f6-ce7f83ff2b25"/>
    <xsd:import namespace="57a7ae2a-79f7-4ea9-a83e-8d200f10254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c1ffcc-e60c-4402-83f6-ce7f83ff2b2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7a7ae2a-79f7-4ea9-a83e-8d200f10254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0A9864-26C5-40F6-A6C3-97C2EB69240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749C082-B544-4D9D-B9D2-0B378E19C0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c1ffcc-e60c-4402-83f6-ce7f83ff2b25"/>
    <ds:schemaRef ds:uri="57a7ae2a-79f7-4ea9-a83e-8d200f102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0A9F0F-FF88-403E-8122-68C3F66157FA}">
  <ds:schemaRefs>
    <ds:schemaRef ds:uri="http://schemas.microsoft.com/sharepoint/v3/contenttype/forms"/>
  </ds:schemaRefs>
</ds:datastoreItem>
</file>

<file path=customXml/itemProps4.xml><?xml version="1.0" encoding="utf-8"?>
<ds:datastoreItem xmlns:ds="http://schemas.openxmlformats.org/officeDocument/2006/customXml" ds:itemID="{C3C0CDC4-96D0-4963-BA89-DADF96AB20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181</Pages>
  <Words>241004</Words>
  <Characters>137373</Characters>
  <Application>Microsoft Office Word</Application>
  <DocSecurity>0</DocSecurity>
  <Lines>1144</Lines>
  <Paragraphs>755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Dāvis Laucis</dc:creator>
  <cp:keywords/>
  <dc:description/>
  <cp:lastModifiedBy>Prokurors</cp:lastModifiedBy>
  <cp:revision>2</cp:revision>
  <cp:lastPrinted>2021-02-25T07:59:00Z</cp:lastPrinted>
  <dcterms:created xsi:type="dcterms:W3CDTF">2021-03-01T14:30:00Z</dcterms:created>
  <dcterms:modified xsi:type="dcterms:W3CDTF">2021-03-01T14:30:00Z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0x010100E9B05B3EF35007418A1F3033F04DF377</vt:lpwstr>
  </property>
</Properties>
</file>